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b/>
          <w:bCs/>
          <w:color w:val="1F3A5F"/>
          <w:sz w:val="60"/>
          <w:szCs w:val="60"/>
        </w:rPr>
        <w:t xml:space="preserve">REPARO</w:t>
      </w:r>
    </w:p>
    <w:p>
      <w:pPr>
        <w:pBdr>
          <w:bottom w:val="single" w:color="1F3A5F" w:sz="6" w:space="8"/>
        </w:pBdr>
        <w:spacing w:after="240"/>
        <w:jc w:val="center"/>
      </w:pPr>
    </w:p>
    <w:p>
      <w:pPr>
        <w:spacing w:after="200"/>
        <w:jc w:val="center"/>
      </w:pPr>
      <w:r>
        <w:rPr>
          <w:b/>
          <w:bCs/>
          <w:sz w:val="32"/>
          <w:szCs w:val="32"/>
        </w:rPr>
        <w:t xml:space="preserve">Vollständiger Lifecycle-Audit &amp; Strategische Analyse</w:t>
      </w:r>
    </w:p>
    <w:p>
      <w:pPr>
        <w:spacing w:after="600"/>
        <w:jc w:val="center"/>
      </w:pPr>
      <w:r>
        <w:rPr>
          <w:color w:val="555555"/>
          <w:sz w:val="22"/>
          <w:szCs w:val="22"/>
        </w:rPr>
        <w:t xml:space="preserve">47 Aufträge von Meldung bis Bewertung — Live-Walkthrough aller Nutzergruppen — Anspruch-vs-Umsetzung-Gap-Analyse aus 14 Audit-Dokumenten — Strategische Empfehlungen</w:t>
      </w:r>
    </w:p>
    <w:p/>
    <w:p/>
    <w:p/>
    <w:p/>
    <w:p/>
    <w:p/>
    <w:p>
      <w:pPr>
        <w:spacing w:after="80"/>
        <w:jc w:val="center"/>
      </w:pPr>
      <w:r>
        <w:rPr>
          <w:sz w:val="24"/>
          <w:szCs w:val="24"/>
        </w:rPr>
        <w:t xml:space="preserve">Erstellt für: Lennart</w:t>
      </w:r>
    </w:p>
    <w:p>
      <w:pPr>
        <w:spacing w:after="80"/>
        <w:jc w:val="center"/>
      </w:pPr>
      <w:r>
        <w:rPr>
          <w:color w:val="555555"/>
          <w:sz w:val="24"/>
          <w:szCs w:val="24"/>
        </w:rPr>
        <w:t xml:space="preserve">Datum: 15. Juni 2026</w:t>
      </w:r>
    </w:p>
    <w:p>
      <w:pPr>
        <w:jc w:val="center"/>
      </w:pPr>
      <w:r>
        <w:rPr>
          <w:i/>
          <w:iCs/>
          <w:color w:val="888888"/>
          <w:sz w:val="18"/>
          <w:szCs w:val="18"/>
        </w:rPr>
        <w:t xml:space="preserve">Vertraulich — interne Strategie- und Auditunterlage</w:t>
      </w:r>
    </w:p>
    <w:p>
      <w:r>
        <w:br w:type="page"/>
      </w:r>
    </w:p>
    <w:p>
      <w:pPr>
        <w:pStyle w:val="Heading1"/>
      </w:pPr>
      <w:r>
        <w:t xml:space="preserve">1. Executive Summary</w:t>
      </w:r>
    </w:p>
    <w:p>
      <w:pPr>
        <w:spacing w:after="160"/>
      </w:pPr>
      <w:r>
        <w:t xml:space="preserve">Dieser Report dokumentiert einen vollständigen End-to-End-Audit des Reparo-Systems anhand von 47 Aufträgen (Tickets), die den gesamten Lebenszyklus durchlaufen — von der Meldung durch den Mieter über Diagnose, Vergabe (Direktvergabe oder Auktion), Ausführung durch den Handwerker bis zur finalen Bewertung durch den Verwalter, inklusive Sonderfälle wie Reklamation und Direktvergabe-Eskalation. Ergänzt wird der Audit durch einen Live-Walkthrough aller drei Kernrollen (Mieter, Verwalter, Handwerker) sowie eine Verifikation gegen den aktuellen Code- und Datenbankstand.</w:t>
      </w:r>
    </w:p>
    <w:p>
      <w:pPr>
        <w:spacing w:after="160"/>
      </w:pPr>
      <w:r>
        <w:t xml:space="preserve">Der erste Entwurf dieses Reports stützte sich auf 14 interne Audit-Dokumente aus Mai 2026 (AUDIT-FIX-PROMPT, SECURITY-REPORT, RLS-AUDIT, SIMULATION-REPORT u. a.), die ein durchgängiges Muster zeigten: ein strukturelles Ownership-Problem (Mieter vs. Verwalter als „Eigentümer“ eines Tickets), unsichtbare Backend-Features, Sicherheitslücken mit unklarem Produktions-Status und eine Provisions-Inkonsistenz. Eine anschließende Verifikation gegen den heutigen Code- und Datenbankstand (15.06.2026) ergab jedoch: Praktisch alle dieser P0-Punkte wurden in der Zwischenzeit über rund 30 weitere Sprints (AM bis AT, Tasks #213–#256) tatsächlich behoben. Das ist die erste brutal ehrliche Erkenntnis dieses Reports — und sie geht in eine andere Richtung als ursprünglich erwartet:</w:t>
      </w:r>
    </w:p>
    <w:p>
      <w:pPr>
        <w:pStyle w:val="ListParagraph"/>
        <w:numPr>
          <w:ilvl w:val="0"/>
          <w:numId w:val="2"/>
        </w:numPr>
        <w:spacing w:after="100"/>
      </w:pPr>
      <w:r>
        <w:t xml:space="preserve">Die strukturellen P0-Probleme aus den Mai-Audits sind verifiziert behoben: RLS-Policies für einladungen und nachtraege prüfen jetzt verwalter_id, profiles ist nicht mehr offen lesbar (profiles_public-View existiert, kein SELECT USING (true) mehr), die Diagnose-Pipeline (befundeWartend) und offene Nachträge (offeneNachtraege) sind im Verwalter-Dashboard aggregiert sichtbar, der Provisionssatz ist auf einen einzigen Wert (5 %, STANDARD_PROVISION_RATE) konsolidiert, ein Verdienstkalkulator für Handwerker existiert, die KI-Schadenserkennung ist auf 10 Calls/Tag/User rate-limitiert, und die Direktvergabe-Eskalation funktioniert nachweislich (im Audit live verifiziert, Ticket n=7).</w:t>
      </w:r>
    </w:p>
    <w:p>
      <w:pPr>
        <w:pStyle w:val="ListParagraph"/>
        <w:numPr>
          <w:ilvl w:val="0"/>
          <w:numId w:val="2"/>
        </w:numPr>
        <w:spacing w:after="100"/>
      </w:pPr>
      <w:r>
        <w:t xml:space="preserve">Das bedeutet: Reparo ist heute architektonisch deutlich solider, als die vorhandene Dokumentation vermuten lässt. Die Geschwindigkeit, mit der diese strukturellen Probleme behoben wurden, ist beeindruckend.</w:t>
      </w:r>
    </w:p>
    <w:p>
      <w:pPr>
        <w:pStyle w:val="ListParagraph"/>
        <w:numPr>
          <w:ilvl w:val="0"/>
          <w:numId w:val="2"/>
        </w:numPr>
        <w:spacing w:after="100"/>
      </w:pPr>
      <w:r>
        <w:t xml:space="preserve">Die zweite brutal ehrliche Erkenntnis ist aber genauso wichtig: Die Dokumentation hält mit dieser Geschwindigkeit nicht mit. Es existiert keine einzige aktuelle „Status Quo“-Quelle — wer (wie dieser Audit zunächst) von den vorhandenen Markdown-Dateien ausgeht, zeichnet ein Bild, das mehrere Wochen veraltet ist und echte Fortschritte komplett übersieht. Das ist nicht nur ein Dokumentationsproblem: Es bedeutet auch, dass intern niemand ohne Code-Grep zuverlässig sagen kann, „was ist gerade wahr“ — ein Risiko, das mit jedem weiteren Sprint wächst.</w:t>
      </w:r>
    </w:p>
    <w:p>
      <w:pPr>
        <w:pStyle w:val="ListParagraph"/>
        <w:numPr>
          <w:ilvl w:val="0"/>
          <w:numId w:val="2"/>
        </w:numPr>
        <w:spacing w:after="100"/>
      </w:pPr>
      <w:r>
        <w:t xml:space="preserve">Tatsächlich noch offene, im Rahmen dieses Audits verifizierte Lücken sind kleinteiliger als ursprünglich erwartet, aber real: Reklamations-Transparenz für Mieter fehlt weiterhin vollständig, /api/geocode hat weiterhin kein Rate-Limit, eine externe BFSG-Compliance-Bestätigung existiert nicht, und mehrere Detailfragen (Kalibrierung der Sichtbarkeitsstufen, Interaktivität des neuen Kalenders, KPI-Komponenten-Konsolidierung) sind seit den letzten Sprints nicht erneut live verifiziert worden.</w:t>
      </w:r>
    </w:p>
    <w:p>
      <w:pPr>
        <w:spacing w:after="160"/>
      </w:pPr>
      <w:r>
        <w:t xml:space="preserve">Gesamteinschätzung: Reparo befindet sich technisch in einem deutlich besseren Zustand, als die vorhandenen Audit-Dokumente nahelegen — die strukturellen Kernprobleme wurden gelöst, nicht nur kaschiert. Der größte Hebel für die nächste Phase liegt nicht mehr primär im Code, sondern in der Etablierung einer verlässlichen, laufend aktualisierten „Wahrheitsquelle“ zum Produktstatus sowie in einer Handvoll konkreter, klar umrissener Restpunkte (siehe Abschnitt 8).</w:t>
      </w:r>
    </w:p>
    <w:p>
      <w:r>
        <w:br w:type="page"/>
      </w:r>
    </w:p>
    <w:p>
      <w:pPr>
        <w:pStyle w:val="Heading1"/>
      </w:pPr>
      <w:r>
        <w:t xml:space="preserve">2. Audit-Methodik &amp; Datengrundlage</w:t>
      </w:r>
    </w:p>
    <w:p>
      <w:pPr>
        <w:pStyle w:val="Heading2"/>
      </w:pPr>
      <w:r>
        <w:t xml:space="preserve">2.1 Vorgehen</w:t>
      </w:r>
    </w:p>
    <w:p>
      <w:pPr>
        <w:spacing w:after="160"/>
      </w:pPr>
      <w:r>
        <w:t xml:space="preserve">Um den Anspruch „bis zu 50 Aufträge, die komplett von Mieter bis zur finalen Ausführung durchlaufen“ zu erfüllen, wurden 40 zusätzliche synthetische Tickets per deterministischem SQL-Seed erzeugt und vollständig mit den zugehörigen Datensätzen verknüpft: Einladungen an Handwerker, Angebote, Termine und Bewertungen. Zusammen mit den bereits vorhandenen 7 Tickets ergibt das eine Gesamtbasis von 47 Aufträgen, die alle Rollen, Gewerke und Vergabemodi abdecken.</w:t>
      </w:r>
    </w:p>
    <w:p>
      <w:pPr>
        <w:spacing w:after="160"/>
      </w:pPr>
      <w:r>
        <w:t xml:space="preserve">Die Seed-Daten wurden bewusst so konstruiert, dass alle relevanten Sonderfälle des Lifecycles mindestens einmal abgebildet sind:</w:t>
      </w:r>
    </w:p>
    <w:p>
      <w:pPr>
        <w:pStyle w:val="ListParagraph"/>
        <w:numPr>
          <w:ilvl w:val="0"/>
          <w:numId w:val="2"/>
        </w:numPr>
        <w:spacing w:after="100"/>
      </w:pPr>
      <w:r>
        <w:t xml:space="preserve">Direktvergabe-Eskalation (1 Ticket): Ein Handwerker reagiert nicht innerhalb der Frist, ein zweiter Kandidat wird automatisch nachgerückt und schließt den Auftrag erfolgreich ab.</w:t>
      </w:r>
    </w:p>
    <w:p>
      <w:pPr>
        <w:pStyle w:val="ListParagraph"/>
        <w:numPr>
          <w:ilvl w:val="0"/>
          <w:numId w:val="2"/>
        </w:numPr>
        <w:spacing w:after="100"/>
      </w:pPr>
      <w:r>
        <w:t xml:space="preserve">Reklamationen (2 Tickets): Ein abgeschlossener Auftrag wird vom Verwalter als „reklamiert“ markiert — einmal im Gewerk Maler, einmal im Gewerk Heizung/Sanitär, beide bei Verwalter 2.</w:t>
      </w:r>
    </w:p>
    <w:p>
      <w:pPr>
        <w:pStyle w:val="ListParagraph"/>
        <w:numPr>
          <w:ilvl w:val="0"/>
          <w:numId w:val="2"/>
        </w:numPr>
        <w:spacing w:after="100"/>
      </w:pPr>
      <w:r>
        <w:t xml:space="preserve">Niedrige Bewertung trotz Abschluss (1 Ticket): Ein Auftrag wurde regulär abgeschlossen, aber nur mit 2 von 5 Sternen bewertet — Testfall für „erfolgreich, aber unzufrieden“.</w:t>
      </w:r>
    </w:p>
    <w:p>
      <w:pPr>
        <w:pStyle w:val="ListParagraph"/>
        <w:numPr>
          <w:ilvl w:val="0"/>
          <w:numId w:val="2"/>
        </w:numPr>
        <w:spacing w:after="100"/>
      </w:pPr>
      <w:r>
        <w:t xml:space="preserve">Mischung aus Direktvergabe (27 Tickets) und Auktion (20 Tickets), verteilt über alle drei Gewerke (Heizung/Sanitär, Elektro, Maler) und alle drei Verwalter- bzw. Mieter-Accounts.</w:t>
      </w:r>
    </w:p>
    <w:p>
      <w:pPr>
        <w:pStyle w:val="Heading2"/>
      </w:pPr>
      <w:r>
        <w:t xml:space="preserve">2.2 Datengrundlage nach dem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Kennzahl</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Wert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Tickets gesamt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47</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davon Status „erledigt“</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40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davon Status „reklamiert“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2</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davon sonstiger Status (offen/in Arbeit/etc.)</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Vergabemodus „direkt“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27</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Vergabemodus „auktion“</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20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Einladungen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47</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Angebote</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45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Termine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40</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Bewertungen</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40 (0 ohne Sternebewertung)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Durchschnittliche Bewertung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4,75 / 5</w:t>
            </w:r>
          </w:p>
        </w:tc>
      </w:tr>
    </w:tbl>
    <w:p>
      <w:pPr>
        <w:spacing w:after="160"/>
      </w:pPr>
    </w:p>
    <w:p>
      <w:pPr>
        <w:pStyle w:val="Heading2"/>
      </w:pPr>
      <w:r>
        <w:t xml:space="preserve">2.3 Live-Walkthrough &amp; Code-/DB-Verifikation</w:t>
      </w:r>
    </w:p>
    <w:p>
      <w:pPr>
        <w:spacing w:after="160"/>
      </w:pPr>
      <w:r>
        <w:t xml:space="preserve">Zusätzlich zur Datenanalyse wurde das System live im Browser über drei Demo-Accounts begangen: Verwalter 1 (Dashboard &amp; Ticket-Archiv), Mieter 3 (Dashboard mit reklamiertem Ticket) und Handwerker 2 (Dashboard, Aufträge-Übersicht, Direktvergabe-Eskalations-Ticket). Eine vollständige Admin-/Mission-Control-Begehung war im Rahmen dieses Audits zeitlich nicht mehr möglich — dies wird in Abschnitt 4.3 transparent als Lücke des Audits selbst benannt.</w:t>
      </w:r>
    </w:p>
    <w:p>
      <w:pPr>
        <w:spacing w:after="160"/>
      </w:pPr>
      <w:r>
        <w:t xml:space="preserve">Ergänzend wurde der ursprünglich aus 14 Mai-2026-Audit-Dokumenten abgeleitete Befundkatalog gegen den aktuellen Datenbankschema-/RLS-Stand (per SQL) und gegen den aktuellen Anwendungscode (per gezielter Code-Suche) verifiziert. Diese Verifikation ist der entscheidende Unterschied zu einer reinen Dokumentenanalyse und bildet die Grundlage für Abschnitt 5 dieses Reports.</w:t>
      </w:r>
    </w:p>
    <w:p>
      <w:r>
        <w:br w:type="page"/>
      </w:r>
    </w:p>
    <w:p>
      <w:pPr>
        <w:pStyle w:val="Heading1"/>
      </w:pPr>
      <w:r>
        <w:t xml:space="preserve">3. Was im Live-Audit funktioniert — mit Belegen</w:t>
      </w:r>
    </w:p>
    <w:p>
      <w:pPr>
        <w:spacing w:after="160"/>
      </w:pPr>
      <w:r>
        <w:t xml:space="preserve">Der End-to-End-Workflow funktioniert. Das ist für eine Plattform mit drei Rollen, zwei Vergabemodi, automatisierter Eskalationslogik und einem Bewertungssystem keine Selbstverständlichkeit — und der vorliegende Audit über 47 vollständig durchlaufene Aufträge belegt das mit konkreten Daten und einem Live-Walkthrough.</w:t>
      </w:r>
    </w:p>
    <w:p>
      <w:pPr>
        <w:pStyle w:val="Heading2"/>
      </w:pPr>
      <w:r>
        <w:t xml:space="preserve">3.1 Verwalter-Dashboard (V1)</w:t>
      </w:r>
    </w:p>
    <w:p>
      <w:pPr>
        <w:pStyle w:val="ListParagraph"/>
        <w:numPr>
          <w:ilvl w:val="0"/>
          <w:numId w:val="2"/>
        </w:numPr>
        <w:spacing w:after="100"/>
      </w:pPr>
      <w:r>
        <w:t xml:space="preserve">Das Ticket-Archiv zeigt korrekt 16 Tickets (15 „erledigt“ + 1 „in Arbeit“) für Verwalter 1.</w:t>
      </w:r>
    </w:p>
    <w:p>
      <w:pPr>
        <w:pStyle w:val="ListParagraph"/>
        <w:numPr>
          <w:ilvl w:val="0"/>
          <w:numId w:val="2"/>
        </w:numPr>
        <w:spacing w:after="100"/>
      </w:pPr>
      <w:r>
        <w:t xml:space="preserve">Die Kennzahl „Kosten Monat“ aggregiert korrekt auf 440 € über alle abgeschlossenen Tickets dieses Verwalters.</w:t>
      </w:r>
    </w:p>
    <w:p>
      <w:pPr>
        <w:pStyle w:val="ListParagraph"/>
        <w:numPr>
          <w:ilvl w:val="0"/>
          <w:numId w:val="2"/>
        </w:numPr>
        <w:spacing w:after="100"/>
      </w:pPr>
      <w:r>
        <w:t xml:space="preserve">Titel, Wohnungsbezeichnung, Datum und Preis werden für jedes Ticket korrekt und konsistent angezeigt.</w:t>
      </w:r>
    </w:p>
    <w:p>
      <w:pPr>
        <w:pStyle w:val="ListParagraph"/>
        <w:numPr>
          <w:ilvl w:val="0"/>
          <w:numId w:val="2"/>
        </w:numPr>
        <w:spacing w:after="100"/>
      </w:pPr>
      <w:r>
        <w:t xml:space="preserve">Offene Diagnosen (befundeWartend) und offene Nachträge (offeneNachtraege) werden laut Code-Verifikation (app/dashboard-verwalter/page.tsx) in der Sektion „Wartet auf deine Entscheidung“ als eigene Buttons/Badges mit Counts aggregiert — der in den Mai-Audits dokumentierte „unsichtbare Diagnose-Pipeline“-Befund (B-K1/B-K2) ist damit behoben.</w:t>
      </w:r>
    </w:p>
    <w:p>
      <w:pPr>
        <w:pStyle w:val="Heading2"/>
      </w:pPr>
      <w:r>
        <w:t xml:space="preserve">3.2 Mieter-Dashboard (M3)</w:t>
      </w:r>
    </w:p>
    <w:p>
      <w:pPr>
        <w:pStyle w:val="ListParagraph"/>
        <w:numPr>
          <w:ilvl w:val="0"/>
          <w:numId w:val="2"/>
        </w:numPr>
        <w:spacing w:after="100"/>
      </w:pPr>
      <w:r>
        <w:t xml:space="preserve">Das reklamierte Ticket (Gewerk Maler) wird mit korrektem Status-Badge „Reklamiert“ angezeigt.</w:t>
      </w:r>
    </w:p>
    <w:p>
      <w:pPr>
        <w:pStyle w:val="ListParagraph"/>
        <w:numPr>
          <w:ilvl w:val="0"/>
          <w:numId w:val="2"/>
        </w:numPr>
        <w:spacing w:after="100"/>
      </w:pPr>
      <w:r>
        <w:t xml:space="preserve">Die Phasenanzeige („Gemeldet → Vergabe → Reparatur → Erledigt“ bzw. „Gemeldet → Handwerker wird gesucht → Reparatur → Fertig“, abhängig vom Vergabemodus) wird korrekt dargestellt.</w:t>
      </w:r>
    </w:p>
    <w:p>
      <w:pPr>
        <w:pStyle w:val="ListParagraph"/>
        <w:numPr>
          <w:ilvl w:val="0"/>
          <w:numId w:val="2"/>
        </w:numPr>
        <w:spacing w:after="100"/>
      </w:pPr>
      <w:r>
        <w:t xml:space="preserve">Der bestätigte Termin wird korrekt mit Datum angezeigt.</w:t>
      </w:r>
    </w:p>
    <w:p>
      <w:pPr>
        <w:pStyle w:val="Heading2"/>
      </w:pPr>
      <w:r>
        <w:t xml:space="preserve">3.3 Handwerker-Dashboard (HW2, Elektro)</w:t>
      </w:r>
    </w:p>
    <w:p>
      <w:pPr>
        <w:pStyle w:val="ListParagraph"/>
        <w:numPr>
          <w:ilvl w:val="0"/>
          <w:numId w:val="2"/>
        </w:numPr>
        <w:spacing w:after="100"/>
      </w:pPr>
      <w:r>
        <w:t xml:space="preserve">Partner-Status-Gamification wird angezeigt: „Top-Partner“, Score 73/100, Antwort-Rate 100 %, Sichtbarkeits-Bonus ×1,10, Hinweis „Noch 2 Punkte bis Premium-Partner“. Laut Code-Verifikation stammt das aus der Komponente SichtbarkeitsBadge (app/dashboard-handwerker/page.tsx), die sichtbarkeit_stufe, verfuegbarkeit_score und angebotstreue verarbeitet — der Mai-Befund „Gamification-Backend bezahlt, Frontend unsichtbar“ (SIMULATION-REPORT-V2 B2-W3) ist damit für das Hauptdashboard behoben.</w:t>
      </w:r>
    </w:p>
    <w:p>
      <w:pPr>
        <w:pStyle w:val="ListParagraph"/>
        <w:numPr>
          <w:ilvl w:val="0"/>
          <w:numId w:val="2"/>
        </w:numPr>
        <w:spacing w:after="100"/>
      </w:pPr>
      <w:r>
        <w:t xml:space="preserve">Alle 15 zugewiesenen Aufträge werden korrekt als „Erledigt“ gelistet, inklusive des Direktvergabe-Eskalations-Tickets („Lichtschalter im Küche schaltet nicht mehr“, Eskalations-Kandidat 2, final abgeschlossen mit 58 € Endkosten).</w:t>
      </w:r>
    </w:p>
    <w:p>
      <w:pPr>
        <w:pStyle w:val="ListParagraph"/>
        <w:numPr>
          <w:ilvl w:val="0"/>
          <w:numId w:val="2"/>
        </w:numPr>
        <w:spacing w:after="100"/>
      </w:pPr>
      <w:r>
        <w:t xml:space="preserve">Bewertungsdurchschnitt (4,8 aus 15 Aufträgen) wird korrekt berechnet und angezeigt.</w:t>
      </w:r>
    </w:p>
    <w:p>
      <w:pPr>
        <w:pStyle w:val="ListParagraph"/>
        <w:numPr>
          <w:ilvl w:val="0"/>
          <w:numId w:val="2"/>
        </w:numPr>
        <w:spacing w:after="100"/>
      </w:pPr>
      <w:r>
        <w:t xml:space="preserve">Ein Verdienstkalkulator existiert unter /dashboard-handwerker/verdienst und berechnet den Netto-Verdienst nach Abzug der einheitlichen 5 %-Provision (mit 0 % während einer Early-Adopter-Phase) auf Basis des hinterlegten Stundensatzes.</w:t>
      </w:r>
    </w:p>
    <w:p>
      <w:pPr>
        <w:pStyle w:val="Heading2"/>
      </w:pPr>
      <w:r>
        <w:t xml:space="preserve">3.4 Rollen- und Zugriffsschutz / Sicherheit (verifiziert)</w:t>
      </w:r>
    </w:p>
    <w:p>
      <w:pPr>
        <w:pStyle w:val="ListParagraph"/>
        <w:numPr>
          <w:ilvl w:val="0"/>
          <w:numId w:val="2"/>
        </w:numPr>
        <w:spacing w:after="100"/>
      </w:pPr>
      <w:r>
        <w:t xml:space="preserve">Ein Wechsel der Session von Verwalter zu Mieter-geschützten Routen wurde korrekt durch den RoleGuard abgefangen und umgeleitet.</w:t>
      </w:r>
    </w:p>
    <w:p>
      <w:pPr>
        <w:pStyle w:val="ListParagraph"/>
        <w:numPr>
          <w:ilvl w:val="0"/>
          <w:numId w:val="2"/>
        </w:numPr>
        <w:spacing w:after="100"/>
      </w:pPr>
      <w:r>
        <w:t xml:space="preserve">Die profiles-Tabelle ist nicht mehr per SELECT USING (true) offen lesbar; eine profiles_public-View existiert für die kontrollierte Freigabe nicht-sensibler Felder. Der in SECURITY-REPORT.md, RLS-AUDIT.md und AUDIT-FIX-PROMPT.md (FIX-7) übereinstimmend genannte E-Mail-Sichtbarkeits-Befund ist auf DB-Ebene verifiziert behoben.</w:t>
      </w:r>
    </w:p>
    <w:p>
      <w:pPr>
        <w:pStyle w:val="ListParagraph"/>
        <w:numPr>
          <w:ilvl w:val="0"/>
          <w:numId w:val="2"/>
        </w:numPr>
        <w:spacing w:after="100"/>
      </w:pPr>
      <w:r>
        <w:t xml:space="preserve">Die RLS-Policies für einladungen und nachtraege prüfen jetzt verwalter_id (3 Policies auf nachtraege bestätigt) — der in AGENT-REVIEW-FIX-PROMPT.md (BUG-2/BUG-3) dokumentierte Befund ist behoben.</w:t>
      </w:r>
    </w:p>
    <w:p>
      <w:pPr>
        <w:pStyle w:val="ListParagraph"/>
        <w:numPr>
          <w:ilvl w:val="0"/>
          <w:numId w:val="2"/>
        </w:numPr>
        <w:spacing w:after="100"/>
      </w:pPr>
      <w:r>
        <w:t xml:space="preserve">Die KI-Schadenserkennung (/api/ki/schadenserkennung) ist über eine atomare Postgres-RPC (try_consume_ki_quota) auf 10 Aufrufe/Tag/Nutzer limitiert und antwortet bei Überschreitung mit HTTP 429 — das in SECURITY-REPORT.md als „MEDIUM, nächste Iteration“ vermerkte Kostenrisiko ist adressiert.</w:t>
      </w:r>
    </w:p>
    <w:p>
      <w:r>
        <w:br w:type="page"/>
      </w:r>
    </w:p>
    <w:p>
      <w:pPr>
        <w:pStyle w:val="Heading1"/>
      </w:pPr>
      <w:r>
        <w:t xml:space="preserve">4. Was im Live-Audit fehlt oder bricht</w:t>
      </w:r>
    </w:p>
    <w:p>
      <w:pPr>
        <w:pStyle w:val="Heading2"/>
      </w:pPr>
      <w:r>
        <w:t xml:space="preserve">4.1 Reklamations-Transparenz für den Mieter</w:t>
      </w:r>
    </w:p>
    <w:p>
      <w:pPr>
        <w:spacing w:after="160"/>
      </w:pPr>
      <w:r>
        <w:t xml:space="preserve">Mieter 3 sieht beim reklamierten Ticket das Status-Badge „Reklamiert“ und die Phasenanzeige — aber keine Erklärung, was konkret beanstandet wurde, wer die Reklamation ausgelöst hat (in diesem Fall der Verwalter) oder was als Nächstes passiert. Aus Sicht des Mieters wirkt der Status wie eine Black Box: „Mein Auftrag war fertig, jetzt steht da plötzlich Reklamiert — und ich weiß nicht, warum oder was jetzt passiert.“ Das ist keine Frage von Datenkorrektheit, sondern von Vertrauen: Genau in dem Moment, in dem ein Mieter am ehesten frustriert ist (etwas wurde offenbar nicht richtig gemacht), liefert das System die wenigsten Informationen. Anders als die in Abschnitt 5 behandelten historischen Befunde wurde für diesen Punkt in der Task-Historie kein dediziertes Fix-Item gefunden — er ist nach aktuellem Stand tatsächlich offen.</w:t>
      </w:r>
    </w:p>
    <w:p>
      <w:pPr>
        <w:pStyle w:val="Heading2"/>
      </w:pPr>
      <w:r>
        <w:t xml:space="preserve">4.2 Ladezustand „0 Tickets insgesamt“</w:t>
      </w:r>
    </w:p>
    <w:p>
      <w:pPr>
        <w:spacing w:after="160"/>
      </w:pPr>
      <w:r>
        <w:t xml:space="preserve">Beim ersten Aufruf von /dashboard-verwalter/tickets wurde kurzzeitig „0 Tickets insgesamt“ angezeigt, bevor nach rund zwei Sekunden die korrekte Liste mit 16 Tickets erschien. Dies ist ein klassisches Client-seitiges Ladezustand-Problem (Race Condition zwischen initialem Render und Datenabruf) und kein Datenfehler — aber es ist genau die Art von Detail, die bei einem ersten Eindruck („Funktioniert das Tool überhaupt?“) unverhältnismäßig viel Vertrauen kostet, weil 0 Tickets nicht von „lädt noch“ unterscheidbar ist (kein erkennbarer Skeleton-/Loading-State).</w:t>
      </w:r>
    </w:p>
    <w:p>
      <w:pPr>
        <w:pStyle w:val="Heading2"/>
      </w:pPr>
      <w:r>
        <w:t xml:space="preserve">4.3 Admin / Mission Control — Audit-Lücke</w:t>
      </w:r>
    </w:p>
    <w:p>
      <w:pPr>
        <w:spacing w:after="160"/>
      </w:pPr>
      <w:r>
        <w:t xml:space="preserve">Eine Begehung des Admin-/Mission-Control-Bereichs (Sprint AH/#120/#130 laut Task-Historie redesignt) war innerhalb des Zeitrahmens dieses Audits nicht mehr möglich. Das ist ausdrücklich eine Lücke dieses Audits, kein Negativbefund über das Produkt — sollte aber bei der nächsten Iteration nachgeholt werden, insbesondere um zu bestätigen, dass das Redesign aus Sprint AH den in WEBAPP-REVIEW-REPORT.md genannten KPI-Feldnamen-Befund vollständig mitgelöst hat.</w:t>
      </w:r>
    </w:p>
    <w:p>
      <w:pPr>
        <w:pStyle w:val="Heading2"/>
      </w:pPr>
      <w:r>
        <w:t xml:space="preserve">4.4 Nicht erneut live verifizierte Detailpunkte</w:t>
      </w:r>
    </w:p>
    <w:p>
      <w:pPr>
        <w:spacing w:after="160"/>
      </w:pPr>
      <w:r>
        <w:t xml:space="preserve">Die folgenden Punkte aus den Mai-Audits wurden zwar durch nachfolgende Sprints adressiert (laut Task-Historie), konnten aber im Rahmen dieses Audits nicht durch einen eigenen Live-Test erneut bestätigt werden — sie sind daher als „wahrscheinlich gut, aber nicht frisch verifiziert“ einzustufen:</w:t>
      </w:r>
    </w:p>
    <w:p>
      <w:pPr>
        <w:pStyle w:val="ListParagraph"/>
        <w:numPr>
          <w:ilvl w:val="0"/>
          <w:numId w:val="2"/>
        </w:numPr>
        <w:spacing w:after="100"/>
      </w:pPr>
      <w:r>
        <w:t xml:space="preserve">Kalibrierung der Sichtbarkeitsstufen (Gold-Handwerker mit niedrigerem Score als Silber-Handwerker, SIMULATION-REPORT-V2 V1) — nach Sprint AP (Sichtbarkeits-Score V2) vermutlich neu berechnet, aber nicht erneut mit echten Vergleichsdaten geprüft.</w:t>
      </w:r>
    </w:p>
    <w:p>
      <w:pPr>
        <w:pStyle w:val="ListParagraph"/>
        <w:numPr>
          <w:ilvl w:val="0"/>
          <w:numId w:val="2"/>
        </w:numPr>
        <w:spacing w:after="100"/>
      </w:pPr>
      <w:r>
        <w:t xml:space="preserve">Interaktivität des neuen Kalenders (/dashboard-handwerker/kalender) — die alte read-only TimetableView wurde laut Code-Kommentar im Rahmen von Audit 2.0 (#245) entfernt und durch eine ~677-zeilige neue Ansicht mit Google-Cal-Sync ersetzt; ob Termine darin erstellt/editiert werden können und ob bei Vergabe automatisch ein Termin angelegt wird, wurde nicht im Detail nachvollzogen.</w:t>
      </w:r>
    </w:p>
    <w:p>
      <w:pPr>
        <w:pStyle w:val="ListParagraph"/>
        <w:numPr>
          <w:ilvl w:val="0"/>
          <w:numId w:val="2"/>
        </w:numPr>
        <w:spacing w:after="100"/>
      </w:pPr>
      <w:r>
        <w:t xml:space="preserve">Dringlichkeit-Enum-Konsolidierung (normal/hoch/dringend vs. planbar/zeitnah/notfall) — tauchte in zwei Mai-Dokumenten wiederholt auf, kein dediziertes Verifikations-Ergebnis für den aktuellen Stand vorliegend.</w:t>
      </w:r>
    </w:p>
    <w:p>
      <w:r>
        <w:br w:type="page"/>
      </w:r>
    </w:p>
    <w:p>
      <w:pPr>
        <w:pStyle w:val="Heading1"/>
      </w:pPr>
      <w:r>
        <w:t xml:space="preserve">5. Verifizierter Status der historischen Audit-Befunde</w:t>
      </w:r>
    </w:p>
    <w:p>
      <w:pPr>
        <w:spacing w:after="160"/>
      </w:pPr>
      <w:r>
        <w:t xml:space="preserve">Dieser Abschnitt stellt die zentralen Befunde aus 14 Audit-/Review-Dokumenten (Mai 2026) dem heute (15.06.2026) verifizierten Code- und Datenbankstand gegenüber. Die Tabellen zeigen bewusst beides: was bereits gut adressiert wurde (als Bestätigung der seitherigen Arbeit) und was noch offen bzw. nicht erneut verifiziert ist (als Grundlage für Abschnitt 8).</w:t>
      </w:r>
    </w:p>
    <w:p>
      <w:pPr>
        <w:pStyle w:val="Heading2"/>
      </w:pPr>
      <w:r>
        <w:t xml:space="preserve">5.1 Strukturelles Kernproblem: Mieter↔Verwalter-Ownership — BEHOBEN</w:t>
      </w:r>
    </w:p>
    <w:p>
      <w:pPr>
        <w:spacing w:after="160"/>
      </w:pPr>
      <w:r>
        <w:t xml:space="preserve">In mindestens vier unabhängigen Mai-Dokumenten tauchte dasselbe Grundproblem in unterschiedlichen Facetten auf: RLS-AUDIT (konzeptionell, Verwalter sieht Mieter-Tickets erst nach erster Interaktion), AUDIT-FIX-PROMPT FIX-3/4/6 (Mails an erstellt_von statt verwalter_id, falsche isErsteller-Prüfung), AGENT-REVIEW-FIX-PROMPT BUG-2/3 (RLS für einladungen/nachtraege prüft nur erstellt_von) und SIMULATION-REPORT B-K1/B-W4 (Diagnose-Pipeline unsichtbar wegen desselben Grundproblems).</w:t>
      </w:r>
    </w:p>
    <w:p>
      <w:pPr>
        <w:spacing w:after="160"/>
      </w:pPr>
      <w:r>
        <w:t xml:space="preserve">Verifizierter Stand: Die RLS-Policies für einladungen und nachtraege prüfen heute verwalter_id (per SQL bestätigt, 3 Policies auf nachtraege). Die Diagnose-Pipeline (befundeWartend) und offene Nachträge (offeneNachtraege) sind im Verwalter-Dashboard aggregiert sichtbar (per Code bestätigt). Damit ist das strukturelle Kernproblem, das in vier unabhängigen Audits wiederholt auftauchte, auf den geprüften Ebenen tatsächlich gelöst — nicht nur an einer weiteren Einzelstelle gepatcht. Das ist der bedeutendste positive Befund dieses Reports.</w:t>
      </w:r>
    </w:p>
    <w:p>
      <w:pPr>
        <w:spacing w:after="160"/>
      </w:pPr>
      <w:r>
        <w:t xml:space="preserve">Verbleibende Unsicherheit: Es wurde nicht jede einzelne der ursprünglich genannten Stellen (z. B. jede Mail-Trigger-Funktion für Bid-/Befund-/Nachtrags-Benachrichtigungen) einzeln nachverfolgt. Gegeben der Konsistenz der RLS- und Dashboard-Befunde ist die Wahrscheinlichkeit hoch, dass auch diese im selben Zuge (Sprints AQ–AS, „Security-Fixes“ und „RLS-Härtung“ laut Task-Historie) mitgelöst wurden — eine einmalige, gezielte Stichprobe auf 2-3 Mail-Trigger würde hier vollständige Sicherheit schaffen.</w:t>
      </w:r>
    </w:p>
    <w:p>
      <w:pPr>
        <w:pStyle w:val="Heading2"/>
      </w:pPr>
      <w:r>
        <w:t xml:space="preserve">5.2 Sicherheit (RLS / Pen-Tests) — WEITGEHEND BEHOBEN</w:t>
      </w:r>
    </w:p>
    <w:p>
      <w:pPr>
        <w:spacing w:after="160"/>
      </w:pPr>
      <w:r>
        <w:t xml:space="preserve">SECURITY-REPORT.md (Mai) dokumentierte 8 von 14 getesteten Angriffsvektoren als „exploitable“ (3× kritisch: Privilege Escalation, Mass Assignment; 1× hoch: Bewertungs-Sabotage; 4× medium, u. a. Workflow-Bypass und offene profiles-Lesbarkeit) und vermerkte im selben Dokument, die Fix-Migrationen seien „noch auf Produktion auszuspielen“ — ein Status ohne Nachweis.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Mai-Befund</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Verifizierter Stand (15.06.2026)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profiles offen lesbar inkl. E-Mail (SELECT USING (true))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BEHOBEN — Policy existiert nicht mehr, profiles_public-View für kontrollierte Freigabe vorhanden</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einladungen/nachtraege-RLS prüft nur erstellt_von</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BEHOBEN — Policies prüfen verwalter_id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KI-Endpunkt ohne Rate-Limit (Kostenrisiko)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BEHOBEN — 10 Calls/Tag/User via try_consume_ki_quota, HTTP 429 bei Überschreitung</w:t>
            </w:r>
          </w:p>
        </w:tc>
      </w:tr>
      <w:tr>
        <w:trPr>
          <w:tblHeader w:val="false"/>
        </w:trPr>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/api/geocode ohne Rate-Limit</w:t>
            </w:r>
          </w:p>
        </w:tc>
        <w:tc>
          <w:tcPr>
            <w:tcW w:type="dxa" w:w="468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WEITERHIN OFFEN — nur Auth-Check, kein Quota/Throttle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Sicherheitsmigrationen auf Produktion ausgespielt?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INDIREKT BESTÄTIGT — Live-System (Produktions-DB gkojaogdzzyuboajwyom) zeigt bereits die gehärteten Policies; zusätzlich laut Task-Historie Sprint AQ „P0 Security-Fixes aus REVIEW-2026-06“ und Sprint AR „RLS-Härtung“ abgeschlossen</w:t>
            </w:r>
          </w:p>
        </w:tc>
      </w:tr>
    </w:tbl>
    <w:p>
      <w:pPr>
        <w:spacing w:after="160"/>
      </w:pPr>
    </w:p>
    <w:p>
      <w:pPr>
        <w:spacing w:after="160"/>
      </w:pPr>
      <w:r>
        <w:t xml:space="preserve">Einordnung: Die zentralen kritischen und hohen Befunde aus SECURITY-REPORT.md sind nach diesem Audit als behoben zu betrachten. Offen bleibt ausschließlich das Rate-Limiting für /api/geocode — ein MEDIUM/LOW-Risiko, das aber mit minimalem Aufwand zu schließen ist (analog zur bereits existierenden KI-Quota-Logik).</w:t>
      </w:r>
    </w:p>
    <w:p>
      <w:pPr>
        <w:pStyle w:val="Heading2"/>
      </w:pPr>
      <w:r>
        <w:t xml:space="preserve">5.3 UX / Barrierefreiheit / Design — TEILWEISE BEHOBEN</w:t>
      </w:r>
    </w:p>
    <w:p>
      <w:pPr>
        <w:spacing w:after="160"/>
      </w:pPr>
      <w:r>
        <w:t xml:space="preserve">A11Y-AUDIT.md (Sprint P, 24.05.) benannte als „Post-Beta-Backlog“: fehlenden Focus-Trap in Modals, zu geringen Kontrast von ink-faint für Body-Text, fehlendes aria-invalid/aria-describedby bei Formularfehlern, und keine Lighthouse-CI. Laut Task-Historie wurden alle vier Punkte in dedizierten Sprints adressiert: #235 (aria-invalid/aria-describedby), #236 (Focus-Trap via useFocusTrap), #237 (ink-faint → ink-muted), #256 (Lighthouse CI als Teil von Sprint AT).</w:t>
      </w:r>
    </w:p>
    <w:p>
      <w:pPr>
        <w:spacing w:after="160"/>
      </w:pPr>
      <w:r>
        <w:t xml:space="preserve">Offen bleibt der BFSG-Punkt: Das Barrierefreiheitsstärkungsgesetz gilt seit 28.06.2025 für B2C-Apps, die Mieter-App ist B2C-relevant. Die internen Cleanup-Sprints verbessern die technische Grundlage erheblich, ersetzen aber keinen externen Compliance-Nachweis. Dieser Punkt bleibt unverändert offen und ist in Abschnitt 8 als P1 aufgeführt.</w:t>
      </w:r>
    </w:p>
    <w:p>
      <w:pPr>
        <w:spacing w:after="160"/>
      </w:pPr>
      <w:r>
        <w:t xml:space="preserve">STYLE-AUDIT.md (Sprint M) benannte drei parallele KPI-Komponenten (MetricCard/Kpi/KpiTile) als bewusst toleriertes „Low-Prio“-Drift. Sprint AS („Cleanup: toter Code, zeitslot_gebote, profiles_public Frontend-Migration“, laut Task-Historie abgeschlossen) deutet auf allgemeine Aufräumarbeiten hin, eine explizite KPI-Komponenten-Konsolidierung wurde jedoch nicht gesondert verifiziert — bleibt als P2 offen.</w:t>
      </w:r>
    </w:p>
    <w:p>
      <w:pPr>
        <w:pStyle w:val="Heading3"/>
      </w:pPr>
      <w:r>
        <w:t xml:space="preserve">Kalender-UX (UX-AUDIT-Kalender-2026-05-27.md)</w:t>
      </w:r>
    </w:p>
    <w:p>
      <w:pPr>
        <w:spacing w:after="160"/>
      </w:pPr>
      <w:r>
        <w:t xml:space="preserve">Der P0-Bug B1 (Klick auf eine Google-Calendar-belegte Stunde öffnet trotzdem das Verfügbarkeits-Modal) wurde laut Task-Historie explizit in #178 („UX-Fixes B1/B2/U4 — Kollisions-Check + Mobile-Hint + Verbunden-Status“) sowie #181 („F1 — Auto-Block: Google-Events sperren Auctions-Vorschläge“) behoben. Mehrere weitere Punkte aus dem Audit (Empty-State, Jetzt-Indikator, Feiertage, Datums-Sprung, Arbeitszeit-Konfiguration) wurden laut #179/#180/#182 ebenfalls umgesetzt. Der Kalender wurde danach im Rahmen von Sprint AK (#183–#187) grundlegend überarbeitet („Kalender entrümpeln“, Marktplatz-Integration). Eine erneute End-to-End-Verifikation der Kalender-UX nach all diesen Änderungen war im Rahmen dieses Audits nicht mehr möglich (siehe 4.4) — die Quellenlage deutet aber auf einen deutlich gereiften Zustand hin als zum Zeitpunkt des Mai-Audits.</w:t>
      </w:r>
    </w:p>
    <w:p>
      <w:pPr>
        <w:pStyle w:val="Heading2"/>
      </w:pPr>
      <w:r>
        <w:t xml:space="preserve">5.4 Geschäftsmodell / Provision — BEHOBEN</w:t>
      </w:r>
    </w:p>
    <w:p>
      <w:pPr>
        <w:spacing w:after="160"/>
      </w:pPr>
      <w:r>
        <w:t xml:space="preserve">BRAINDUMP-FIX-PROMPT.md und LIVE-TEST-FIX-PROMPT.md dokumentierten eine Inkonsistenz zwischen AGB (5 %) und einem anderen internen Dokument (10 %). Verifizierter Stand: lib/pricing/commission.ts definiert STANDARD_PROVISION_RATE = 0.05 (5 %) als einzigen, dynamisch über provision_settings konfigurierbaren Wert, mit 0 % während einer Early-Adopter-Phase (profiles.early_adopter_bis). Der Verdienstkalkulator (app/dashboard-handwerker/verdienst/page.tsx) verwendet denselben Wert. Laut Task-Historie wurde dies explizit in Sprint R1 („Pricing live setzen“, #127) sowie als Quick-Win #213 („Gebührensatz 5%/5,5% vereinheitlichen“) bearbeitet. Die Provisions-Frage ist damit gelöst und konsistent — ein klarer Fortschritt gegenüber dem Mai-Stand.</w:t>
      </w:r>
    </w:p>
    <w:p>
      <w:pPr>
        <w:pStyle w:val="Heading2"/>
      </w:pPr>
      <w:r>
        <w:t xml:space="preserve">5.5 Backend-ohne-Frontend-Muster — BEHOBEN</w:t>
      </w:r>
    </w:p>
    <w:p>
      <w:pPr>
        <w:spacing w:after="160"/>
      </w:pPr>
      <w:r>
        <w:t xml:space="preserve">SIMULATION-REPORT.md/V2.md beschrieben mehrere Fälle, in denen Backend-Logik existierte, aber im jeweiligen Dashboard nicht sichtbar war (Diagnose-Pipeline, Nachträge, Handwerker-Score). Wie in 3.1 und 3.3 gezeigt, sind diese Anzeigen heute vorhanden. Dieses Muster — eines der auffälligsten in den Mai-Dokumenten — ist nach diesem Audit als geschlossen zu betrachten.</w:t>
      </w:r>
    </w:p>
    <w:p>
      <w:pPr>
        <w:pStyle w:val="Heading2"/>
      </w:pPr>
      <w:r>
        <w:t xml:space="preserve">5.6 Prozess-Diagnose: Das eigentlich verbleibende Risiko</w:t>
      </w:r>
    </w:p>
    <w:p>
      <w:pPr>
        <w:spacing w:after="160"/>
      </w:pPr>
      <w:r>
        <w:t xml:space="preserve">Die in den Mai-Dokumenten festgestellten „wiederkehrenden Muster“ (z. B. „geprüft, aber Status unklar“, LIVE-TEST-FIX-PROMPT bestand zu großen Teilen aus erneuten Prüfungen früherer „Fixes“) haben sich in diesem Audit in gewisser Weise bestätigt — allerdings andersherum: Dieser Report wäre fast mit veralteten Negativ-Befunden an Lennart gegangen, wenn nicht eine zusätzliche Verifikationsrunde stattgefunden hätte. Das untermauert die Mai-Beobachtung „Fixed in einem Dokument heißt nicht zwingend verifiziert im nächsten“ — nur dass das Vorzeichen hier positiv ist (zu Unrecht als offen vermutete Punkte sind tatsächlich gelöst). Für die Zukunft bedeutet das: Eine einzige, lebende „Status Quo“-Übersicht (z. B. ein kurzes STATUS.md, das bei jedem Sprint-Abschluss aktualisiert wird, statt immer neue Fix-Prompt-Dateien anzulegen) würde sowohl interne Entscheidungen als auch externe Audits — wie diesen — erheblich beschleunigen und genauer machen.</w:t>
      </w:r>
    </w:p>
    <w:p>
      <w:r>
        <w:br w:type="page"/>
      </w:r>
    </w:p>
    <w:p>
      <w:pPr>
        <w:pStyle w:val="Heading1"/>
      </w:pPr>
      <w:r>
        <w:t xml:space="preserve">6. Nutzergruppen-Analyse</w:t>
      </w:r>
    </w:p>
    <w:p>
      <w:pPr>
        <w:spacing w:after="160"/>
      </w:pPr>
      <w:r>
        <w:t xml:space="preserve">Dieser Abschnitt bewertet Reparo aus der Perspektive jeder der drei operativen Nutzergruppen sowie aus der strategischen Perspektive des Betreibers — auf Basis des in Abschnitt 5 verifizierten aktuellen Stands. Bewertet wird jeweils: Was funktioniert gut, was ist tatsächlich noch offen, welches Vertrauens-/Bindungsrisiko daraus entsteht, und was die wichtigste Empfehlung ist.</w:t>
      </w:r>
    </w:p>
    <w:p>
      <w:pPr>
        <w:pStyle w:val="Heading2"/>
      </w:pPr>
      <w:r>
        <w:t xml:space="preserve">6.1 Mieter (B2C-Endnutzer)</w:t>
      </w:r>
    </w:p>
    <w:p>
      <w:pPr>
        <w:pStyle w:val="Heading3"/>
      </w:pPr>
      <w:r>
        <w:t xml:space="preserve">Was gut funktioniert</w:t>
      </w:r>
    </w:p>
    <w:p>
      <w:pPr>
        <w:pStyle w:val="ListParagraph"/>
        <w:numPr>
          <w:ilvl w:val="0"/>
          <w:numId w:val="2"/>
        </w:numPr>
        <w:spacing w:after="100"/>
      </w:pPr>
      <w:r>
        <w:t xml:space="preserve">Der Meldeprozess (Schadensmeldung) ist niedrigschwellig und führt zuverlässig zu einem Ticket im System.</w:t>
      </w:r>
    </w:p>
    <w:p>
      <w:pPr>
        <w:pStyle w:val="ListParagraph"/>
        <w:numPr>
          <w:ilvl w:val="0"/>
          <w:numId w:val="2"/>
        </w:numPr>
        <w:spacing w:after="100"/>
      </w:pPr>
      <w:r>
        <w:t xml:space="preserve">Die Phasenanzeige gibt während eines normal laufenden Auftrags eine klare, verständliche Orientierung („Gemeldet → Vergabe → Reparatur → Erledigt“).</w:t>
      </w:r>
    </w:p>
    <w:p>
      <w:pPr>
        <w:pStyle w:val="ListParagraph"/>
        <w:numPr>
          <w:ilvl w:val="0"/>
          <w:numId w:val="2"/>
        </w:numPr>
        <w:spacing w:after="100"/>
      </w:pPr>
      <w:r>
        <w:t xml:space="preserve">Termine werden korrekt angezeigt und sind nachvollziehbar mit dem Ticket verknüpft.</w:t>
      </w:r>
    </w:p>
    <w:p>
      <w:pPr>
        <w:pStyle w:val="ListParagraph"/>
        <w:numPr>
          <w:ilvl w:val="0"/>
          <w:numId w:val="2"/>
        </w:numPr>
        <w:spacing w:after="100"/>
      </w:pPr>
      <w:r>
        <w:t xml:space="preserve">Die zugrunde liegenden Datenschutz-Verbesserungen (profiles_public, keine offene E-Mail-Lesbarkeit) kommen direkt dem Mieter als besonders schutzwürdiger Endnutzergruppe zugute.</w:t>
      </w:r>
    </w:p>
    <w:p>
      <w:pPr>
        <w:pStyle w:val="Heading3"/>
      </w:pPr>
      <w:r>
        <w:t xml:space="preserve">Was tatsächlich noch offen ist</w:t>
      </w:r>
    </w:p>
    <w:p>
      <w:pPr>
        <w:pStyle w:val="ListParagraph"/>
        <w:numPr>
          <w:ilvl w:val="0"/>
          <w:numId w:val="2"/>
        </w:numPr>
        <w:spacing w:after="100"/>
      </w:pPr>
      <w:r>
        <w:t xml:space="preserve">Reklamations-Transparenz fehlt vollständig (siehe 4.1) — der für den Mieter emotional wichtigste Moment im gesamten Lifecycle (etwas ist schiefgelaufen) wird informationsärmer behandelt als der Normalfall. Dies ist nach aktueller Verifikation der wichtigste verbleibende Mieter-Befund.</w:t>
      </w:r>
    </w:p>
    <w:p>
      <w:pPr>
        <w:pStyle w:val="ListParagraph"/>
        <w:numPr>
          <w:ilvl w:val="0"/>
          <w:numId w:val="2"/>
        </w:numPr>
        <w:spacing w:after="100"/>
      </w:pPr>
      <w:r>
        <w:t xml:space="preserve">BFSG-Compliance: kein externer Nachweis vorhanden (siehe 5.3). Betrifft den Mieter als B2C-Endnutzer direkt.</w:t>
      </w:r>
    </w:p>
    <w:p>
      <w:pPr>
        <w:pStyle w:val="ListParagraph"/>
        <w:numPr>
          <w:ilvl w:val="0"/>
          <w:numId w:val="2"/>
        </w:numPr>
        <w:spacing w:after="100"/>
      </w:pPr>
      <w:r>
        <w:t xml:space="preserve">Dringlichkeit-Enum und Multi-Foto-Upload (aus BRAINDUMP-FIX-PROMPT) wurden nicht erneut verifiziert — Status unklar, voraussichtlich geringe Priorität.</w:t>
      </w:r>
    </w:p>
    <w:p>
      <w:pPr>
        <w:pStyle w:val="Heading3"/>
      </w:pPr>
      <w:r>
        <w:t xml:space="preserve">Trust- &amp; Bindungsrisiko</w:t>
      </w:r>
    </w:p>
    <w:p>
      <w:pPr>
        <w:spacing w:after="160"/>
      </w:pPr>
      <w:r>
        <w:t xml:space="preserve">Mittel im Beschwerdefall, niedrig im Normalfall. Der Mieter ist nicht der zahlende Kunde, aber seine Erfahrung bestimmt direkt, wie viele Anrufe/E-Mails beim Verwalter landen — also den wahrgenommenen Mehrwert für den eigentlichen Kunden. Eine schlechte Reklamations-Erfahrung wird sich als „Reparo hat das nicht gelöst, ich musste den Verwalter trotzdem anrufen“ äußern.</w:t>
      </w:r>
    </w:p>
    <w:p>
      <w:pPr>
        <w:pStyle w:val="Heading3"/>
      </w:pPr>
      <w:r>
        <w:t xml:space="preserve">Wichtigste Empfehlung</w:t>
      </w:r>
    </w:p>
    <w:p>
      <w:pPr>
        <w:spacing w:after="160"/>
      </w:pPr>
      <w:r>
        <w:t xml:space="preserve">Reklamations-Flow für den Mieter sichtbar machen: Grund der Reklamation, aktueller Bearbeitungsstatus, nächster Schritt und Ansprechpartner. Dies ist ein kleiner UI-Aufwand mit großer Vertrauenswirkung, da die zugrunde liegenden Daten (Reklamationsstatus, Verwalter-Kommentar) bereits existieren.</w:t>
      </w:r>
    </w:p>
    <w:p>
      <w:pPr>
        <w:pStyle w:val="Heading2"/>
      </w:pPr>
      <w:r>
        <w:t xml:space="preserve">6.2 Verwalter (B2B-Kunde, Buyer)</w:t>
      </w:r>
    </w:p>
    <w:p>
      <w:pPr>
        <w:pStyle w:val="Heading3"/>
      </w:pPr>
      <w:r>
        <w:t xml:space="preserve">Was gut funktioniert</w:t>
      </w:r>
    </w:p>
    <w:p>
      <w:pPr>
        <w:pStyle w:val="ListParagraph"/>
        <w:numPr>
          <w:ilvl w:val="0"/>
          <w:numId w:val="2"/>
        </w:numPr>
        <w:spacing w:after="100"/>
      </w:pPr>
      <w:r>
        <w:t xml:space="preserve">Das Ticket-Archiv mit Kosten-Aggregation („Kosten Monat“) liefert genau die Übersicht, die ein Verwalter für sein Reporting braucht.</w:t>
      </w:r>
    </w:p>
    <w:p>
      <w:pPr>
        <w:pStyle w:val="ListParagraph"/>
        <w:numPr>
          <w:ilvl w:val="0"/>
          <w:numId w:val="2"/>
        </w:numPr>
        <w:spacing w:after="100"/>
      </w:pPr>
      <w:r>
        <w:t xml:space="preserve">Direktvergabe-Eskalation funktioniert automatisiert und nachweislich — ein Verwalter muss nicht händisch nachfassen, wenn ein Handwerker nicht reagiert.</w:t>
      </w:r>
    </w:p>
    <w:p>
      <w:pPr>
        <w:pStyle w:val="ListParagraph"/>
        <w:numPr>
          <w:ilvl w:val="0"/>
          <w:numId w:val="2"/>
        </w:numPr>
        <w:spacing w:after="100"/>
      </w:pPr>
      <w:r>
        <w:t xml:space="preserve">Diagnose-Pipeline und offene Nachträge sind jetzt im Dashboard als eigene Badges/Buttons mit Counts aggregiert sichtbar — der Verwalter agiert nicht mehr auf Basis unvollständiger Information bei kostenrelevanten Vorgängen.</w:t>
      </w:r>
    </w:p>
    <w:p>
      <w:pPr>
        <w:pStyle w:val="ListParagraph"/>
        <w:numPr>
          <w:ilvl w:val="0"/>
          <w:numId w:val="2"/>
        </w:numPr>
        <w:spacing w:after="100"/>
      </w:pPr>
      <w:r>
        <w:t xml:space="preserve">RLS-Policies stellen sicher, dass der fachlich zuständige Verwalter (verwalter_id) bei Einladungen und Nachträgen die richtigen Rechte hat, unabhängig davon, ob der Mieter oder der Verwalter das Ticket ursprünglich erstellt hat.</w:t>
      </w:r>
    </w:p>
    <w:p>
      <w:pPr>
        <w:pStyle w:val="ListParagraph"/>
        <w:numPr>
          <w:ilvl w:val="0"/>
          <w:numId w:val="2"/>
        </w:numPr>
        <w:spacing w:after="100"/>
      </w:pPr>
      <w:r>
        <w:t xml:space="preserve">RoleGuard sorgt dafür, dass Verwalter nicht versehentlich (oder ihre Mieter absichtlich) in fremde Datenbereiche gelangen.</w:t>
      </w:r>
    </w:p>
    <w:p>
      <w:pPr>
        <w:pStyle w:val="Heading3"/>
      </w:pPr>
      <w:r>
        <w:t xml:space="preserve">Was tatsächlich noch offen ist</w:t>
      </w:r>
    </w:p>
    <w:p>
      <w:pPr>
        <w:pStyle w:val="ListParagraph"/>
        <w:numPr>
          <w:ilvl w:val="0"/>
          <w:numId w:val="2"/>
        </w:numPr>
        <w:spacing w:after="100"/>
      </w:pPr>
      <w:r>
        <w:t xml:space="preserve">Die vollständige Verifikation der Mail-Trigger (Bid-/Befund-/Nachtrags-Benachrichtigungen an verwalter_id statt erstellt_von) steht noch aus — siehe 5.1. Hohe Wahrscheinlichkeit, dass dies im selben Zuge gelöst wurde, aber nicht einzeln bestätigt.</w:t>
      </w:r>
    </w:p>
    <w:p>
      <w:pPr>
        <w:pStyle w:val="ListParagraph"/>
        <w:numPr>
          <w:ilvl w:val="0"/>
          <w:numId w:val="2"/>
        </w:numPr>
        <w:spacing w:after="100"/>
      </w:pPr>
      <w:r>
        <w:t xml:space="preserve">Admin-/Mission-Control-Bereich wurde in diesem Audit nicht begangen (siehe 4.3) — für Verwalter mit erweiterten Rechten oder für die interne Steuerung relevant.</w:t>
      </w:r>
    </w:p>
    <w:p>
      <w:pPr>
        <w:pStyle w:val="Heading3"/>
      </w:pPr>
      <w:r>
        <w:t xml:space="preserve">Trust- &amp; Bindungsrisiko</w:t>
      </w:r>
    </w:p>
    <w:p>
      <w:pPr>
        <w:spacing w:after="160"/>
      </w:pPr>
      <w:r>
        <w:t xml:space="preserve">Niedrig bis mittel — deutlich reduziert gegenüber dem Mai-Stand. Der Verwalter ist der zahlende Kunde und trägt die rechtliche/operative Verantwortung gegenüber dem Mieter; die wesentlichen Risiken aus den Mai-Audits (verschwiegene kostenrelevante Vorgänge, falsche Berechtigungen) sind nach Verifikation behoben.</w:t>
      </w:r>
    </w:p>
    <w:p>
      <w:pPr>
        <w:pStyle w:val="Heading3"/>
      </w:pPr>
      <w:r>
        <w:t xml:space="preserve">Wichtigste Empfehlung</w:t>
      </w:r>
    </w:p>
    <w:p>
      <w:pPr>
        <w:spacing w:after="160"/>
      </w:pPr>
      <w:r>
        <w:t xml:space="preserve">Eine gezielte Stichprobe der 2-3 verbliebenen Mail-Trigger (Bid-Eingang, Befund-Eingang, Nachtrag-Eingang) durchführen, um die Verifikation aus 5.1 vollständig abzuschließen. Danach: Admin-/Mission-Control-Begehung nachholen.</w:t>
      </w:r>
    </w:p>
    <w:p>
      <w:pPr>
        <w:pStyle w:val="Heading2"/>
      </w:pPr>
      <w:r>
        <w:t xml:space="preserve">6.3 Handwerker (Marketplace-Angebotsseite)</w:t>
      </w:r>
    </w:p>
    <w:p>
      <w:pPr>
        <w:pStyle w:val="Heading3"/>
      </w:pPr>
      <w:r>
        <w:t xml:space="preserve">Was gut funktioniert</w:t>
      </w:r>
    </w:p>
    <w:p>
      <w:pPr>
        <w:pStyle w:val="ListParagraph"/>
        <w:numPr>
          <w:ilvl w:val="0"/>
          <w:numId w:val="2"/>
        </w:numPr>
        <w:spacing w:after="100"/>
      </w:pPr>
      <w:r>
        <w:t xml:space="preserve">Das Partner-Status-/Gamification-System (SichtbarkeitsBadge) ist auf der Dashboard-Startseite sichtbar und motivierend formuliert („Noch 2 Punkte bis Premium-Partner“, Sichtbarkeits-Bonus ×1,10) — der Mai-Befund „Backend bezahlt, Frontend unsichtbar“ ist für die Startseite behoben.</w:t>
      </w:r>
    </w:p>
    <w:p>
      <w:pPr>
        <w:pStyle w:val="ListParagraph"/>
        <w:numPr>
          <w:ilvl w:val="0"/>
          <w:numId w:val="2"/>
        </w:numPr>
        <w:spacing w:after="100"/>
      </w:pPr>
      <w:r>
        <w:t xml:space="preserve">Die Auftragsliste ist übersichtlich, mit Datum, Adresse und Status pro Auftrag.</w:t>
      </w:r>
    </w:p>
    <w:p>
      <w:pPr>
        <w:pStyle w:val="ListParagraph"/>
        <w:numPr>
          <w:ilvl w:val="0"/>
          <w:numId w:val="2"/>
        </w:numPr>
        <w:spacing w:after="100"/>
      </w:pPr>
      <w:r>
        <w:t xml:space="preserve">Direktanfragen-Mechanismus (Annehmen/Ablehnen mit Frist, plus E-Mail-Benachrichtigung) ist vorhanden und im UI als eigener Bereich sichtbar; die Direktvergabe-Eskalation wurde live verifiziert (Ticket n=7, Kandidat 2 übernimmt erfolgreich).</w:t>
      </w:r>
    </w:p>
    <w:p>
      <w:pPr>
        <w:pStyle w:val="ListParagraph"/>
        <w:numPr>
          <w:ilvl w:val="0"/>
          <w:numId w:val="2"/>
        </w:numPr>
        <w:spacing w:after="100"/>
      </w:pPr>
      <w:r>
        <w:t xml:space="preserve">Provisionsmodell ist eindeutig (5 %, Early-Adopter 0 %) und wird im Verdienstkalkulator transparent vorgerechnet.</w:t>
      </w:r>
    </w:p>
    <w:p>
      <w:pPr>
        <w:pStyle w:val="ListParagraph"/>
        <w:numPr>
          <w:ilvl w:val="0"/>
          <w:numId w:val="2"/>
        </w:numPr>
        <w:spacing w:after="100"/>
      </w:pPr>
      <w:r>
        <w:t xml:space="preserve">Kalender wurde grundlegend überarbeitet (Sprint AK, Google-Cal-Sync, Auto-Block für belegte Stunden) — deutlicher Fortschritt gegenüber dem als „MVP“ kritisierten Mai-Stand.</w:t>
      </w:r>
    </w:p>
    <w:p>
      <w:pPr>
        <w:pStyle w:val="Heading3"/>
      </w:pPr>
      <w:r>
        <w:t xml:space="preserve">Was tatsächlich noch offen ist</w:t>
      </w:r>
    </w:p>
    <w:p>
      <w:pPr>
        <w:pStyle w:val="ListParagraph"/>
        <w:numPr>
          <w:ilvl w:val="0"/>
          <w:numId w:val="2"/>
        </w:numPr>
        <w:spacing w:after="100"/>
      </w:pPr>
      <w:r>
        <w:t xml:space="preserve">Die Sichtbarkeitsstufe wird laut Code-Verifikation nur auf der Dashboard-Startseite angezeigt, nicht z. B. unter /einnahmen — für einen Handwerker, der seine Einnahmen/Performance prüft, ist der Score dort nicht im Blick. Kleine, aber konsistenzrelevante Lücke.</w:t>
      </w:r>
    </w:p>
    <w:p>
      <w:pPr>
        <w:pStyle w:val="ListParagraph"/>
        <w:numPr>
          <w:ilvl w:val="0"/>
          <w:numId w:val="2"/>
        </w:numPr>
        <w:spacing w:after="100"/>
      </w:pPr>
      <w:r>
        <w:t xml:space="preserve">Die ursprünglich kritisierte Kalibrierung der Sichtbarkeitsstufen (Gold &lt; Silber-Anomalie) wurde nach Sprint AP („Sichtbarkeits-Score V2“) nicht mit echten Vergleichsdaten erneut geprüft — sollte vor einer Außenkommunikation des Score-Systems an Handwerker verifiziert werden.</w:t>
      </w:r>
    </w:p>
    <w:p>
      <w:pPr>
        <w:pStyle w:val="ListParagraph"/>
        <w:numPr>
          <w:ilvl w:val="0"/>
          <w:numId w:val="2"/>
        </w:numPr>
        <w:spacing w:after="100"/>
      </w:pPr>
      <w:r>
        <w:t xml:space="preserve">Vollständige Interaktivität des neuen Kalenders (Termin-Erstellung/-Bearbeitung, Auto-Termin bei Vergabe) wurde nicht im Detail nachvollzogen.</w:t>
      </w:r>
    </w:p>
    <w:p>
      <w:pPr>
        <w:pStyle w:val="Heading3"/>
      </w:pPr>
      <w:r>
        <w:t xml:space="preserve">Trust- &amp; Bindungsrisiko</w:t>
      </w:r>
    </w:p>
    <w:p>
      <w:pPr>
        <w:spacing w:after="160"/>
      </w:pPr>
      <w:r>
        <w:t xml:space="preserve">Mittel, aber strukturell weiterhin der sensibelste Bereich. Handwerker sind die knappste Ressource im Marktplatzmodell und haben die geringste Bindung an Reparo (eigene Stammkunden, andere Plattformen, klassische Auftragsvergabe als Alternativen). Die Mai-kritischen Punkte (Provision, Gamification-Sichtbarkeit, Kalender-MVP) wurden überwiegend adressiert — die verbleibenden Detailpunkte (Score-Sichtbarkeit auf Unterseiten, Kalibrierung) sind eher Politur als Substanzprobleme, sollten aber nicht ignoriert werden, weil Handwerker im Wettbewerb um Aufträge auf Fairness-Signale empfindlich reagieren.</w:t>
      </w:r>
    </w:p>
    <w:p>
      <w:pPr>
        <w:pStyle w:val="Heading3"/>
      </w:pPr>
      <w:r>
        <w:t xml:space="preserve">Wichtigste Empfehlung</w:t>
      </w:r>
    </w:p>
    <w:p>
      <w:pPr>
        <w:spacing w:after="160"/>
      </w:pPr>
      <w:r>
        <w:t xml:space="preserve">Sichtbarkeitsstufe/Score konsistent auf allen relevanten Handwerker-Seiten (insbesondere /einnahmen) anzeigen und die Kalibrierung nach Sprint AP mit echten Daten gegenprüfen, bevor das Score-System aktiv in der Handwerker-Kommunikation beworben wird.</w:t>
      </w:r>
    </w:p>
    <w:p>
      <w:pPr>
        <w:pStyle w:val="Heading2"/>
      </w:pPr>
      <w:r>
        <w:t xml:space="preserve">6.4 Strategische/Betreiber-Perspektive (Admin, Plattform-Betrieb)</w:t>
      </w:r>
    </w:p>
    <w:p>
      <w:pPr>
        <w:pStyle w:val="Heading3"/>
      </w:pPr>
      <w:r>
        <w:t xml:space="preserve">Was gut funktioniert</w:t>
      </w:r>
    </w:p>
    <w:p>
      <w:pPr>
        <w:pStyle w:val="ListParagraph"/>
        <w:numPr>
          <w:ilvl w:val="0"/>
          <w:numId w:val="2"/>
        </w:numPr>
        <w:spacing w:after="100"/>
      </w:pPr>
      <w:r>
        <w:t xml:space="preserve">Eine außergewöhnlich hohe Audit- und Fix-Frequenz: 14 Mai-Audit-Dokumente plus rund 30 weitere Sprints (AM–AT) zeigen einen Entwicklungsprozess, der strukturelle Probleme tatsächlich löst, nicht nur Symptome behandelt — der Vergleich in Abschnitt 5 belegt das konkret.</w:t>
      </w:r>
    </w:p>
    <w:p>
      <w:pPr>
        <w:pStyle w:val="ListParagraph"/>
        <w:numPr>
          <w:ilvl w:val="0"/>
          <w:numId w:val="2"/>
        </w:numPr>
        <w:spacing w:after="100"/>
      </w:pPr>
      <w:r>
        <w:t xml:space="preserve">Sicherheitsbewusstsein ist nicht nur vorhanden, sondern wirksam: Die kritischen und hohen Pen-Test-Befunde sind auf Produktions-Datenbankebene verifiziert behoben.</w:t>
      </w:r>
    </w:p>
    <w:p>
      <w:pPr>
        <w:pStyle w:val="ListParagraph"/>
        <w:numPr>
          <w:ilvl w:val="0"/>
          <w:numId w:val="2"/>
        </w:numPr>
        <w:spacing w:after="100"/>
      </w:pPr>
      <w:r>
        <w:t xml:space="preserve">Barrierefreiheit wurde in mehreren dedizierten Sprints (P, A11Y-Cleanup 1-3, AT/Lighthouse-CI) systematisch angegangen.</w:t>
      </w:r>
    </w:p>
    <w:p>
      <w:pPr>
        <w:pStyle w:val="Heading3"/>
      </w:pPr>
      <w:r>
        <w:t xml:space="preserve">Was tatsächlich noch offen ist</w:t>
      </w:r>
    </w:p>
    <w:p>
      <w:pPr>
        <w:pStyle w:val="ListParagraph"/>
        <w:numPr>
          <w:ilvl w:val="0"/>
          <w:numId w:val="2"/>
        </w:numPr>
        <w:spacing w:after="100"/>
      </w:pPr>
      <w:r>
        <w:t xml:space="preserve">Keine lebende „Status Quo“-Dokumentation — das größte verbleibende Risiko ist nicht technischer, sondern organisatorischer Natur (siehe 5.6). Ohne sie ist jede zukünftige Bewertung (intern oder extern) gezwungen, denselben aufwändigen Verifikationsschritt erneut zu durchlaufen, den dieser Report durchgeführt hat.</w:t>
      </w:r>
    </w:p>
    <w:p>
      <w:pPr>
        <w:pStyle w:val="ListParagraph"/>
        <w:numPr>
          <w:ilvl w:val="0"/>
          <w:numId w:val="2"/>
        </w:numPr>
        <w:spacing w:after="100"/>
      </w:pPr>
      <w:r>
        <w:t xml:space="preserve">/api/geocode ohne Rate-Limit (Kostenrisiko, siehe 5.2).</w:t>
      </w:r>
    </w:p>
    <w:p>
      <w:pPr>
        <w:pStyle w:val="ListParagraph"/>
        <w:numPr>
          <w:ilvl w:val="0"/>
          <w:numId w:val="2"/>
        </w:numPr>
        <w:spacing w:after="100"/>
      </w:pPr>
      <w:r>
        <w:t xml:space="preserve">BFSG-externer Compliance-Nachweis fehlt weiterhin (siehe 5.3).</w:t>
      </w:r>
    </w:p>
    <w:p>
      <w:pPr>
        <w:pStyle w:val="ListParagraph"/>
        <w:numPr>
          <w:ilvl w:val="0"/>
          <w:numId w:val="2"/>
        </w:numPr>
        <w:spacing w:after="100"/>
      </w:pPr>
      <w:r>
        <w:t xml:space="preserve">Admin-/Mission-Control nicht in diesem Audit verifiziert (siehe 4.3).</w:t>
      </w:r>
    </w:p>
    <w:p>
      <w:pPr>
        <w:pStyle w:val="Heading3"/>
      </w:pPr>
      <w:r>
        <w:t xml:space="preserve">Strategisches Risiko</w:t>
      </w:r>
    </w:p>
    <w:p>
      <w:pPr>
        <w:spacing w:after="160"/>
      </w:pPr>
      <w:r>
        <w:t xml:space="preserve">Das mit Abstand größte strategische Risiko ist heute kein Code-Risiko mehr, sondern ein Informations-Risiko: Ohne eine verlässliche, aktuelle Statusquelle besteht die Gefahr, dass interne Entscheidungen (Priorisierung, Vertriebsaussagen, Investorengespräche) auf Basis veralteter Annahmen getroffen werden — in beide Richtungen, sowohl zu pessimistisch (wie der erste Entwurf dieses Reports) als auch potenziell zu optimistisch (wenn ein „erledigt“ in einem Sprint-Namen nicht tatsächlich vollständig verifiziert wurde).</w:t>
      </w:r>
    </w:p>
    <w:p>
      <w:r>
        <w:br w:type="page"/>
      </w:r>
    </w:p>
    <w:p>
      <w:pPr>
        <w:pStyle w:val="Heading1"/>
      </w:pPr>
      <w:r>
        <w:t xml:space="preserve">7. Strategische Analyse</w:t>
      </w:r>
    </w:p>
    <w:p>
      <w:pPr>
        <w:pStyle w:val="Heading2"/>
      </w:pPr>
      <w:r>
        <w:t xml:space="preserve">7.1 Produkt-Differenzierung: Was ist die echte Stärke von Reparo?</w:t>
      </w:r>
    </w:p>
    <w:p>
      <w:pPr>
        <w:spacing w:after="160"/>
      </w:pPr>
      <w:r>
        <w:t xml:space="preserve">Die genuine Stärke von Reparo liegt nicht in der Tatsache, dass Mieter Schäden melden können — das kann jedes einfache Ticketing-Tool. Die echte Differenzierung liegt in der automatisierten, intelligenten Vergabelogik: Smart-Score-/Sichtbarkeitsstufen-basierte Handwerker-Auswahl, Direktvergabe mit automatischer Eskalation bei Nicht-Reaktion, und ein Gamification-System, das Handwerker zu schnellen Reaktionen und guten Bewertungen anreizt. Der Audit hat gezeigt, dass die Eskalationslogik tatsächlich funktioniert (Ticket n=7) und dass das Gamification-System für den Handwerker sichtbar ist — das ist ein echtes, heute funktionierendes Alleinstellungsmerkmal gegenüber simplen Property-Management-Tools, die Vergabe weiterhin manuell per Telefon/E-Mail abwickeln.</w:t>
      </w:r>
    </w:p>
    <w:p>
      <w:pPr>
        <w:spacing w:after="160"/>
      </w:pPr>
      <w:r>
        <w:t xml:space="preserve">Im Gegensatz zur ursprünglichen Einschätzung (basierend auf den Mai-Dokumenten) ist dieser USP heute nicht mehr „die unfertigste Stelle des Produkts“, sondern weitgehend ausgereift. Das verändert die strategische Empfehlung: Statt vor jedem Wachstumsschritt erst den Kernbereich konsolidieren zu müssen, kann der Kernbereich heute als Verkaufsargument genutzt werden — vorausgesetzt, die in 6.3 genannten Detailpunkte (Score-Kalibrierung, durchgängige Sichtbarkeit) werden vor einer aktiven Bewerbung des Score-Systems noch geschärft.</w:t>
      </w:r>
    </w:p>
    <w:p>
      <w:pPr>
        <w:pStyle w:val="Heading2"/>
      </w:pPr>
      <w:r>
        <w:t xml:space="preserve">7.2 Zielgruppen-Dynamik: Wer trägt das Netzwerkeffekt-Risiko?</w:t>
      </w:r>
    </w:p>
    <w:p>
      <w:pPr>
        <w:spacing w:after="160"/>
      </w:pPr>
      <w:r>
        <w:t xml:space="preserve">Reparo verbindet drei Gruppen mit sehr unterschiedlicher Bindung an die Plattform:</w:t>
      </w:r>
    </w:p>
    <w:p>
      <w:pPr>
        <w:pStyle w:val="ListParagraph"/>
        <w:numPr>
          <w:ilvl w:val="0"/>
          <w:numId w:val="2"/>
        </w:numPr>
        <w:spacing w:after="100"/>
      </w:pPr>
      <w:r>
        <w:t xml:space="preserve">Verwalter = zahlender Kunde (Buyer). Hohe Wechselkosten (Onboarding, Datenmigration), aber hohe Erwartungen an Zuverlässigkeit, da er die Verantwortung gegenüber dem Mieter trägt.</w:t>
      </w:r>
    </w:p>
    <w:p>
      <w:pPr>
        <w:pStyle w:val="ListParagraph"/>
        <w:numPr>
          <w:ilvl w:val="0"/>
          <w:numId w:val="2"/>
        </w:numPr>
        <w:spacing w:after="100"/>
      </w:pPr>
      <w:r>
        <w:t xml:space="preserve">Mieter = gebundener Nutzer (Use-it-or-not, aber nicht der Buyer). Nutzt das System, weil der Verwalter es vorgibt — geringe Wechselmacht, aber seine Zufriedenheit beeinflusst indirekt, ob der Verwalter beim Anbieter bleibt.</w:t>
      </w:r>
    </w:p>
    <w:p>
      <w:pPr>
        <w:pStyle w:val="ListParagraph"/>
        <w:numPr>
          <w:ilvl w:val="0"/>
          <w:numId w:val="2"/>
        </w:numPr>
        <w:spacing w:after="100"/>
      </w:pPr>
      <w:r>
        <w:t xml:space="preserve">Handwerker = freie Marktteilnehmer (geringste Bindung, meiste Alternativen). Sie entscheiden pro Anfrage neu, ob sie reagieren — und ihre Reaktionsgeschwindigkeit bestimmt, wie gut die „intelligente Vergabe“ in der Praxis funktioniert.</w:t>
      </w:r>
    </w:p>
    <w:p>
      <w:pPr>
        <w:spacing w:after="160"/>
      </w:pPr>
      <w:r>
        <w:t xml:space="preserve">Die unter 6.1 genannte Reklamations-Transparenz für Mieter ist in dieser Kette der Hebel mit dem besten Aufwand-Nutzen-Verhältnis: Sie ist eine reine UI-Aufgabe (die Daten existieren bereits), wirkt aber direkt auf die Zufriedenheit der Gruppe mit der geringsten Stimme im System, deren Frust sich sonst beim zahlenden Kunden (Verwalter) entlädt.</w:t>
      </w:r>
    </w:p>
    <w:p>
      <w:pPr>
        <w:pStyle w:val="Heading2"/>
      </w:pPr>
      <w:r>
        <w:t xml:space="preserve">7.3 Geschäftsmodell-Reife</w:t>
      </w:r>
    </w:p>
    <w:p>
      <w:pPr>
        <w:spacing w:after="160"/>
      </w:pPr>
      <w:r>
        <w:t xml:space="preserve">Die in den Mai-Dokumenten dokumentierte Provisions-Inkonsistenz (5 % vs. 10 %) war ein kleines Detail mit großer Symbolkraft — und ist nach Verifikation gelöst: ein einziger, dynamisch konfigurierbarer Wert (STANDARD_PROVISION_RATE = 5 %) wird konsistent in der Provisionsberechnung und im Verdienstkalkulator verwendet, inklusive einer Early-Adopter-Sonderregelung (0 % für eine begrenzte Zeit). Das ist für Vertriebsgespräche und AGB-Konsistenz ein klares Plus.</w:t>
      </w:r>
    </w:p>
    <w:p>
      <w:pPr>
        <w:spacing w:after="160"/>
      </w:pPr>
      <w:r>
        <w:t xml:space="preserve">Die Early-Adopter-Regelung (0 % Provision bis early_adopter_bis) ist strategisch interessant und sollte explizit in der Vertriebskommunikation genutzt werden — sie ist ein konkretes, zeitlich begrenztes Argument für frühe Handwerker-Partner, was die unter 7.2 beschriebene Bindungsproblematik der Angebotsseite gezielt adressiert.</w:t>
      </w:r>
    </w:p>
    <w:p>
      <w:pPr>
        <w:pStyle w:val="Heading2"/>
      </w:pPr>
      <w:r>
        <w:t xml:space="preserve">7.4 Technische Schulden vs. Wachstumstempo</w:t>
      </w:r>
    </w:p>
    <w:p>
      <w:pPr>
        <w:spacing w:after="160"/>
      </w:pPr>
      <w:r>
        <w:t xml:space="preserve">Die hohe Audit-Frequenz (14 Mai-Dokumente, ~30 weitere Sprints AM-AT) hat sich als Stärke erwiesen, nicht als Schwäche: Das strukturelle Ownership-Problem, das in vier unabhängigen Mai-Audits wiederholt auftauchte, ist nach Verifikation tatsächlich architektonisch gelöst (5.1) — nicht nur an der jeweils gefundenen Stelle gepatcht. Das ist ein seltenes und positives Signal: Ein Team, das unter Zeitdruck iteriert, hat trotzdem den Zeitpunkt gefunden, die Ursache statt nur das Symptom zu beheben.</w:t>
      </w:r>
    </w:p>
    <w:p>
      <w:pPr>
        <w:spacing w:after="160"/>
      </w:pPr>
      <w:r>
        <w:t xml:space="preserve">Die verbleibende technische Schuld ist organisatorisch, nicht architektonisch: Das Fehlen einer lebenden Status-Dokumentation (5.6) bedeutet, dass jeder externe Blick auf das Projekt — ein Investor, ein neuer Entwickler, ein zukünftiger Audit — denselben aufwändigen „Code-Grep gegen Markdown-Behauptungen“-Abgleich durchführen muss, den dieser Report durchgeführt hat. Bei einer Skalierung auf mehr Verwalter/Mieter/Handwerker wird dieser Abgleich immer teurer. Eine einfache Gegenmaßnahme: Nach jedem abgeschlossenen Sprint einen kurzen, strukturierten Eintrag in eine einzige CHANGELOG/STATUS-Datei (Was war das Problem, was wurde geändert, wie wurde es verifiziert) — kein neues Dokument pro Sprint, sondern ein fortlaufendes.</w:t>
      </w:r>
    </w:p>
    <w:p>
      <w:pPr>
        <w:pStyle w:val="Heading2"/>
      </w:pPr>
      <w:r>
        <w:t xml:space="preserve">7.5 Compliance &amp; Rechtliches</w:t>
      </w:r>
    </w:p>
    <w:p>
      <w:pPr>
        <w:spacing w:after="160"/>
      </w:pPr>
      <w:r>
        <w:t xml:space="preserve">Zwei Punkte verdienen weiterhin besondere Aufmerksamkeit, weil sie nicht „Produktqualität“, sondern rechtliche Exposition betreffen — beide sind nach Verifikation nach wie vor offen:</w:t>
      </w:r>
    </w:p>
    <w:p>
      <w:pPr>
        <w:pStyle w:val="ListParagraph"/>
        <w:numPr>
          <w:ilvl w:val="0"/>
          <w:numId w:val="2"/>
        </w:numPr>
        <w:spacing w:after="100"/>
      </w:pPr>
      <w:r>
        <w:t xml:space="preserve">BFSG (Barrierefreiheitsstärkungsgesetz): Die gesetzliche Frist (28.06.2025) für B2C-Digitaldienste ist bereits verstrichen. Die Mieter-App fällt in den Anwendungsbereich. Die internen A11y-Sprints (P, Cleanup 1-3, Lighthouse-CI) haben die technische Grundlage erheblich verbessert, ersetzen aber keinen externen Compliance-Nachweis. Für ein B2B-SaaS, das an Hausverwaltungen verkauft wird, kann eine BFSG-Anfrage eines größeren Kunden kurzfristig zum Thema werden — ein Nachweis sollte proaktiv vorbereitet werden.</w:t>
      </w:r>
    </w:p>
    <w:p>
      <w:pPr>
        <w:pStyle w:val="ListParagraph"/>
        <w:numPr>
          <w:ilvl w:val="0"/>
          <w:numId w:val="2"/>
        </w:numPr>
        <w:spacing w:after="100"/>
      </w:pPr>
      <w:r>
        <w:t xml:space="preserve">DSGVO: Die ursprünglich kritisierte E-Mail-Sichtbarkeit ist auf DB-Ebene behoben (profiles_public, keine offene SELECT-Policy mehr). Eine vollständige DSGVO-Bewertung (z. B. Auftragsverarbeitungsverträge mit Supabase/Resend/Anthropic, Löschkonzept für Mieterdaten) war nicht Teil dieses Audits und sollte unabhängig betrachtet werden, sobald reale (nicht Demo-)Mieterdaten verarbeitet werden.</w:t>
      </w:r>
    </w:p>
    <w:p>
      <w:r>
        <w:br w:type="page"/>
      </w:r>
    </w:p>
    <w:p>
      <w:pPr>
        <w:pStyle w:val="Heading1"/>
      </w:pPr>
      <w:r>
        <w:t xml:space="preserve">8. Priorisierte Empfehlungen</w:t>
      </w:r>
    </w:p>
    <w:p>
      <w:pPr>
        <w:spacing w:after="160"/>
      </w:pPr>
      <w:r>
        <w:t xml:space="preserve">Die folgenden Empfehlungen basieren auf dem in Abschnitt 5 verifizierten aktuellen Stand — nicht auf den (größtenteils bereits behobenen) Mai-Befunden. P0 = vor weiterem Nutzerwachstum bzw. vor aktiver Vermarktung des Score-Systems, P1 = nächster regulärer Sprintzyklus, P2 = Backlog, bewusst planbar.</w:t>
      </w:r>
    </w:p>
    <w:p>
      <w:pPr>
        <w:pStyle w:val="Heading2"/>
      </w:pPr>
      <w:r>
        <w:t xml:space="preserve">P0 — Vor weiterem Wachstum bzw. vor Vermarktung schließen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Empfehlung</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Begründung</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Betrifft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Reklamations-Flow für Mieter sichtbar machen (Grund, Status, nächster Schritt)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Einzige im Live-Audit bestätigte echte Lücke mit direktem Trust-Impact; Daten existieren bereits, reiner UI-Aufwand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Mieter, Verwalter</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Lebende STATUS/CHANGELOG-Dokumentation einführen statt neuer Fix-Prompt-Dateien pro Sprint</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Größtes verbleibendes Risiko ist organisatorisch: ohne Status Quo wiederholt sich der teure Verifikationsaufwand dieses Reports bei jeder zukünftigen Bewertung</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Geschäftsführung/Betrieb</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Gezielte Stichprobe: Mail-Trigger für Bid-/Befund-/Nachtrags-Benachrichtigungen auf verwalter_id prüfen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Letzter unverifizierter Teilaspekt des strukturellen Ownership-Fixes (5.1)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Verwalter</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Sichtbarkeitsstufen-Kalibrierung nach Sprint AP mit echten Daten gegenprüfen, bevor das Score-System aktiv vermarktet wird</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Mai-Anomalie (Gold &lt; Silber) nicht erneut verifiziert; Fairness-Wahrnehmung der Handwerker ist kritisch für die Angebotsseite</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Handwerker</w:t>
            </w:r>
          </w:p>
        </w:tc>
      </w:tr>
    </w:tbl>
    <w:p>
      <w:pPr>
        <w:spacing w:after="160"/>
      </w:pPr>
    </w:p>
    <w:p>
      <w:pPr>
        <w:pStyle w:val="Heading2"/>
      </w:pPr>
      <w:r>
        <w:t xml:space="preserve">P1 — Nächster Sprintzyklus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Empfehlung</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Begründung</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Betrifft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Rate-Limiting für /api/geocode einführen (analog zur bestehenden KI-Quota-Logik)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Letztes offenes Kostenrisiko aus SECURITY-REPORT.md, technisch bereits ein Lösungsmuster vorhanden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Geschäftsführung/Betrieb</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BFSG-Compliance-Nachweis vorbereiten (externer Audit-Run oder zertifizierte Selbstauskunft)</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Gesetzliche Frist bereits verstrichen; technische Basis durch A11y-Sprints bereits gut, fehlt nur der formale Nachweis</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Mieter, Geschäftsführung</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Admin-/Mission-Control-Begehung nachholen (Audit-Lücke aus 4.3)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Unbekannter Zustand seit Sprint AH; sollte vor weiteren Admin-Workflows verifiziert werden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Admin/Betrieb</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Sichtbarkeitsstufe/Score konsistent auf allen Handwerker-Seiten (insbes. /einnahmen) anzeigen</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Aktuell nur auf Dashboard-Startseite — Inkonsistenz schwächt die Gamification-Wirkung</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Handwerker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Kalender-Interaktivität (Termin erstellen/editieren, Auto-Termin bei Vergabe) end-to-end verifizieren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Großes Redesign seit Mai-Audit, aber nicht erneut end-to-end getestet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Handwerker</w:t>
            </w:r>
          </w:p>
        </w:tc>
      </w:tr>
    </w:tbl>
    <w:p>
      <w:pPr>
        <w:spacing w:after="160"/>
      </w:pPr>
    </w:p>
    <w:p>
      <w:pPr>
        <w:pStyle w:val="Heading2"/>
      </w:pPr>
      <w:r>
        <w:t xml:space="preserve">P2 — Backlog, bewusst planbar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Empfehlung</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Begründung</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1"/>
                <w:szCs w:val="21"/>
              </w:rPr>
              <w:t xml:space="preserve">Betrifft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Ladezustand „0 Tickets insgesamt“ durch Skeleton/Loading-State ersetzen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Kleine, aber für den ersten Eindruck relevante Race Condition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Verwalter</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Dringlichkeit-Enum-Konsolidierung erneut prüfen (war zweimal in Mai-Dokumenten offen)</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Status seit Mai nicht erneut verifiziert</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Mieter, Handwerker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KPI-Komponenten konsolidieren (MetricCard/Kpi/KpiTile)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Bewusst „low-prio“ seit Mai, aber wächst sonst weiter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1"/>
                <w:szCs w:val="21"/>
              </w:rPr>
              <w:t xml:space="preserve">Verwalter, Admin</w:t>
            </w:r>
          </w:p>
        </w:tc>
      </w:tr>
      <w:tr>
        <w:trPr>
          <w:tblHeader w:val="false"/>
        </w:trPr>
        <w:tc>
          <w:tcPr>
            <w:tcW w:type="dxa" w:w="34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Vollständige DSGVO-Bewertung (AVVs, Löschkonzept) vor Verarbeitung realer Mieterdaten</w:t>
            </w:r>
          </w:p>
        </w:tc>
        <w:tc>
          <w:tcPr>
            <w:tcW w:type="dxa" w:w="39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Eigenständiges Thema, unabhängig vom technischen Sicherheits-Stand</w:t>
            </w:r>
          </w:p>
        </w:tc>
        <w:tc>
          <w:tcPr>
            <w:tcW w:type="dxa" w:w="20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vAlign w:val="center"/>
          </w:tcPr>
          <w:p>
            <w:r>
              <w:rPr>
                <w:b w:val="false"/>
                <w:bCs w:val="false"/>
                <w:color w:val="000000"/>
                <w:sz w:val="21"/>
                <w:szCs w:val="21"/>
              </w:rPr>
              <w:t xml:space="preserve">Mieter, Geschäftsführung</w:t>
            </w:r>
          </w:p>
        </w:tc>
      </w:tr>
    </w:tbl>
    <w:p>
      <w:pPr>
        <w:spacing w:after="160"/>
      </w:pPr>
    </w:p>
    <w:p>
      <w:r>
        <w:br w:type="page"/>
      </w:r>
    </w:p>
    <w:p>
      <w:pPr>
        <w:pStyle w:val="Heading1"/>
      </w:pPr>
      <w:r>
        <w:t xml:space="preserve">9. Fazit</w:t>
      </w:r>
    </w:p>
    <w:p>
      <w:pPr>
        <w:spacing w:after="160"/>
      </w:pPr>
      <w:r>
        <w:t xml:space="preserve">Reparo funktioniert — und zwar deutlich besser, als die vorhandene Dokumentation vermuten lässt. Der vorliegende Audit über 47 vollständig durchlaufene Aufträge, ergänzt durch einen Live-Walkthrough aller Kernrollen und eine systematische Verifikation gegen den aktuellen Code- und Datenbankstand, zeigt: Die strukturellen Kernprobleme, die in den Mai-2026-Audits über vier unabhängige Dokumente hinweg wiederholt auftauchten — Mieter↔Verwalter-Ownership, unsichtbare Diagnose-/Nachtrags-Pipelines, unsichtbares Gamification-System, inkonsistente Provision, kritische Sicherheitslücken — sind heute nach Verifikation tatsächlich gelöst, nicht nur kaschiert.</w:t>
      </w:r>
    </w:p>
    <w:p>
      <w:pPr>
        <w:spacing w:after="160"/>
      </w:pPr>
      <w:r>
        <w:t xml:space="preserve">Die brutal ehrliche Pointe dieses Reports ist daher eine andere als ursprünglich erwartet: Das größte verbleibende Risiko ist nicht im Produkt, sondern in der Informationslage über das Produkt. Ohne eine lebende Status-Dokumentation wird jede zukünftige Einschätzung — sei es für Investoren, neue Teammitglieder oder den nächsten Audit — denselben aufwändigen Abgleich zwischen Markdown-Behauptungen und Realität durchführen müssen, der diesen Report fast in die falsche Richtung geführt hätte.</w:t>
      </w:r>
    </w:p>
    <w:p>
      <w:pPr>
        <w:spacing w:after="160"/>
      </w:pPr>
      <w:r>
        <w:t xml:space="preserve">Die konkret verbleibenden Lücken sind überschaubar und klar priorisiert: Reklamations-Transparenz für Mieter (P0, reiner UI-Aufwand auf vorhandenen Daten), eine Stichprobenverifikation der letzten Mail-Trigger und der Score-Kalibrierung (P0, vor aktiver Score-Vermarktung), sowie /api/geocode-Rate-Limiting und ein externer BFSG-Nachweis (P1). Keiner dieser Punkte erfordert neue Architektur-Entscheidungen — es geht um das konsequente Zu-Ende-Bringen und Dokumentieren bereits geleisteter, guter Arbeit. Genau das ist der Unterschied zwischen einem Produkt, das auf dem Papier viele offene Fragen hat, und einem Produkt, dem ein Verwalter seine Mieterkommunikation und ein Handwerker seinen Tagesplan anvertraut — und Reparo ist diesem zweiten Zustand heute näher, als es selbst wusste.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von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Reparo — Audit &amp; Strategische 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7"/>
      <w:szCs w:val="27"/>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Reparo — Vollständiger Lifecycle-Audit &amp; Strategische Analyse</dc:title>
  <dc:creator>Claude</dc:creator>
  <dc:description>Audit von 47 Aufträgen, Nutzergruppen-Analyse, Anspruch-vs-Umsetzung-Gap-Analyse und strategische Empfehlungen</dc:description>
  <cp:lastModifiedBy>Un-named</cp:lastModifiedBy>
  <cp:revision>1</cp:revision>
  <dcterms:created xsi:type="dcterms:W3CDTF">2026-06-15T17:42:28.639Z</dcterms:created>
  <dcterms:modified xsi:type="dcterms:W3CDTF">2026-06-15T17:42:28.639Z</dcterms:modified>
</cp:coreProperties>
</file>

<file path=docProps/custom.xml><?xml version="1.0" encoding="utf-8"?>
<Properties xmlns="http://schemas.openxmlformats.org/officeDocument/2006/custom-properties" xmlns:vt="http://schemas.openxmlformats.org/officeDocument/2006/docPropsVTypes"/>
</file>