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sh8kjygqe11" w:id="0"/>
      <w:bookmarkEnd w:id="0"/>
      <w:r w:rsidDel="00000000" w:rsidR="00000000" w:rsidRPr="00000000">
        <w:rPr>
          <w:rtl w:val="0"/>
        </w:rPr>
        <w:t xml:space="preserve">“Wisdom of the Crowds” or “Let the Best Estimator Win”?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592feuqbyv0" w:id="1"/>
      <w:bookmarkEnd w:id="1"/>
      <w:r w:rsidDel="00000000" w:rsidR="00000000" w:rsidRPr="00000000">
        <w:rPr>
          <w:rtl w:val="0"/>
        </w:rPr>
        <w:t xml:space="preserve">Assignment 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ymf2gvioggf" w:id="2"/>
      <w:bookmarkEnd w:id="2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traditional ML algorithm has unique strengths and weaknesses.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report investigates whether ensembling diverse ML estimators leads to better outcomes or if using the best performer suffices.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Additionally, it explores the role of text preprocessing by studying n-gram ranges, effects of vectorization methods, and the impact of stopwords.</w:t>
      </w:r>
    </w:p>
    <w:p w:rsidR="00000000" w:rsidDel="00000000" w:rsidP="00000000" w:rsidRDefault="00000000" w:rsidRPr="00000000" w14:paraId="0000000B">
      <w:pPr>
        <w:pStyle w:val="Heading1"/>
        <w:rPr>
          <w:i w:val="1"/>
          <w:sz w:val="16"/>
          <w:szCs w:val="16"/>
        </w:rPr>
      </w:pPr>
      <w:bookmarkStart w:colFirst="0" w:colLast="0" w:name="_4jeva1z0azvv" w:id="3"/>
      <w:bookmarkEnd w:id="3"/>
      <w:r w:rsidDel="00000000" w:rsidR="00000000" w:rsidRPr="00000000">
        <w:rPr>
          <w:rtl w:val="0"/>
        </w:rPr>
        <w:t xml:space="preserve">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k3m90ofg8mo" w:id="4"/>
      <w:bookmarkEnd w:id="4"/>
      <w:r w:rsidDel="00000000" w:rsidR="00000000" w:rsidRPr="00000000">
        <w:rPr>
          <w:rtl w:val="0"/>
        </w:rPr>
        <w:t xml:space="preserve">Tokenization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start, we retain basic text information through basic pre-processiing: lowercasing and tokenization by word and punctuation.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intent is to retain as much information from the reference text, which is relatively short.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later pipelining, we investigate the additional dimensions to tokenization, namely: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With Stopwords vs wo Stopwords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N-Gram / Bi-Gram vs Tri-Grams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4so1a6d1d0c" w:id="5"/>
      <w:bookmarkEnd w:id="5"/>
      <w:r w:rsidDel="00000000" w:rsidR="00000000" w:rsidRPr="00000000">
        <w:rPr>
          <w:rtl w:val="0"/>
        </w:rPr>
        <w:t xml:space="preserve">Vectorization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Two different forms of vectorization are investigated: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Vectorizer, which simply counts occurrences of each word in a document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TF-IDF, which highlights unique words by considering frequency of the word in the document and the corpus.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Given the small corpus size, sparsity is not considered to be a significant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9a9wgckgyhm" w:id="6"/>
      <w:bookmarkEnd w:id="6"/>
      <w:r w:rsidDel="00000000" w:rsidR="00000000" w:rsidRPr="00000000">
        <w:rPr>
          <w:rtl w:val="0"/>
        </w:rPr>
        <w:t xml:space="preserve">Pipeline Design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5hupriyabmr" w:id="7"/>
      <w:bookmarkEnd w:id="7"/>
      <w:r w:rsidDel="00000000" w:rsidR="00000000" w:rsidRPr="00000000">
        <w:rPr>
          <w:rtl w:val="0"/>
        </w:rPr>
        <w:t xml:space="preserve">Models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implement all three traditional ML models for this assignment: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- sensitive to local differences, but poor with high dimensions.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NaiveBayes - good at handling independent features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- robust for linearly separable classes and relatively robust at high dimensions.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cy84i6yq27va" w:id="8"/>
      <w:bookmarkEnd w:id="8"/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Six estimators were fitted using combinations of two vectorizers and three estimators.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Due to the light compute requirements, hyperparameters were tuned using a fairly comprehensive GridSearch.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table in the appendix summarizes the pipeline components and hyperparameters.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dbpplk7eznd7" w:id="9"/>
      <w:bookmarkEnd w:id="9"/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use three main metrics to compare classifier performance: (1) 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(2) </w:t>
      </w:r>
      <w:r w:rsidDel="00000000" w:rsidR="00000000" w:rsidRPr="00000000">
        <w:rPr>
          <w:u w:val="single"/>
          <w:rtl w:val="0"/>
        </w:rPr>
        <w:t xml:space="preserve">F1-score (macro)</w:t>
      </w:r>
      <w:r w:rsidDel="00000000" w:rsidR="00000000" w:rsidRPr="00000000">
        <w:rPr>
          <w:rtl w:val="0"/>
        </w:rPr>
        <w:t xml:space="preserve">, and (3) </w:t>
      </w:r>
      <w:r w:rsidDel="00000000" w:rsidR="00000000" w:rsidRPr="00000000">
        <w:rPr>
          <w:u w:val="single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. These metrics help evaluate over- or under-fitting, balance between false positives and false negatives, and model strengths, respectively.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5drlu5naen42" w:id="10"/>
      <w:bookmarkEnd w:id="10"/>
      <w:r w:rsidDel="00000000" w:rsidR="00000000" w:rsidRPr="00000000">
        <w:rPr>
          <w:rtl w:val="0"/>
        </w:rPr>
        <w:t xml:space="preserve">Individual Fitting Observations </w:t>
        <w:br w:type="textWrapping"/>
      </w:r>
      <w:r w:rsidDel="00000000" w:rsidR="00000000" w:rsidRPr="00000000">
        <w:rPr/>
        <w:drawing>
          <wp:inline distB="114300" distT="114300" distL="114300" distR="114300">
            <wp:extent cx="3293377" cy="41410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77" cy="414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4ab0kn1calue" w:id="11"/>
      <w:bookmarkEnd w:id="11"/>
      <w:r w:rsidDel="00000000" w:rsidR="00000000" w:rsidRPr="00000000">
        <w:rPr>
          <w:rtl w:val="0"/>
        </w:rPr>
        <w:t xml:space="preserve">Model Performance, ranked by F1 Score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bdonrcn5o0gl" w:id="12"/>
      <w:bookmarkEnd w:id="12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performed the best, possibly due to input features having linear correlations with the target variable. This suggests a strong relationship between certain words and specific emotions.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NaiveBayes tended to overfit, which could be attributed to its assumption of feature independence. To alleviate overfitting.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KNN's performance remained consistent across different document vectorization formats. This can be attributed to its inherent property of being sensitive to local differences and using neighboring data points for classification.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a5zvep5sfpk" w:id="13"/>
      <w:bookmarkEnd w:id="13"/>
      <w:r w:rsidDel="00000000" w:rsidR="00000000" w:rsidRPr="00000000">
        <w:rPr>
          <w:rtl w:val="0"/>
        </w:rPr>
        <w:t xml:space="preserve">Test vs Train F1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vectorization outperformed Count Vectorizer, which tended to overfit. Tf-idf might be superior because it captures the importance of rare words better by weighing their frequencies within and across documents.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overfitting observed with Count Vectorizer could be addressed by implementing feature selection techniques or dimensionality reduction.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7yktwzpiinvc" w:id="14"/>
      <w:bookmarkEnd w:id="14"/>
      <w:r w:rsidDel="00000000" w:rsidR="00000000" w:rsidRPr="00000000">
        <w:rPr>
          <w:rtl w:val="0"/>
        </w:rPr>
        <w:t xml:space="preserve">F1 vs Accuracy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general agreement between F1 score and accuracy suggests that the class distributions in our dataset are balanced. Consequently, both metrics can be reliably used for model evaluation.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o3puhv9ogrc" w:id="15"/>
      <w:bookmarkEnd w:id="15"/>
      <w:r w:rsidDel="00000000" w:rsidR="00000000" w:rsidRPr="00000000">
        <w:rPr>
          <w:rtl w:val="0"/>
        </w:rPr>
        <w:t xml:space="preserve">Vectorizer Hyperparams </w:t>
      </w:r>
    </w:p>
    <w:tbl>
      <w:tblPr>
        <w:tblStyle w:val="Table1"/>
        <w:tblW w:w="4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50"/>
        <w:gridCol w:w="1440"/>
        <w:tblGridChange w:id="0">
          <w:tblGrid>
            <w:gridCol w:w="1845"/>
            <w:gridCol w:w="135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N-Grams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Stopword Removal?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Tf-idf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LogReg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830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1~3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438d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Countvectorizer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LogReg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4493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1~2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6ec1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Tf-idf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NaiveBayes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830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1~3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6ec1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80000"/>
                <w:rtl w:val="0"/>
              </w:rPr>
              <w:t xml:space="preserve">CountVectorizer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KNN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830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1~3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6ec1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Tf-idf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KNN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830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1~3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438d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80000"/>
                <w:rtl w:val="0"/>
              </w:rPr>
              <w:t xml:space="preserve">CountVectorizer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NaiveBayes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830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1~3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438d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models mostly retained stopwords, confirming our understanding that tf-idf would weigh out repetitive words by considering their frequencies in individual documents and the entire corpus.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contrast, CountVectorizer models mostly removed stopwords, indicating that their presence might introduce noise.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Interestingly, LogReg with Count Vectorizer optimized for 1-2 n-grams, possibly because it captures relevant word pairs that provide more context for emotion classification.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c7upz141ywu4" w:id="16"/>
      <w:bookmarkEnd w:id="16"/>
      <w:r w:rsidDel="00000000" w:rsidR="00000000" w:rsidRPr="00000000">
        <w:rPr>
          <w:rtl w:val="0"/>
        </w:rPr>
        <w:t xml:space="preserve">Confusion Matrices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641283" cy="2675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6408" l="0" r="497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83" cy="267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hycxcuheakov" w:id="17"/>
      <w:bookmarkEnd w:id="17"/>
      <w:r w:rsidDel="00000000" w:rsidR="00000000" w:rsidRPr="00000000">
        <w:rPr>
          <w:rtl w:val="0"/>
        </w:rPr>
        <w:t xml:space="preserve">Sample Confusion Matrix (see appendix for all)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classifiers had trouble distinguishing between '2 - anger' and '3 - disapproval'. Empirically, this can be attributed to these emotions having overlapping word features, making it harder for the model to distinguish between them.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classifiers had relative success predicting “4 - gratitude’ and ‘5 - love’. Empirically, these emotions have unique words attached to them, which is surfaced by the method of vectorization.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“1- Amusement” generally sits in the middle ground of success. It is a subtle emotion, but out performs having to distinguish between negative emotions.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k0r1hvuw5v83" w:id="18"/>
      <w:bookmarkEnd w:id="18"/>
      <w:r w:rsidDel="00000000" w:rsidR="00000000" w:rsidRPr="00000000">
        <w:rPr>
          <w:rtl w:val="0"/>
        </w:rPr>
        <w:t xml:space="preserve">Ensembling Observations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the final validation with test.csv, 3 final models were fitted: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6-Model Ensemble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All six models, ensemble and cross-valided for voting-type. A “hard” vote produced a better score. (0.751 vs 0.730)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Complimentery Ensemble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“Tf-idf with LogReg” was paired with “CountVectorizer with LogReg” because of complimentary confusion matrices on predicting “2-anger”.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Logistic Regression Model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 single model with the best F1 and Accuracy score from GridSearch. 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pgo7if3635xq" w:id="19"/>
      <w:bookmarkEnd w:id="19"/>
      <w:r w:rsidDel="00000000" w:rsidR="00000000" w:rsidRPr="00000000">
        <w:rPr>
          <w:rtl w:val="0"/>
        </w:rPr>
        <w:t xml:space="preserve">Final Outcome (ranked by score)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LogReg Model: </w:t>
      </w:r>
      <w:r w:rsidDel="00000000" w:rsidR="00000000" w:rsidRPr="00000000">
        <w:rPr>
          <w:b w:val="1"/>
          <w:rtl w:val="0"/>
        </w:rPr>
        <w:t xml:space="preserve">0.776*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6-Model Ensemble: </w:t>
      </w:r>
      <w:r w:rsidDel="00000000" w:rsidR="00000000" w:rsidRPr="00000000">
        <w:rPr>
          <w:b w:val="1"/>
          <w:rtl w:val="0"/>
        </w:rPr>
        <w:t xml:space="preserve">0.751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Complimentary Ensemble: </w:t>
      </w:r>
      <w:r w:rsidDel="00000000" w:rsidR="00000000" w:rsidRPr="00000000">
        <w:rPr>
          <w:b w:val="1"/>
          <w:rtl w:val="0"/>
        </w:rPr>
        <w:t xml:space="preserve">0.664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logreg model outperformed all efforts at ensembling. </w:t>
      </w:r>
    </w:p>
    <w:p w:rsidR="00000000" w:rsidDel="00000000" w:rsidP="00000000" w:rsidRDefault="00000000" w:rsidRPr="00000000" w14:paraId="00000073">
      <w:pPr>
        <w:pStyle w:val="Heading1"/>
        <w:rPr>
          <w:rFonts w:ascii="Inter" w:cs="Inter" w:eastAsia="Inter" w:hAnsi="Inter"/>
          <w:color w:val="000000"/>
          <w:sz w:val="20"/>
          <w:szCs w:val="20"/>
        </w:rPr>
      </w:pPr>
      <w:bookmarkStart w:colFirst="0" w:colLast="0" w:name="_6fojw4iy7ycq" w:id="20"/>
      <w:bookmarkEnd w:id="20"/>
      <w:r w:rsidDel="00000000" w:rsidR="00000000" w:rsidRPr="00000000">
        <w:rPr>
          <w:rtl w:val="0"/>
        </w:rPr>
        <w:t xml:space="preserve">Learnings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5kdk60ck5s6d" w:id="21"/>
      <w:bookmarkEnd w:id="21"/>
      <w:r w:rsidDel="00000000" w:rsidR="00000000" w:rsidRPr="00000000">
        <w:rPr>
          <w:rtl w:val="0"/>
        </w:rPr>
        <w:t xml:space="preserve">Ensembling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wisdom of crowds, or ensembling, relies on diversity.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WIthin the boundaries of this assignment and assuming a non-neural approach, the biggest area where this can be improved is in creating different feature extraction and vectorization techniques.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Aspects that can be considered include lemmatization, pos-tagging, NER tokenization and CBOW embeddings.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Diverse models are more likely to capture different aspects of the data, thus providing complementary strengths.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torbhhgi938a" w:id="22"/>
      <w:bookmarkEnd w:id="22"/>
      <w:r w:rsidDel="00000000" w:rsidR="00000000" w:rsidRPr="00000000">
        <w:rPr>
          <w:rtl w:val="0"/>
        </w:rPr>
        <w:t xml:space="preserve">Diagnostics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confusion matrix was very useful tool in diagnostics. It clearly shows trends in strengths and weaknesses. 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rj0vjg4r8e6v" w:id="23"/>
      <w:bookmarkEnd w:id="23"/>
      <w:r w:rsidDel="00000000" w:rsidR="00000000" w:rsidRPr="00000000">
        <w:rPr>
          <w:rFonts w:ascii="Inter" w:cs="Inter" w:eastAsia="Inter" w:hAnsi="Inter"/>
          <w:color w:val="000000"/>
          <w:sz w:val="20"/>
          <w:szCs w:val="20"/>
          <w:rtl w:val="0"/>
        </w:rPr>
        <w:t xml:space="preserve">For example, in this assignment, it would help to create some handcrafted features to distinguish the anger and disapproval (e.g. number of “!”s, presence of words like “sigh” or “...”.)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tnleebluxv4z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zhc0zqphrx8" w:id="25"/>
      <w:bookmarkEnd w:id="25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Table of Hyperparameters </w:t>
      </w:r>
    </w:p>
    <w:tbl>
      <w:tblPr>
        <w:tblStyle w:val="Table2"/>
        <w:tblW w:w="4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105"/>
        <w:tblGridChange w:id="0">
          <w:tblGrid>
            <w:gridCol w:w="1455"/>
            <w:gridCol w:w="31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Vectorizers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TF-IDF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Ngram range [(1,1)(1,2)(1,3)]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Stopword Removal:[Yes, No]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*wo standardization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CountVectorizer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Ngram range: [(1,1)(1,2)(1,3)]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Stopword Removal: [Yes, No]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* w standardization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Estimators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LogReg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C: [0.1, 1, 10]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Regularization: L2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N: [3, 5, 8, 13]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Weights: [uniform, dist]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NaiveBayes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Alpha: [0.1, 1, 10]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i3qfsay70acv" w:id="26"/>
      <w:bookmarkEnd w:id="26"/>
      <w:r w:rsidDel="00000000" w:rsidR="00000000" w:rsidRPr="00000000">
        <w:rPr/>
        <w:drawing>
          <wp:inline distB="114300" distT="114300" distL="114300" distR="114300">
            <wp:extent cx="3125884" cy="47501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884" cy="475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xn29lfqmoz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ephg91aj0ylp" w:id="28"/>
      <w:bookmarkEnd w:id="28"/>
      <w:r w:rsidDel="00000000" w:rsidR="00000000" w:rsidRPr="00000000">
        <w:rPr>
          <w:rtl w:val="0"/>
        </w:rPr>
        <w:t xml:space="preserve">Mybe Later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Three main metrics were logged to  can use to compare the performance of classifiers are: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Accuracy: It is the ratio of correctly classified instances to the total instances in the dataset. This metric is intuitive and easy to interpret. 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F1-score: A single metric that balances the trade-off between false positives and false negatives. 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Confusion Matrix: This is useful to evaluate the different strengths of the models. </w:t>
      </w:r>
    </w:p>
    <w:sectPr>
      <w:headerReference r:id="rId8" w:type="default"/>
      <w:footerReference r:id="rId9" w:type="default"/>
      <w:pgSz w:h="16838" w:w="11906" w:orient="portrait"/>
      <w:pgMar w:bottom="720" w:top="1152" w:left="1008" w:right="1008" w:header="720" w:footer="720"/>
      <w:pgNumType w:start="1"/>
      <w:cols w:equalWidth="0" w:num="2">
        <w:col w:space="720" w:w="4584.74"/>
        <w:col w:space="0" w:w="4584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Medium">
    <w:embedRegular w:fontKey="{00000000-0000-0000-0000-000000000000}" r:id="rId3" w:subsetted="0"/>
    <w:embedBold w:fontKey="{00000000-0000-0000-0000-000000000000}" r:id="rId4" w:subsetted="0"/>
  </w:font>
  <w:font w:name="Inter Black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Team 12 Project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Inter" w:cs="Inter" w:eastAsia="Inter" w:hAnsi="Inter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rFonts w:ascii="Inter Medium" w:cs="Inter Medium" w:eastAsia="Inter Medium" w:hAnsi="Inter Medium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i w:val="1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Inter Black" w:cs="Inter Black" w:eastAsia="Inter Black" w:hAnsi="Inter Black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Medium-regular.ttf"/><Relationship Id="rId4" Type="http://schemas.openxmlformats.org/officeDocument/2006/relationships/font" Target="fonts/InterMedium-bold.ttf"/><Relationship Id="rId5" Type="http://schemas.openxmlformats.org/officeDocument/2006/relationships/font" Target="fonts/Inter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