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ye-lennon-li-phd-p.stat."/>
    <w:p>
      <w:pPr>
        <w:pStyle w:val="Heading1"/>
      </w:pPr>
      <w:r>
        <w:t xml:space="preserve">Ye (Lennon) Li, PhD, P.Stat.</w:t>
      </w:r>
    </w:p>
    <w:p>
      <w:pPr>
        <w:pStyle w:val="FirstParagraph"/>
      </w:pPr>
      <w:r>
        <w:rPr>
          <w:bCs/>
          <w:b/>
        </w:rPr>
        <w:t xml:space="preserve">Biostatistician | AI Workflow Architect | Public Health Data Scientist</w:t>
      </w:r>
    </w:p>
    <w:p>
      <w:pPr>
        <w:pStyle w:val="BodyText"/>
      </w:pPr>
      <w:r>
        <w:t xml:space="preserve">University of Toronto / Public Health Ontario</w:t>
      </w:r>
      <w:r>
        <w:br/>
      </w:r>
      <w:r>
        <w:t xml:space="preserve">Biostats.ai | ye.li@utoronto.ca | github.com/lennon-li</w:t>
      </w:r>
    </w:p>
    <w:bookmarkStart w:id="20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PhD biostatistician and Professional Statistician with 15+ years of applied public-health experience, 45+ publications/scholarly outputs, and 20+ graduate trainees supervised.</w:t>
      </w:r>
      <w:r>
        <w:t xml:space="preserve"> </w:t>
      </w:r>
      <w:r>
        <w:rPr>
          <w:bCs/>
          <w:b/>
        </w:rPr>
        <w:t xml:space="preserve">Current research focuses on trustworthy agentic data science: privacy-aware AI access to health data, typed decision models, probability calibration and uncertainty, human-gated automation, reproducible R/data systems, and statistical evaluation of AI outputs.</w:t>
      </w:r>
      <w:r>
        <w:t xml:space="preserve"> </w:t>
      </w:r>
      <w:r>
        <w:t xml:space="preserve">Combines statistical methodology, computer science, public-health domain knowledge, software engineering, and AI workflow architecture.</w:t>
      </w:r>
    </w:p>
    <w:bookmarkEnd w:id="20"/>
    <w:bookmarkStart w:id="21" w:name="core-expertise"/>
    <w:p>
      <w:pPr>
        <w:pStyle w:val="Heading2"/>
      </w:pPr>
      <w:r>
        <w:t xml:space="preserve">Core expertise</w:t>
      </w:r>
    </w:p>
    <w:p>
      <w:pPr>
        <w:pStyle w:val="FirstParagraph"/>
      </w:pPr>
      <w:r>
        <w:t xml:space="preserve">AI/agentic data science; statistical calibration and uncertainty; privacy-aware data access; human-in-the-loop systems; biostatistics; spatial/spatiotemporal statistics; surveillance and aberration detection; forecasting; R/Shiny/package development; reproducible research; graduate education.</w:t>
      </w:r>
    </w:p>
    <w:bookmarkEnd w:id="21"/>
    <w:bookmarkStart w:id="25" w:name="current-appointments"/>
    <w:p>
      <w:pPr>
        <w:pStyle w:val="Heading2"/>
      </w:pPr>
      <w:r>
        <w:t xml:space="preserve">Current appointments</w:t>
      </w:r>
    </w:p>
    <w:bookmarkStart w:id="22" w:name="X15d8655cfb6b14aafd9a78de874d6c5fa68b4e3"/>
    <w:p>
      <w:pPr>
        <w:pStyle w:val="Heading3"/>
      </w:pPr>
      <w:r>
        <w:t xml:space="preserve">Biostatistical Specialist — Public Health Ontario | Jan 2012–present</w:t>
      </w:r>
    </w:p>
    <w:p>
      <w:pPr>
        <w:numPr>
          <w:ilvl w:val="0"/>
          <w:numId w:val="1001"/>
        </w:numPr>
        <w:pStyle w:val="Compact"/>
      </w:pPr>
      <w:r>
        <w:t xml:space="preserve">Lead complex statistical analyses with scientists and epidemiologists; develop surveillance models, pipelines, interactive tools, and decision-support workflows for public-health evidence generation.</w:t>
      </w:r>
    </w:p>
    <w:p>
      <w:pPr>
        <w:numPr>
          <w:ilvl w:val="0"/>
          <w:numId w:val="1001"/>
        </w:numPr>
        <w:pStyle w:val="Compact"/>
      </w:pPr>
      <w:r>
        <w:t xml:space="preserve">Develop temporal, spatial and spatiotemporal methods for surveillance and aberration/cluster detection; advise on study design, modelling, uncertainty, interpretation, reproducibility, and statistical communication.</w:t>
      </w:r>
    </w:p>
    <w:bookmarkEnd w:id="22"/>
    <w:bookmarkStart w:id="23" w:name="X48dbab61047fb84ee1885c65bc5f2ba24a74922"/>
    <w:p>
      <w:pPr>
        <w:pStyle w:val="Heading3"/>
      </w:pPr>
      <w:r>
        <w:t xml:space="preserve">Adjunct Professor — University of Toronto, Dalla Lana School of Public Health, Division of Biostatistics | 2012–present</w:t>
      </w:r>
    </w:p>
    <w:p>
      <w:pPr>
        <w:numPr>
          <w:ilvl w:val="0"/>
          <w:numId w:val="1002"/>
        </w:numPr>
        <w:pStyle w:val="Compact"/>
      </w:pPr>
      <w:r>
        <w:t xml:space="preserve">Graduate teaching, practicum/thesis supervision, and mentorship in biostatistics and applied public health, emphasizing statistical reasoning, assumptions, uncertainty, and responsible interpretation.</w:t>
      </w:r>
    </w:p>
    <w:bookmarkEnd w:id="23"/>
    <w:bookmarkStart w:id="24" w:name="X18ea983c6aa4b99eca98da3187ae14023550355"/>
    <w:p>
      <w:pPr>
        <w:pStyle w:val="Heading3"/>
      </w:pPr>
      <w:r>
        <w:t xml:space="preserve">Statistical Consultant &amp; AI Workflow Architect — Biostats.ai | Jun 2010–present</w:t>
      </w:r>
    </w:p>
    <w:p>
      <w:pPr>
        <w:numPr>
          <w:ilvl w:val="0"/>
          <w:numId w:val="1003"/>
        </w:numPr>
        <w:pStyle w:val="Compact"/>
      </w:pPr>
      <w:r>
        <w:t xml:space="preserve">Design secure, reproducible, human-gated workflows in which AI agents assist with planning, coding, retrieval, execution, reporting, and documentation while people retain responsibility for assumptions, interpretation, approval, and release.</w:t>
      </w:r>
    </w:p>
    <w:bookmarkEnd w:id="24"/>
    <w:bookmarkEnd w:id="25"/>
    <w:bookmarkStart w:id="26" w:name="X4f229b6902b997aa9acff09a770fc3cd6cf3d4a"/>
    <w:p>
      <w:pPr>
        <w:pStyle w:val="Heading2"/>
      </w:pPr>
      <w:r>
        <w:t xml:space="preserve">AI, data safety and open-source contributions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DataGangeR (CRAN/GitHub)</w:t>
      </w:r>
      <w:r>
        <w:t xml:space="preserve"> </w:t>
      </w:r>
      <w:r>
        <w:t xml:space="preserve">— Human-gated privacy protocol for agent-assisted prototyping. Produces synthetic stand-ins and reproducible generation recipes so coding agents can work without direct access to original records; designed around data minimization and no-network defaults.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Which (in development)</w:t>
      </w:r>
      <w:r>
        <w:t xml:space="preserve"> </w:t>
      </w:r>
      <w:r>
        <w:t xml:space="preserve">— Engine-neutral framework for typed AI decisions, probability normalization, calibration, abstention, uncertainty, cross-model comparison, regression release gates, and human-governed labelled-data/model-improvement workflows; current work includes Laya/Jev evaluation.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</w:t>
      </w:r>
      <w:r>
        <w:t xml:space="preserve"> </w:t>
      </w:r>
      <w:r>
        <w:t xml:space="preserve">— Deployed AI-assisted companion for R statistical analysis with agent-guided exploration, modelling and interpretation while preserving analyst control over decisions and execution.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Rock</w:t>
      </w:r>
      <w:r>
        <w:t xml:space="preserve"> </w:t>
      </w:r>
      <w:r>
        <w:t xml:space="preserve">— Containerized R/data-science environment for Claude Code, Codex and Gemini CLI; isolates agents from host files and credentials by default and preserves human review before release.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insideR / IPD</w:t>
      </w:r>
      <w:r>
        <w:t xml:space="preserve"> </w:t>
      </w:r>
      <w:r>
        <w:t xml:space="preserve">— Transparency and deliberation tools for tracing/replaying R calls and for independent multi-agent review with preserved disagreement, uncertainty, and explicit human decision authority.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ONgeoR / OPCC / courieR</w:t>
      </w:r>
      <w:r>
        <w:t xml:space="preserve"> </w:t>
      </w:r>
      <w:r>
        <w:t xml:space="preserve">— Open-source R packages for Ontario public-health geography, source-qualified postal-code correspondence, and reproducible R package migration; developed with AI coding agents under human direction and review.</w:t>
      </w:r>
    </w:p>
    <w:bookmarkEnd w:id="26"/>
    <w:bookmarkStart w:id="27" w:name="current-research"/>
    <w:p>
      <w:pPr>
        <w:pStyle w:val="Heading2"/>
      </w:pPr>
      <w:r>
        <w:t xml:space="preserve">Current research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Privacy-aware AI data access</w:t>
      </w:r>
      <w:r>
        <w:t xml:space="preserve"> </w:t>
      </w:r>
      <w:r>
        <w:t xml:space="preserve">— calibrated statistical and semantic decisions about the minimum appropriate representation of medical/public-health data to expose to AI, with abstention, dual-gate safety, harm-weighted evaluation, and human review.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Typed-decision model evaluation</w:t>
      </w:r>
      <w:r>
        <w:t xml:space="preserve"> </w:t>
      </w:r>
      <w:r>
        <w:t xml:space="preserve">— converting free-form AI judgment into standardized classifications and probabilities that can be scored, calibrated, stress-tested, compared across models, and monitored over time.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infectious-disease forecasting</w:t>
      </w:r>
      <w:r>
        <w:t xml:space="preserve"> </w:t>
      </w:r>
      <w:r>
        <w:t xml:space="preserve">— phase-aligned influenza forecasting with ignition detection, epidemic-curve alignment/peak tracking, and short-horizon probabilistic forecasting.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Human-gated scientific agents</w:t>
      </w:r>
      <w:r>
        <w:t xml:space="preserve"> </w:t>
      </w:r>
      <w:r>
        <w:t xml:space="preserve">— multi-agent research/software workflows emphasizing delegation, independent verification, reproducibility, explicit uncertainty, controlled data boundaries, and accountable release decisions.</w:t>
      </w:r>
    </w:p>
    <w:bookmarkEnd w:id="27"/>
    <w:bookmarkStart w:id="28" w:name="education-and-credentials"/>
    <w:p>
      <w:pPr>
        <w:pStyle w:val="Heading2"/>
      </w:pPr>
      <w:r>
        <w:t xml:space="preserve">Education and credentials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PhD, Biostatistics, University of Toronto, 2012</w:t>
      </w:r>
      <w:r>
        <w:t xml:space="preserve"> </w:t>
      </w:r>
      <w:r>
        <w:t xml:space="preserve">— Division of Biostatistics, Dalla Lana School of Public Health. Dissertation:</w:t>
      </w:r>
      <w:r>
        <w:t xml:space="preserve"> </w:t>
      </w:r>
      <w:r>
        <w:rPr>
          <w:iCs/>
          <w:i/>
        </w:rPr>
        <w:t xml:space="preserve">Disease Mapping with Log Gaussian Cox Processes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MSc, Biostatistics, University of Toronto, 2007</w:t>
      </w:r>
      <w:r>
        <w:t xml:space="preserve"> </w:t>
      </w:r>
      <w:r>
        <w:t xml:space="preserve">— Department of Public Health Sciences, Faculty of Medicine.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Honours BSc with Distinction, Applied Statistics and Computer Science, University of Toronto, 2005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Professional Statistician (P.Stat.)</w:t>
      </w:r>
      <w:r>
        <w:t xml:space="preserve">, Statistical Society of Canada — accredited since 2012.</w:t>
      </w:r>
    </w:p>
    <w:bookmarkEnd w:id="28"/>
    <w:bookmarkStart w:id="29" w:name="teaching-and-supervision"/>
    <w:p>
      <w:pPr>
        <w:pStyle w:val="Heading2"/>
      </w:pPr>
      <w:r>
        <w:t xml:space="preserve">Teaching and supervision</w:t>
      </w:r>
    </w:p>
    <w:p>
      <w:pPr>
        <w:numPr>
          <w:ilvl w:val="0"/>
          <w:numId w:val="1007"/>
        </w:numPr>
        <w:pStyle w:val="Compact"/>
      </w:pPr>
      <w:r>
        <w:t xml:space="preserve">20+ graduate trainees supervised; longstanding practicum supervision for University of Toronto MSc/PhD Biostatistics students.</w:t>
      </w:r>
    </w:p>
    <w:p>
      <w:pPr>
        <w:numPr>
          <w:ilvl w:val="0"/>
          <w:numId w:val="1007"/>
        </w:numPr>
        <w:pStyle w:val="Compact"/>
      </w:pPr>
      <w:r>
        <w:t xml:space="preserve">Courses include CHL5201 Biostatistics for Epidemiologists I; CHL7001 Applied Spatial Statistics for Public Health Data; CHL5207/5208 Laboratory in Statistical Design and Analysis.</w:t>
      </w:r>
    </w:p>
    <w:p>
      <w:pPr>
        <w:numPr>
          <w:ilvl w:val="0"/>
          <w:numId w:val="1007"/>
        </w:numPr>
        <w:pStyle w:val="Compact"/>
      </w:pPr>
      <w:r>
        <w:t xml:space="preserve">Current educational focus includes statistical evaluation of AI classifications, probabilities, calibration, uncertainty, failure modes, and human-review thresholds.</w:t>
      </w:r>
    </w:p>
    <w:bookmarkEnd w:id="29"/>
    <w:bookmarkStart w:id="30" w:name="selected-publications"/>
    <w:p>
      <w:pPr>
        <w:pStyle w:val="Heading2"/>
      </w:pPr>
      <w:r>
        <w:t xml:space="preserve">Selected publications</w:t>
      </w:r>
    </w:p>
    <w:p>
      <w:pPr>
        <w:numPr>
          <w:ilvl w:val="0"/>
          <w:numId w:val="1008"/>
        </w:numPr>
        <w:pStyle w:val="Compact"/>
      </w:pPr>
      <w:r>
        <w:t xml:space="preserve">Ge E, Yu C, Lavigne E, Villeneuve PJ, Liu X, Grubic N, Lou W, Brook J, Lu Z, Li YL, To T. Early-life greenness and childhood asthma and allergic rhinitis: An Ontario birth cohort study.</w:t>
      </w:r>
      <w:r>
        <w:t xml:space="preserve"> </w:t>
      </w:r>
      <w:r>
        <w:rPr>
          <w:iCs/>
          <w:i/>
        </w:rPr>
        <w:t xml:space="preserve">European Respiratory Journal</w:t>
      </w:r>
      <w:r>
        <w:t xml:space="preserve">. 2026. doi:10.1183/13993003.02272-2025.</w:t>
      </w:r>
    </w:p>
    <w:p>
      <w:pPr>
        <w:numPr>
          <w:ilvl w:val="0"/>
          <w:numId w:val="1008"/>
        </w:numPr>
        <w:pStyle w:val="Compact"/>
      </w:pPr>
      <w:r>
        <w:t xml:space="preserve">Peci A, Zhang P, Sullivan A, Li Y, Bi Y, Murphy A, Leibson K, Gubbay JB, Majury A. Impact of COVID-19 pandemic on Legionella testing and infection rates in Ontario.</w:t>
      </w:r>
      <w:r>
        <w:t xml:space="preserve"> </w:t>
      </w:r>
      <w:r>
        <w:rPr>
          <w:iCs/>
          <w:i/>
        </w:rPr>
        <w:t xml:space="preserve">BMC Public Health</w:t>
      </w:r>
      <w:r>
        <w:t xml:space="preserve">. 2025;25(1):1-10.</w:t>
      </w:r>
    </w:p>
    <w:p>
      <w:pPr>
        <w:numPr>
          <w:ilvl w:val="0"/>
          <w:numId w:val="1008"/>
        </w:numPr>
        <w:pStyle w:val="Compact"/>
      </w:pPr>
      <w:r>
        <w:t xml:space="preserve">Paul LA, Li Y, Leece P, Gomes T, Bayoumi MA, Herring J, Murray R, Brown P. Identifying the changing age distribution of opioid-related mortality with high-frequency data.</w:t>
      </w:r>
      <w:r>
        <w:t xml:space="preserve"> </w:t>
      </w:r>
      <w:r>
        <w:rPr>
          <w:iCs/>
          <w:i/>
        </w:rPr>
        <w:t xml:space="preserve">PLoS ONE</w:t>
      </w:r>
      <w:r>
        <w:t xml:space="preserve">. 2022;17(4):e0265509.</w:t>
      </w:r>
    </w:p>
    <w:p>
      <w:pPr>
        <w:numPr>
          <w:ilvl w:val="0"/>
          <w:numId w:val="1008"/>
        </w:numPr>
        <w:pStyle w:val="Compact"/>
      </w:pPr>
      <w:r>
        <w:t xml:space="preserve">Wilson SE, Bunko A, Johnson S, et al. The geographic distribution of un-immunized children in Ontario, Canada: hotspot detection using Bayesian spatial analysis.</w:t>
      </w:r>
      <w:r>
        <w:t xml:space="preserve"> </w:t>
      </w:r>
      <w:r>
        <w:rPr>
          <w:iCs/>
          <w:i/>
        </w:rPr>
        <w:t xml:space="preserve">Vaccine</w:t>
      </w:r>
      <w:r>
        <w:t xml:space="preserve">. 2021;39(8):1349-1357.</w:t>
      </w:r>
    </w:p>
    <w:p>
      <w:pPr>
        <w:numPr>
          <w:ilvl w:val="0"/>
          <w:numId w:val="1008"/>
        </w:numPr>
        <w:pStyle w:val="Compact"/>
      </w:pPr>
      <w:r>
        <w:t xml:space="preserve">Li Y, Whelan M, Hobbs L, Fan WQ, Fung C, Wong K, Marchand-Austin A, Badiani T, Johnson I. Data Driven Approach of CUSUM Algorithm in Temporal Aberrant Event Detection Using Interactive Web Applications.</w:t>
      </w:r>
      <w:r>
        <w:t xml:space="preserve"> </w:t>
      </w:r>
      <w:r>
        <w:rPr>
          <w:iCs/>
          <w:i/>
        </w:rPr>
        <w:t xml:space="preserve">Canadian Journal of Public Health</w:t>
      </w:r>
      <w:r>
        <w:t xml:space="preserve">. 2016;107(1):e9-e15.</w:t>
      </w:r>
    </w:p>
    <w:p>
      <w:pPr>
        <w:numPr>
          <w:ilvl w:val="0"/>
          <w:numId w:val="1008"/>
        </w:numPr>
        <w:pStyle w:val="Compact"/>
      </w:pPr>
      <w:r>
        <w:t xml:space="preserve">Li Y, Brown P, Rue H, Gesink D. Log Gaussian Cox processes and spatially aggregated disease incidence data.</w:t>
      </w:r>
      <w:r>
        <w:t xml:space="preserve"> </w:t>
      </w:r>
      <w:r>
        <w:rPr>
          <w:iCs/>
          <w:i/>
        </w:rPr>
        <w:t xml:space="preserve">Statistical Methods in Medical Research</w:t>
      </w:r>
      <w:r>
        <w:t xml:space="preserve">. 2012;21(5):479-507.</w:t>
      </w:r>
    </w:p>
    <w:p>
      <w:pPr>
        <w:numPr>
          <w:ilvl w:val="0"/>
          <w:numId w:val="1008"/>
        </w:numPr>
        <w:pStyle w:val="Compact"/>
      </w:pPr>
      <w:r>
        <w:t xml:space="preserve">Li Y, Brown P, Rue H. Spatial modelling of lupus incidence over 40 years with changes in census areas.</w:t>
      </w:r>
      <w:r>
        <w:t xml:space="preserve"> </w:t>
      </w:r>
      <w:r>
        <w:rPr>
          <w:iCs/>
          <w:i/>
        </w:rPr>
        <w:t xml:space="preserve">Journal of the Royal Statistical Society: Series C (Applied Statistics)</w:t>
      </w:r>
      <w:r>
        <w:t xml:space="preserve">. 2012;61(1):99-115.</w:t>
      </w:r>
    </w:p>
    <w:bookmarkEnd w:id="30"/>
    <w:bookmarkStart w:id="31" w:name="technical-profile"/>
    <w:p>
      <w:pPr>
        <w:pStyle w:val="Heading2"/>
      </w:pPr>
      <w:r>
        <w:t xml:space="preserve">Technical profile</w:t>
      </w:r>
    </w:p>
    <w:p>
      <w:pPr>
        <w:pStyle w:val="FirstParagraph"/>
      </w:pPr>
      <w:r>
        <w:rPr>
          <w:bCs/>
          <w:b/>
        </w:rPr>
        <w:t xml:space="preserve">Statistics:</w:t>
      </w:r>
      <w:r>
        <w:t xml:space="preserve"> </w:t>
      </w:r>
      <w:r>
        <w:t xml:space="preserve">R, Bayesian/spatial modelling, GAMs/regression, surveillance, forecasting, calibration, uncertainty, simulation, reproducible validation.</w:t>
      </w:r>
      <w:r>
        <w:br/>
      </w:r>
      <w:r>
        <w:rPr>
          <w:bCs/>
          <w:b/>
        </w:rPr>
        <w:t xml:space="preserve">AI/systems:</w:t>
      </w:r>
      <w:r>
        <w:t xml:space="preserve"> </w:t>
      </w:r>
      <w:r>
        <w:t xml:space="preserve">LLM/agent orchestration, typed decisions, model evaluation, human-in-the-loop control, privacy/data boundaries, local-vs-cloud execution.</w:t>
      </w:r>
      <w:r>
        <w:br/>
      </w:r>
      <w:r>
        <w:rPr>
          <w:bCs/>
          <w:b/>
        </w:rPr>
        <w:t xml:space="preserve">Software:</w:t>
      </w:r>
      <w:r>
        <w:t xml:space="preserve"> </w:t>
      </w:r>
      <w:r>
        <w:t xml:space="preserve">R packages, Shiny, Quarto, Python, APIs, containers, Git/GitHub, CI/CD, cloud deployment.</w:t>
      </w:r>
    </w:p>
    <w:bookmarkEnd w:id="31"/>
    <w:bookmarkStart w:id="32" w:name="links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Biostats.ai: https://www.biostats.ai</w:t>
      </w:r>
      <w:r>
        <w:br/>
      </w:r>
      <w:r>
        <w:t xml:space="preserve">University of Toronto faculty profile: https://www.dlsph.utoronto.ca/faculty-profile/li-lennon/</w:t>
      </w:r>
      <w:r>
        <w:br/>
      </w:r>
      <w:r>
        <w:t xml:space="preserve">GitHub: https://github.com/lennon-li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2026-09-23T19:43:18Z</dcterms:created>
  <dcterms:modified xsi:type="dcterms:W3CDTF">2026-09-23T19:43:18Z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