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3.png" ContentType="image/png"/>
  <Override PartName="/word/media/rId41.png" ContentType="image/png"/>
  <Override PartName="/word/media/rId35.png" ContentType="image/png"/>
  <Override PartName="/word/media/rId34.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26</w:t>
      </w:r>
      <w:r>
        <w:t xml:space="preserve"> </w:t>
      </w:r>
      <w:r>
        <w:t xml:space="preserve">April,</w:t>
      </w:r>
      <w:r>
        <w:t xml:space="preserve"> </w:t>
      </w:r>
      <w:r>
        <w:t xml:space="preserve">2018</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 xml:space="preserve">Rachycentron canadum</w:t>
      </w:r>
      <w:r>
        <w:t xml:space="preserve">). We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with the potential to produce a total of 80.5 million metric tons (MMT) of seafood annually, an amount roughly equal to the total global production from capture fisheries (~80 MMT). Of this area, 43,120 km</w:t>
      </w:r>
      <w:r>
        <w:rPr>
          <w:vertAlign w:val="superscript"/>
        </w:rPr>
        <w:t xml:space="preserve">2</w:t>
      </w:r>
      <w:r>
        <w:t xml:space="preserve"> </w:t>
      </w:r>
      <w:r>
        <w:t xml:space="preserve">(1.45%) is economically viable given our estimates of current production costs, with the potential to produce 0.4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demands, a 10% increase over current levels</w:t>
      </w:r>
      <w:r>
        <w:t xml:space="preserve"> </w:t>
      </w:r>
      <w:r>
        <w:t xml:space="preserve">(Kobayashi et al. 2015; FAO 2016)</w:t>
      </w:r>
      <w:r>
        <w:t xml:space="preserve">.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w:t>
      </w:r>
      <w:r>
        <w:rPr>
          <w:b/>
        </w:rPr>
        <w:t xml:space="preserve">???</w:t>
      </w:r>
      <w:r>
        <w:t xml:space="preserve">; Froehlich et al. 2017)</w:t>
      </w:r>
      <w:r>
        <w:t xml:space="preserve">. Additionally,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could be realized requires an understanding of the sustainable and economically-viable production potential at a regional level,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t xml:space="preserve"> </w:t>
      </w:r>
      <w:r>
        <w:t xml:space="preserve">(Van Wyk and Davis 2006; Creswell 5AD–2007; CRFM 2014; Pérez-Ramírez 2017)</w:t>
      </w:r>
      <w:r>
        <w:t xml:space="preserve">. In 2014, the Caribbean produced 330,704 MT of seafood, 90% of which came from capture fisheries. Currently, over 88% of seafood consumed in the Caribbean is from wild capture fisheries</w:t>
      </w:r>
      <w:r>
        <w:t xml:space="preserve"> </w:t>
      </w:r>
      <w:r>
        <w:t xml:space="preserve">(FAO 2016)</w:t>
      </w:r>
      <w:r>
        <w:t xml:space="preserve">. To meet seafood demand in the region, over 144,000 MT of seafood, valued at over 196 million $USD, is imported annually</w:t>
      </w:r>
      <w:r>
        <w:t xml:space="preserve"> </w:t>
      </w:r>
      <w:r>
        <w:t xml:space="preserve">(Nguyen and Jolly 2010; FAO 2016)</w:t>
      </w:r>
      <w:r>
        <w:t xml:space="preserve">. Furthermore, seafood consumption per capita in the Caribbean is projected to increase rapidly over the next decade (22%)</w:t>
      </w:r>
      <w:r>
        <w:t xml:space="preserve">(FAO 2016)</w:t>
      </w:r>
      <w:r>
        <w:t xml:space="preserve">. Wild fisheries production in the region is unlikely to play a meaningful role in decreasing exports 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w:t>
      </w:r>
      <w:r>
        <w:t xml:space="preserve"> </w:t>
      </w:r>
      <w:r>
        <w:t xml:space="preserve">(Hernández-Rodríguez et al. 2001)</w:t>
      </w:r>
      <w:r>
        <w:t xml:space="preserve">, and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available land, freshwater, and energy resources</w:t>
      </w:r>
      <w:r>
        <w:t xml:space="preserve"> </w:t>
      </w:r>
      <w:r>
        <w:t xml:space="preserve">(Alvarez-Lajonchère and Ibarra-Castro 2013)</w:t>
      </w:r>
      <w:r>
        <w:t xml:space="preserve">. Similarly, expanded development of alongshore and coastal aquaculture in the region is likely unsustainable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water depths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t xml:space="preserve"> </w:t>
      </w:r>
      <w:r>
        <w:t xml:space="preserve">(D. D. Benetti, O’Hanlon, et al. 2010)</w:t>
      </w:r>
      <w:r>
        <w:t xml:space="preserve">.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potential for aquaculutre is large in terms of suitable area</w:t>
      </w:r>
      <w:r>
        <w:t xml:space="preserve"> </w:t>
      </w:r>
      <w:r>
        <w:t xml:space="preserve">(Gentry, Froehlich, et al. 2017)</w:t>
      </w:r>
      <w:r>
        <w:t xml:space="preserve"> </w:t>
      </w:r>
      <w:r>
        <w:t xml:space="preserve">and careful marine spatial planning can improve outcomes across multiple economic and environmental objectives</w:t>
      </w:r>
      <w:r>
        <w:t xml:space="preserve"> </w:t>
      </w:r>
      <w:r>
        <w:t xml:space="preserve">(Lester et al. 2018)</w:t>
      </w:r>
      <w:r>
        <w:t xml:space="preserve">.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study-region-and-overview"/>
      <w:bookmarkEnd w:id="24"/>
      <w:r>
        <w:t xml:space="preserve">Study Region and Overview</w:t>
      </w:r>
    </w:p>
    <w:p>
      <w:pPr>
        <w:pStyle w:val="FirstParagraph"/>
      </w:pPr>
      <w:r>
        <w:t xml:space="preserve">Our study domain includes the territorial waters and Exclusive Economic Zones (EEZs) surrounding the 28 island countries of the Caribbean Sea. We do not consider the potential for offshore aquaculture development in the high seas or disputed waters. EEZ boundaries for the 28 island countries in our study are are defined using data from Flanders Marine Institute</w:t>
      </w:r>
      <w:r>
        <w:t xml:space="preserve"> </w:t>
      </w:r>
      <w:r>
        <w:t xml:space="preserve">(2011)</w:t>
      </w:r>
      <w:r>
        <w:t xml:space="preserve"> </w:t>
      </w:r>
      <w:r>
        <w:t xml:space="preserve">and all analyses are performed at a 1 km</w:t>
      </w:r>
      <w:r>
        <w:rPr>
          <w:vertAlign w:val="superscript"/>
        </w:rPr>
        <w:t xml:space="preserve">2</w:t>
      </w:r>
      <w:r>
        <w:t xml:space="preserve"> </w:t>
      </w:r>
      <w:r>
        <w:t xml:space="preserve">spatial resolution. We develop a spatial bioeconomic model to estimate the production potential, in terms of biomass (</w:t>
      </w:r>
      <w:r>
        <w:rPr>
          <w:i/>
        </w:rPr>
        <w:t xml:space="preserve">t</w:t>
      </w:r>
      <w:r>
        <w:t xml:space="preserve">) and Net Present Value (NPV), for offshore cobia mariculture in the Caribbean region. The first steps of our analysis are to identify 1 km</w:t>
      </w:r>
      <w:r>
        <w:rPr>
          <w:vertAlign w:val="superscript"/>
        </w:rPr>
        <w:t xml:space="preserve">2</w:t>
      </w:r>
      <w:r>
        <w:t xml:space="preserve"> </w:t>
      </w:r>
      <w:r>
        <w:t xml:space="preserve">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production model and estimated economic parameters to calculate NPV over a 10 year time horizon and examine production and revenue outcomes under the assumption that only farms that have a positive NPV will be developed.</w:t>
      </w:r>
    </w:p>
    <w:p>
      <w:pPr>
        <w:pStyle w:val="Heading2"/>
      </w:pPr>
      <w:bookmarkStart w:id="25" w:name="suitability-assessment"/>
      <w:bookmarkEnd w:id="25"/>
      <w:r>
        <w:t xml:space="preserve">Suitability Assessment</w:t>
      </w:r>
    </w:p>
    <w:p>
      <w:pPr>
        <w:pStyle w:val="FirstParagraph"/>
      </w:pPr>
      <w:r>
        <w:t xml:space="preserve">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We use physical specifications listed by the original manufacture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t xml:space="preserve">(Kapetsky, Aguilar-Manjarrez, and Jenness 2013)</w:t>
      </w:r>
      <w:r>
        <w:t xml:space="preserve">. We use spatial bathymetry data from Becker et al</w:t>
      </w:r>
      <w:r>
        <w:t xml:space="preserve"> </w:t>
      </w:r>
      <w:r>
        <w:t xml:space="preserve">(2009)</w:t>
      </w:r>
      <w:r>
        <w:t xml:space="preserve"> </w:t>
      </w:r>
      <w:r>
        <w:t xml:space="preserve">to identify areas within a suitable depth range and determine the absolute maximum zonal and meridional current velcocities using data on daily averages over a 10-year period (2005 - 2015) from ESR</w:t>
      </w:r>
      <w:r>
        <w:t xml:space="preserve"> </w:t>
      </w:r>
      <w:r>
        <w:t xml:space="preserve">(2009)</w:t>
      </w:r>
      <w:r>
        <w:t xml:space="preserve"> </w:t>
      </w:r>
      <w:r>
        <w:t xml:space="preserve">15to identify areas that are technically feasible for offshore maricuture development.</w:t>
      </w:r>
    </w:p>
    <w:p>
      <w:pPr>
        <w:pStyle w:val="BodyText"/>
      </w:pPr>
      <w:r>
        <w:t xml:space="preserve">Offshore mariculture farms can be associated with increased nutrient levels in the water column and along the benthos from fish waste in the vicinity of the cages</w:t>
      </w:r>
      <w:r>
        <w:t xml:space="preserve"> </w:t>
      </w:r>
      <w:r>
        <w:t xml:space="preserve">(Lovatelli et al. 2013)</w:t>
      </w:r>
      <w:r>
        <w:t xml:space="preserve">. Nutrient pollution from fish farms can be associated with algal blooms, reduced water quality and clarity, and low oxygen conditions, all of which can be damaging to coral reef ecosystems</w:t>
      </w:r>
      <w:r>
        <w:t xml:space="preserve"> </w:t>
      </w:r>
      <w:r>
        <w:t xml:space="preserve">(Holmer 2010)</w:t>
      </w:r>
      <w:r>
        <w:t xml:space="preserve">. Using data from</w:t>
      </w:r>
      <w:r>
        <w:t xml:space="preserve"> </w:t>
      </w:r>
      <w:r>
        <w:t xml:space="preserve">(2010)</w:t>
      </w:r>
      <w:r>
        <w:t xml:space="preserve"> </w:t>
      </w:r>
      <w:r>
        <w:t xml:space="preserve">on locations of coral reef habitat, we excluded these areas from offshore mariculture development. Additionally, we excluded areas within designated marine protected areas (MPAs) and conservation priority areas</w:t>
      </w:r>
      <w:r>
        <w:t xml:space="preserve"> </w:t>
      </w:r>
      <w:r>
        <w:t xml:space="preserve">(IUCN and UNEP-WCMC 2017)</w:t>
      </w:r>
      <w:r>
        <w:t xml:space="preserve">.</w:t>
      </w:r>
    </w:p>
    <w:p>
      <w:pPr>
        <w:pStyle w:val="BodyText"/>
      </w:pPr>
      <w:r>
        <w:t xml:space="preserve">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and areas with benthic oil structures (data sources) using spatial data from Halpren</w:t>
      </w:r>
      <w:r>
        <w:t xml:space="preserve"> </w:t>
      </w:r>
      <w:r>
        <w:t xml:space="preserve">(</w:t>
      </w:r>
      <w:r>
        <w:rPr>
          <w:b/>
        </w:rPr>
        <w:t xml:space="preserve">???</w:t>
      </w:r>
      <w:r>
        <w:t xml:space="preserve">)</w:t>
      </w:r>
      <w:r>
        <w:t xml:space="preserve">, assuming they are not suitable for offshore mariculture development.</w:t>
      </w:r>
    </w:p>
    <w:p>
      <w:pPr>
        <w:pStyle w:val="Heading2"/>
      </w:pPr>
      <w:bookmarkStart w:id="26" w:name="growth-model"/>
      <w:bookmarkEnd w:id="26"/>
      <w:r>
        <w:t xml:space="preserve">Growth Model</w:t>
      </w:r>
    </w:p>
    <w:p>
      <w:pPr>
        <w:pStyle w:val="FirstParagraph"/>
      </w:pPr>
      <w:r>
        <w:t xml:space="preserve">Temperature is one of the primary abiotic factors controlling growth in ecotherms, including cobia</w:t>
      </w:r>
      <w:r>
        <w:t xml:space="preserve"> </w:t>
      </w:r>
      <w:r>
        <w:t xml:space="preserve">(Brett 1979)</w:t>
      </w:r>
      <w:r>
        <w:t xml:space="preserve">, and obviously cannot be easily controlled in offshore mariculture farms</w:t>
      </w:r>
      <w:r>
        <w:t xml:space="preserve"> </w:t>
      </w:r>
      <w:r>
        <w:t xml:space="preserve">(Tidwell 2012)</w:t>
      </w:r>
      <w:r>
        <w:t xml:space="preserve">. To reflect spatial differences in productivity across farms caused by temperature variations, we use 10 years of remotely-sensed sea surface temperature (SST) data</w:t>
      </w:r>
      <w:r>
        <w:t xml:space="preserve"> </w:t>
      </w:r>
      <w:r>
        <w:t xml:space="preserve">(NASA Goddard Space Flight Center, Ocean Ecology Laboratory, and Ocean Biology Processing Group 2014)</w:t>
      </w:r>
      <w:r>
        <w:t xml:space="preserve"> </w:t>
      </w:r>
      <w:r>
        <w:t xml:space="preserve">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parameters for cobia are presented in Table SX and were adopted from</w:t>
      </w:r>
      <w:r>
        <w:t xml:space="preserve"> </w:t>
      </w:r>
      <w:r>
        <w:t xml:space="preserve">(Klinger, Levin, and Watson 2017)</w:t>
      </w:r>
      <w:r>
        <w:t xml:space="preserve">,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 series. The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FirstParagraph"/>
      </w:pPr>
      <w:r>
        <w:t xml:space="preserve">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 xml:space="preserve">2</w:t>
      </w:r>
      <w:r>
        <w:t xml:space="preserve"> </w:t>
      </w:r>
      <w:r>
        <w:t xml:space="preserve">sites) with a positive NPV under the assumption that only profitable farm locations would be developed.</w:t>
      </w:r>
    </w:p>
    <w:p>
      <w:pPr>
        <w:pStyle w:val="BodyText"/>
      </w:pPr>
      <w:r>
        <w:t xml:space="preserve">To estimate production, we assume a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t xml:space="preserve"> </w:t>
      </w:r>
      <w:r>
        <w:t xml:space="preserve">(Fredriksson et al. 2004; Xu, Zhu, and Miao 2015)</w:t>
      </w:r>
      <w:r>
        <w:t xml:space="preserve">. The cages are held in position by the mooring system at depths of 15-20 m below the surface</w:t>
      </w:r>
      <w:r>
        <w:t xml:space="preserve">(Loverich 2010)</w:t>
      </w:r>
      <w:r>
        <w:t xml:space="preserve">. We develop a farm design for a 1 km</w:t>
      </w:r>
      <w:r>
        <w:rPr>
          <w:vertAlign w:val="superscript"/>
        </w:rPr>
        <w:t xml:space="preserve">2</w:t>
      </w:r>
      <w:r>
        <w:t xml:space="preserve"> </w:t>
      </w:r>
      <w:r>
        <w:t xml:space="preserve">area using the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(Fredriksson et al. 2004)</w:t>
      </w:r>
      <w:r>
        <w:t xml:space="preserve">. Our hypothetical farm has 16 SeaStation cages (each 6,400 m</w:t>
      </w:r>
      <w:r>
        <w:rPr>
          <w:vertAlign w:val="superscript"/>
        </w:rPr>
        <w:t xml:space="preserve">3</w:t>
      </w:r>
      <w:r>
        <w:t xml:space="preserve">) configured in two eight-cell grid mooring systems, for a total cage volume of 102,400 m</w:t>
      </w:r>
      <w:r>
        <w:rPr>
          <w:vertAlign w:val="superscript"/>
        </w:rPr>
        <w:t xml:space="preserve">3</w:t>
      </w:r>
      <w:r>
        <w:t xml:space="preserve"> </w:t>
      </w:r>
      <w:r>
        <w:t xml:space="preserve">per individual farm. The infrastructure of the farm has a footprint of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w:t>
      </w:r>
      <w:r>
        <w:t xml:space="preserve">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BodyText"/>
      </w:pPr>
      <w:r>
        <w:t xml:space="preserve">D. D. Benetti, O’Hanlon, et al. (2010)</w:t>
      </w:r>
      <w:r>
        <w:t xml:space="preserve"> </w:t>
      </w:r>
      <w:r>
        <w:t xml:space="preserve">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instantaneous mortality rate: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Heading2"/>
      </w:pPr>
      <w:bookmarkStart w:id="27" w:name="economic-model"/>
      <w:bookmarkEnd w:id="27"/>
      <w:r>
        <w:t xml:space="preserve">Economic Model</w:t>
      </w:r>
    </w:p>
    <w:p>
      <w:pPr>
        <w:pStyle w:val="FirstParagraph"/>
      </w:pPr>
      <w:r>
        <w:t xml:space="preserve">The total cost (</w:t>
      </w:r>
      <m:oMath>
        <m:r>
          <m:t>T</m:t>
        </m:r>
        <m:r>
          <m:t>C</m:t>
        </m:r>
      </m:oMath>
      <w:r>
        <w:t xml:space="preserve">) 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Some parameters were fixed across our study region (Table S3a) while others are a function of EEZ (Table S3b) and/or vary by site within an EEZ. Costs of aquaculture infrastructure and installation increase with depth and distance from shore</w:t>
      </w:r>
      <w:r>
        <w:t xml:space="preserve"> </w:t>
      </w:r>
      <w:r>
        <w:t xml:space="preserve">(Nations and United 2007)</w:t>
      </w:r>
      <w:r>
        <w:t xml:space="preserve">. Start-up costs, which include initial capital expenditures (</w:t>
      </w:r>
      <m:oMath>
        <m:r>
          <m:t>E</m:t>
        </m:r>
      </m:oMath>
      <w:r>
        <w:t xml:space="preserve">) and installation costs (</w:t>
      </w:r>
      <m:oMath>
        <m:r>
          <m:t>I</m:t>
        </m:r>
      </m:oMath>
      <w:r>
        <w:t xml:space="preserve">), were varied as a function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and equitment required for installing the culture system. A 10% increase in cage and installation costs are assigned to sites with depths greater than 50 m to account for a more complex and time consuming installation procedure in deeper water</w:t>
      </w:r>
      <w:r>
        <w:t xml:space="preserve"> </w:t>
      </w:r>
      <w:r>
        <w:t xml:space="preserve">(Lester et al. 2018)</w:t>
      </w:r>
      <w:r>
        <w:t xml:space="preserve">. Operating costs are organized in two main categories: farm labor and maintenance costs as a function of site depth,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sSub>
          <m:e>
            <m:r>
              <m:t>F</m:t>
            </m:r>
          </m:e>
          <m:sub>
            <m:r>
              <m:t>i</m:t>
            </m:r>
            <m:r>
              <m:t>,</m:t>
            </m:r>
            <m:r>
              <m:t>t</m:t>
            </m:r>
          </m:sub>
        </m:sSub>
      </m:oMath>
      <w:r>
        <w:t xml:space="preserve">) include the total cost of fingerlings stocked in month</w:t>
      </w:r>
      <w:r>
        <w:t xml:space="preserve"> </w:t>
      </w:r>
      <m:oMath>
        <m:r>
          <m:t>i</m:t>
        </m:r>
      </m:oMath>
      <w:r>
        <w:t xml:space="preserve"> </w:t>
      </w:r>
      <w:r>
        <w:t xml:space="preserve">(</w:t>
      </w:r>
      <m:oMath>
        <m:r>
          <m:t>2.58</m:t>
        </m:r>
        <m:sSub>
          <m:e>
            <m:r>
              <m:t>n</m:t>
            </m:r>
          </m:e>
          <m:sub>
            <m:r>
              <m:t>0</m:t>
            </m:r>
            <m:r>
              <m:t>,</m:t>
            </m:r>
            <m:r>
              <m:t>i</m:t>
            </m:r>
            <m:r>
              <m:t>,</m:t>
            </m:r>
            <m:r>
              <m:t>t</m:t>
            </m:r>
          </m:sub>
        </m:sSub>
      </m:oMath>
      <w:r>
        <w:t xml:space="preserve">) plus the total cost of feed. Feed cost is based on a feed price of $1.68/kg and a tapered feeding strategy in which daily feed usage (30 days per month) corresponds to 3% of total farm biomass (</w:t>
      </w:r>
      <m:oMath>
        <m:sSub>
          <m:e>
            <m:r>
              <m:t>B</m:t>
            </m:r>
          </m:e>
          <m:sub>
            <m:r>
              <m:t>i</m:t>
            </m:r>
            <m:r>
              <m:t>,</m:t>
            </m:r>
            <m:r>
              <m:t>t</m:t>
            </m:r>
          </m:sub>
        </m:sSub>
      </m:oMath>
      <w:r>
        <w:t xml:space="preserve">) for the first three months, 2% for months 4-8, and 1% thereafter.</w:t>
      </w:r>
    </w:p>
    <w:p>
      <w:pPr>
        <w:pStyle w:val="BodyText"/>
      </w:pPr>
      <w:r>
        <w:t xml:space="preserve">Farms earn revenue by harvesting market weight cobia, which we assume to be 5 kg. Thus, farms only earn revenue in months where individual fish weight (</w:t>
      </w:r>
      <m:oMath>
        <m:r>
          <m:t>w</m:t>
        </m:r>
      </m:oMath>
      <w:r>
        <w:t xml:space="preserve">) reaches 5 kg. In these months, farm revenue is a function of harvest biomass (</w:t>
      </w:r>
      <m:oMath>
        <m:sSub>
          <m:e>
            <m:r>
              <m:t>B</m:t>
            </m:r>
          </m:e>
          <m:sub>
            <m:r>
              <m:t>i</m:t>
            </m:r>
            <m:r>
              <m:t>,</m:t>
            </m:r>
            <m:r>
              <m:t>t</m:t>
            </m:r>
          </m:sub>
        </m:sSub>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Net present value (NPV) can be used to assess an investment’s long-term economic validity, accounting for the time value of money by discounting future cash flows at a specified discount rate that describes the present value of future cash flows. We calculate NPV for all farms over a 10-year period as:</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Lastly, for comparing with national statistics, NPV is annualized by calculating the corresponding annuity</w:t>
      </w:r>
      <w:r>
        <w:t xml:space="preserve"> </w:t>
      </w:r>
      <m:oMath>
        <m:sSub>
          <m:e>
            <m:r>
              <m:t>A</m:t>
            </m:r>
          </m:e>
          <m:sub>
            <m:r>
              <m:t>i</m:t>
            </m:r>
          </m:sub>
        </m:sSub>
      </m:oMath>
      <w:r>
        <w:t xml:space="preserve"> </w:t>
      </w:r>
      <w:r>
        <w:t xml:space="preserve">payment:</w:t>
      </w:r>
    </w:p>
    <w:p>
      <w:pPr>
        <w:pStyle w:val="BodyText"/>
      </w:pPr>
      <m:oMathPara>
        <m:oMathParaPr>
          <m:jc m:val="center"/>
        </m:oMathParaPr>
        <m:oMath>
          <m:sSub>
            <m:e>
              <m:r>
                <m:t>A</m:t>
              </m:r>
            </m:e>
            <m:sub>
              <m:r>
                <m:t>i</m:t>
              </m:r>
            </m:sub>
          </m:sSub>
          <m:r>
            <m:t>=</m:t>
          </m:r>
          <m:f>
            <m:fPr>
              <m:type m:val="bar"/>
            </m:fPr>
            <m:num>
              <m:sSub>
                <m:e>
                  <m:r>
                    <m:t>δ</m:t>
                  </m:r>
                </m:e>
                <m:sub>
                  <m:r>
                    <m:t>z</m:t>
                  </m:r>
                </m:sub>
              </m:sSub>
              <m:r>
                <m:t>(</m:t>
              </m:r>
              <m:r>
                <m:t>N</m:t>
              </m:r>
              <m:r>
                <m:t>P</m:t>
              </m:r>
              <m:r>
                <m:t>V</m:t>
              </m:r>
              <m:r>
                <m:t>)</m:t>
              </m:r>
            </m:num>
            <m:den>
              <m:r>
                <m:t>1</m:t>
              </m:r>
              <m:r>
                <m:t>−</m:t>
              </m:r>
              <m:r>
                <m:t>(</m:t>
              </m:r>
              <m:r>
                <m:t>1</m:t>
              </m:r>
              <m:r>
                <m:t>+</m:t>
              </m:r>
              <m:sSub>
                <m:e>
                  <m:r>
                    <m:t>δ</m:t>
                  </m:r>
                </m:e>
                <m:sub>
                  <m:r>
                    <m:t>z</m:t>
                  </m:r>
                </m:sub>
              </m:sSub>
              <m:sSup>
                <m:e>
                  <m:r>
                    <m:t>)</m:t>
                  </m:r>
                </m:e>
                <m:sup>
                  <m:r>
                    <m:t>−</m:t>
                  </m:r>
                  <m:r>
                    <m:t>10</m:t>
                  </m:r>
                </m:sup>
              </m:sSup>
            </m:den>
          </m:f>
        </m:oMath>
      </m:oMathPara>
    </w:p>
    <w:p>
      <w:pPr>
        <w:pStyle w:val="FirstParagraph"/>
      </w:pPr>
      <w:r>
        <w:t xml:space="preserve">Production and annuity values for each EEZ are examined under two main scenarios: 1.</w:t>
      </w:r>
      <w:r>
        <w:t xml:space="preserve"> </w:t>
      </w:r>
      <w:r>
        <w:t xml:space="preserve">“</w:t>
      </w:r>
      <w:r>
        <w:t xml:space="preserve">Suitable</w:t>
      </w:r>
      <w:r>
        <w:t xml:space="preserve">”</w:t>
      </w:r>
      <w:r>
        <w:t xml:space="preserve">, where farms are developed in all areas that are technically suitable, and 2.</w:t>
      </w:r>
      <w:r>
        <w:t xml:space="preserve"> </w:t>
      </w:r>
      <w:r>
        <w:t xml:space="preserve">“</w:t>
      </w:r>
      <w:r>
        <w:t xml:space="preserve">Profitable</w:t>
      </w:r>
      <w:r>
        <w:t xml:space="preserve">”</w:t>
      </w:r>
      <w:r>
        <w:t xml:space="preserve">, where only farms with a positive 10-year NPV at the current price of cobia are developed.</w:t>
      </w:r>
    </w:p>
    <w:p>
      <w:pPr>
        <w:pStyle w:val="BodyText"/>
      </w:pPr>
      <w:r>
        <w:t xml:space="preserve">Defining appropriate discount rates in bioeconomic models is often difficult and depends on many factors, particularly the cost of capital and project risk</w:t>
      </w:r>
      <w:r>
        <w:t xml:space="preserve"> </w:t>
      </w:r>
      <w:r>
        <w:t xml:space="preserve">(Stanley 1990)</w:t>
      </w:r>
      <w:r>
        <w:t xml:space="preserve">. As a result, we also examine two different discount rate assumptions. First, we assume a fixed discount rate of 10% across all farms, which is based on the average discount rate of 10.6% found in a meta-analysis of published bioeconomic models for aquaculture from the last 25 years</w:t>
      </w:r>
      <w:r>
        <w:t xml:space="preserve"> </w:t>
      </w:r>
      <w:r>
        <w:t xml:space="preserve">(Ruiz Campo and Zuniga-Jara 2018)</w:t>
      </w:r>
      <w:r>
        <w:t xml:space="preserve">. However, lack of foreign investment due to perceived financial risk has been identfied as a major barrier to aquaculture development in the Caribbean</w:t>
      </w:r>
      <w:r>
        <w:t xml:space="preserve"> </w:t>
      </w:r>
      <w:r>
        <w:t xml:space="preserve">(</w:t>
      </w:r>
      <w:r>
        <w:rPr>
          <w:b/>
        </w:rPr>
        <w:t xml:space="preserve">???</w:t>
      </w:r>
      <w:r>
        <w:t xml:space="preserve">)</w:t>
      </w:r>
      <w:r>
        <w:t xml:space="preserve">. Investment risk can be represented by adjusting the discount rate accordingly when estimating returns on an investment. Therefore, we also examine results using EEZ-specific discount rates that are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t xml:space="preserve"> </w:t>
      </w:r>
      <w:r>
        <w:t xml:space="preserve">(Bhalla 1983)</w:t>
      </w:r>
      <w:r>
        <w:t xml:space="preserve">. We applied the Foreign Investment Risk Matrix (FIRM) developed by</w:t>
      </w:r>
      <w:r>
        <w:t xml:space="preserve"> </w:t>
      </w:r>
      <w:r>
        <w:t xml:space="preserve">Bhalla (1983)</w:t>
      </w:r>
      <w:r>
        <w:t xml:space="preserve"> </w:t>
      </w:r>
      <w:r>
        <w:t xml:space="preserve">and modified by</w:t>
      </w:r>
      <w:r>
        <w:t xml:space="preserve"> </w:t>
      </w:r>
      <w:r>
        <w:t xml:space="preserve">McGowan Jr and Moeller (2009)</w:t>
      </w:r>
      <w:r>
        <w:t xml:space="preserve">, which utilizes three political and three economic continuous risk variables that are readily available for most countries (Table S2b). Risk scores were then used to scale EEZ-specific discount rates (Table 1) ranging from 10% to 25%, which aligns with the range of discount rates found in the literature of bioeconomic modelling of aquaculture</w:t>
      </w:r>
      <w:r>
        <w:t xml:space="preserve"> </w:t>
      </w:r>
      <w:r>
        <w:t xml:space="preserve">(Ruiz Campo and Zuniga-Jara 2018)</w:t>
      </w:r>
      <w:r>
        <w:t xml:space="preserve">.</w:t>
      </w:r>
    </w:p>
    <w:p>
      <w:pPr>
        <w:pStyle w:val="Heading1"/>
      </w:pPr>
      <w:bookmarkStart w:id="28" w:name="results"/>
      <w:bookmarkEnd w:id="28"/>
      <w:r>
        <w:t xml:space="preserve">Results</w:t>
      </w:r>
    </w:p>
    <w:p>
      <w:pPr>
        <w:pStyle w:val="Heading2"/>
      </w:pPr>
      <w:bookmarkStart w:id="29" w:name="suitability"/>
      <w:bookmarkEnd w:id="29"/>
      <w:r>
        <w:t xml:space="preserve">Suitability</w:t>
      </w:r>
    </w:p>
    <w:p>
      <w:pPr>
        <w:pStyle w:val="FirstParagraph"/>
      </w:pPr>
      <w:r>
        <w:t xml:space="preserve">Accounting for technical, environmental and use conflict constraints, we identified 50,373 km</w:t>
      </w:r>
      <w:r>
        <w:rPr>
          <w:vertAlign w:val="superscript"/>
        </w:rPr>
        <w:t xml:space="preserve">2</w:t>
      </w:r>
      <w:r>
        <w:t xml:space="preserve"> </w:t>
      </w:r>
      <w:r>
        <w:t xml:space="preserve">of ocean space (1.7% our study region) potentially suitable for the development of offshore mariculture (Figure 1). Depth was the largest constraining factor in the suitability analysis, as 97.85% of our study area fell outside the depth range (25 - 100 m) that we considered technically feasible for offshore farm infrastructure. By comparison, our second largest constraining factor was shipping activity, which only excluded 11% of our study area (Table S4).</w:t>
      </w:r>
    </w:p>
    <w:p>
      <w:pPr>
        <w:pStyle w:val="BodyText"/>
      </w:pPr>
      <w:r>
        <w:t xml:space="preserve">There is considerable variability in the amount and distribution of suitable area for offshore mariculture in the Caribbean (Table 1; Figure 1). The Bahamas, Trinidad and Tobago, and Jamaica are the top three countries in terms of suitable area, and the spatial distribution and clustering of suitable sites differs considerably among them (Figure 1). Both The Bahamas and Trinidad and Tobago have more than twice the suitable area of the next largest country with the next largest amount of suitable area (Jamaica; Table 2). The large suitable area in the Bahamas can be attributed to its relatively large EEZ (Table 2;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2).</w:t>
      </w:r>
    </w:p>
    <w:p>
      <w:pPr>
        <w:pStyle w:val="Heading2"/>
      </w:pPr>
      <w:bookmarkStart w:id="30" w:name="cobia-production"/>
      <w:bookmarkEnd w:id="30"/>
      <w:r>
        <w:t xml:space="preserve">Cobia production</w:t>
      </w:r>
    </w:p>
    <w:p>
      <w:pPr>
        <w:pStyle w:val="FirstParagraph"/>
      </w:pPr>
      <w:r>
        <w:t xml:space="preserve">Ignoring economic constraints, the Caribbean’s potential to produce cobia from mariculture is extremely large, with an approximate annual production from all suitable sites of 0.4 MMT. The median cobia farm occupying a 1-km</w:t>
      </w:r>
      <w:r>
        <w:rPr>
          <w:vertAlign w:val="superscript"/>
        </w:rPr>
        <w:t xml:space="preserve">2</w:t>
      </w:r>
      <w:r>
        <w:t xml:space="preserve"> </w:t>
      </w:r>
      <w:r>
        <w:t xml:space="preserve">site in the Caribbean yields an annual supply and value (annuity) of 2,879,746 MT and $2,879,746, respectively. Not surprisingly, international variability in production is driven by the amount of suitable area within each EEZ - countries with the most suitable area also have the largest production potential (Table 2; Figure 2A). However, these countries do not neccessarily have the most productive farms (Figure 2). Cobia growth is a function of temperature and growth rates (kg/month) vary across EEZs, showing a clear seasonal pattern (Figure 3). As a result, the most productive farm sites lie within the EEZs of Jamaica and several small nations in the southeastern Caribbean, such as St. Vincent and the Grenadines, Barbados, St. Lucia, and Trinidad and Tobago (Figure 3). Interstingly, farms in Haiti and the Cayman Islands experience below average growth rates during the peak summer months, likely due to water temperatures approaching</w:t>
      </w:r>
      <w:r>
        <w:t xml:space="preserve"> </w:t>
      </w:r>
      <m:oMath>
        <m:sSub>
          <m:e>
            <m:r>
              <m:t>T</m:t>
            </m:r>
          </m:e>
          <m:sub>
            <m:r>
              <m:t>m</m:t>
            </m:r>
            <m:r>
              <m:t>a</m:t>
            </m:r>
            <m:r>
              <m:t>x</m:t>
            </m:r>
          </m:sub>
        </m:sSub>
      </m:oMath>
      <w:r>
        <w:t xml:space="preserve">.</w:t>
      </w:r>
    </w:p>
    <w:p>
      <w:pPr>
        <w:pStyle w:val="BodyText"/>
      </w:pPr>
      <w:r>
        <w:t xml:space="preserve">Variability in growth rates, both spatial and seasonal, leads to differences in the length of time required to raise cobia to a market size of 5 kg (Figure S2). While the average farm in the Caribbean complete a harvest cycle in 13 months, harvest cycles range from 12 to 48 months in duration. Longer harvest cycles affect the economics of cobia production by reducing harvestable biomass (mortality/escapes) and by increasing feed use and other operating costs. Feed conversion ratio (FCR) - calculated as total feed used divided by total harvested biomass - is a measure of how efficiently a farmed animal converts feed into biomass and is one of the main indicators used to compare the sustainability of different animal protein sources (REF). FCRs of cobia farms in our analysis ranged from 1.9078052 to 9.9733948, with a median FCR of 2.4606309. These findings accord with the literature, in which FCRs for cobia range from 1.5-3 . Our findings also support the conclusion that feed accounts for the vast majority of farm operating costs, with the median farm spending 95% of operating costs on feed.</w:t>
      </w:r>
    </w:p>
    <w:p>
      <w:pPr>
        <w:pStyle w:val="BodyText"/>
      </w:pPr>
      <w:r>
        <w:t xml:space="preserve">When economics are considered, the potential production and/or profitability of offshore cobia mariculture is considerably reduced in several countries relative to when only suitability and temperature-dependent growth are considered (Table 4; Figure 4). In the Bahamas, which has the largest amount of suitable area, average annual production declines by 8 MMT (41.9%), while Cuba experiences a decline of 0.4 MMT (12.8%). The Turks and Caicos and Haiti also both experience small declines (&lt;1%). Overall, the potential annual production for the Caribbean is reduced to 0.4 MMT when only considering supply from profitable farm sites. In terms of value, farms in most countries were profitable and this result was robust to the discount rate (Figure 4). Only the Bahamas and Cuba contained a considerable number of unprofitable farm sites, with the median Bahamian farm unprofitable if assessed with a 10% discount rate. Farm annuity value is tightly clustered around $3 million for many countries, suggesting site selection is less of a concern in these areas. However, farms in Turks and Caicos, Jamaica, the Dominican Republic, Cuba, the Bahamas, and Aruba vary considerably in value and site selection is thus a critical factor for prospective cobia farms (Figure 4).</w:t>
      </w:r>
    </w:p>
    <w:p>
      <w:pPr>
        <w:pStyle w:val="Heading1"/>
      </w:pPr>
      <w:bookmarkStart w:id="31" w:name="discussion"/>
      <w:bookmarkEnd w:id="31"/>
      <w:r>
        <w:t xml:space="preserve">Discussion</w:t>
      </w:r>
    </w:p>
    <w:p>
      <w:pPr>
        <w:pStyle w:val="FirstParagraph"/>
      </w:pPr>
      <w:r>
        <w:t xml:space="preserve">The total annual production of 0.4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 In fact, the Caribbean could match its current seafood production using just 178.8 km</w:t>
      </w:r>
      <w:r>
        <w:rPr>
          <w:vertAlign w:val="superscript"/>
        </w:rPr>
        <w:t xml:space="preserve">2</w:t>
      </w:r>
      <w:r>
        <w:t xml:space="preserve"> </w:t>
      </w:r>
      <w:r>
        <w:t xml:space="preserve">(0.006%) of its marine space.</w:t>
      </w:r>
    </w:p>
    <w:p>
      <w:pPr>
        <w:pStyle w:val="BodyText"/>
      </w:pPr>
      <w:r>
        <w:t xml:space="preserve">EEZs with more farm to farm variability in outcomes represent countries where strategic site selection is particularly important.</w:t>
      </w:r>
    </w:p>
    <w:p>
      <w:pPr>
        <w:pStyle w:val="Compact"/>
        <w:numPr>
          <w:numId w:val="1001"/>
          <w:ilvl w:val="0"/>
        </w:numPr>
      </w:pPr>
      <w:r>
        <w:t xml:space="preserve">We should then return to the three questions posed at the end of the intro and maybe spend a paragraph talking about each, particularly in the context of</w:t>
      </w:r>
      <w:r>
        <w:t xml:space="preserve"> </w:t>
      </w:r>
      <w:r>
        <w:t xml:space="preserve">“</w:t>
      </w:r>
      <w:r>
        <w:t xml:space="preserve">charting an aquaculture future for the Caribbean.</w:t>
      </w:r>
      <w:r>
        <w:t xml:space="preserve">”</w:t>
      </w:r>
      <w:r>
        <w:t xml:space="preserve"> </w:t>
      </w:r>
      <w:r>
        <w:t xml:space="preserve">The last question is about barriers to development, which is where we could spend some time talking about Bess results. We still may want to consider integrating her work into the methods and results as well, unless you think the paper is better and tighter as is.</w:t>
      </w:r>
    </w:p>
    <w:p>
      <w:pPr>
        <w:pStyle w:val="Compact"/>
        <w:numPr>
          <w:numId w:val="1001"/>
          <w:ilvl w:val="0"/>
        </w:numPr>
      </w:pPr>
      <w:r>
        <w:t xml:space="preserve">Other topics we could cover:</w:t>
      </w:r>
      <w:r>
        <w:t xml:space="preserve"> </w:t>
      </w:r>
      <w:r>
        <w:t xml:space="preserve">o Model/analysis caveats: things we could have done better; where we are most uncertain about assumptions or parameter values</w:t>
      </w:r>
      <w:r>
        <w:t xml:space="preserve"> </w:t>
      </w:r>
      <w:r>
        <w:t xml:space="preserve">o Applicability of model to other species or other locations</w:t>
      </w:r>
      <w:r>
        <w:t xml:space="preserve"> </w:t>
      </w:r>
      <w:r>
        <w:t xml:space="preserve">o How our results could be used to guide policy and investment in the region</w:t>
      </w:r>
    </w:p>
    <w:p>
      <w:pPr>
        <w:pStyle w:val="Heading1"/>
      </w:pPr>
      <w:bookmarkStart w:id="32" w:name="figures"/>
      <w:bookmarkEnd w:id="32"/>
      <w:r>
        <w:t xml:space="preserve">Figures</w:t>
      </w:r>
    </w:p>
    <w:p>
      <w:pPr>
        <w:pStyle w:val="FigureWithCaption"/>
      </w:pPr>
      <w:r>
        <w:drawing>
          <wp:inline>
            <wp:extent cx="5334000" cy="5334000"/>
            <wp:effectExtent b="0" l="0" r="0" t="0"/>
            <wp:docPr descr="Figure 1. Suitable areas (orange) for offshore cobia mariculture in the Caribbean." title="" id="1" name="Picture"/>
            <a:graphic>
              <a:graphicData uri="http://schemas.openxmlformats.org/drawingml/2006/picture">
                <pic:pic>
                  <pic:nvPicPr>
                    <pic:cNvPr descr="../../../Box%20Sync/Carib_aqua_16/results/2018-04-20/Figures/carib_suitable_map.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Suitable areas (orange) for offshore cobia mariculture in the Caribbean.</w:t>
      </w:r>
    </w:p>
    <w:p>
      <w:pPr>
        <w:pStyle w:val="FigureWithCaption"/>
      </w:pPr>
      <w:r>
        <w:drawing>
          <wp:inline>
            <wp:extent cx="5334000" cy="8890000"/>
            <wp:effectExtent b="0" l="0" r="0" t="0"/>
            <wp:docPr descr="Figure 2. Estimated total annual production of cobia from all suitable farm sites (panel A) and median production from only profitable farm sites (panel B)" title="" id="1" name="Picture"/>
            <a:graphic>
              <a:graphicData uri="http://schemas.openxmlformats.org/drawingml/2006/picture">
                <pic:pic>
                  <pic:nvPicPr>
                    <pic:cNvPr descr="../../../Box%20Sync/Carib_aqua_16/results/2018-04-20/Figures/prod_compare_map.png" id="0" name="Picture"/>
                    <pic:cNvPicPr>
                      <a:picLocks noChangeArrowheads="1" noChangeAspect="1"/>
                    </pic:cNvPicPr>
                  </pic:nvPicPr>
                  <pic:blipFill>
                    <a:blip r:embed="rId34"/>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2. Estimated total annual production of cobia from all suitable farm sites (panel A) and median production from only profitable farm sites (panel B)</w:t>
      </w:r>
    </w:p>
    <w:p>
      <w:pPr>
        <w:pStyle w:val="FigureWithCaption"/>
      </w:pPr>
      <w:r>
        <w:drawing>
          <wp:inline>
            <wp:extent cx="5334000" cy="4000499"/>
            <wp:effectExtent b="0" l="0" r="0" t="0"/>
            <wp:docPr descr="Figure 3: Average cobia growth rates per month by EEZ" title="" id="1" name="Picture"/>
            <a:graphic>
              <a:graphicData uri="http://schemas.openxmlformats.org/drawingml/2006/picture">
                <pic:pic>
                  <pic:nvPicPr>
                    <pic:cNvPr descr="../../../Box%20Sync/Carib_aqua_16/results/2018-04-20/Figures/growth_heatmap.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3: Average cobia growth rates per month by EEZ</w:t>
      </w:r>
    </w:p>
    <w:p>
      <w:pPr>
        <w:pStyle w:val="FigureWithCaption"/>
      </w:pPr>
      <w:r>
        <w:drawing>
          <wp:inline>
            <wp:extent cx="5334000" cy="6223000"/>
            <wp:effectExtent b="0" l="0" r="0" t="0"/>
            <wp:docPr descr="Figure 4: Annualized profits per cobia aquaculture farm by Caribbean EEZ" title="" id="1" name="Picture"/>
            <a:graphic>
              <a:graphicData uri="http://schemas.openxmlformats.org/drawingml/2006/picture">
                <pic:pic>
                  <pic:nvPicPr>
                    <pic:cNvPr descr="../../../Box%20Sync/Carib_aqua_16/results/2018-04-20/Figures/boxplot_annuity_disc_scenarios.png" id="0" name="Picture"/>
                    <pic:cNvPicPr>
                      <a:picLocks noChangeArrowheads="1" noChangeAspect="1"/>
                    </pic:cNvPicPr>
                  </pic:nvPicPr>
                  <pic:blipFill>
                    <a:blip r:embed="rId36"/>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Annualized profits per cobia aquaculture farm by Caribbean EEZ</w:t>
      </w:r>
    </w:p>
    <w:p>
      <w:pPr>
        <w:pStyle w:val="Heading1"/>
      </w:pPr>
      <w:bookmarkStart w:id="37" w:name="tables"/>
      <w:bookmarkEnd w:id="37"/>
      <w:r>
        <w:t xml:space="preserve">Tables</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TableCaption"/>
      </w:pPr>
      <w:r>
        <w:t xml:space="preserve">Table 2. Estimated suitable area (km</w:t>
      </w:r>
      <w:r>
        <w:rPr>
          <w:vertAlign w:val="superscript"/>
        </w:rPr>
        <w:t xml:space="preserve">2</w:t>
      </w:r>
      <w:r>
        <w:t xml:space="preserve"> </w:t>
      </w:r>
      <w:r>
        <w:t xml:space="preserve">by EEZ)</w:t>
      </w:r>
    </w:p>
    <w:tbl>
      <w:tblPr>
        <w:tblStyle w:val="TableNormal"/>
        <w:tblW w:type="pct" w:w="5000.0"/>
        <w:tblLook w:firstRow="1"/>
        <w:tblCaption w:val="Table 2. 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7,487</w:t>
            </w:r>
          </w:p>
        </w:tc>
        <w:tc>
          <w:p>
            <w:pPr>
              <w:pStyle w:val="Compact"/>
              <w:jc w:val="center"/>
            </w:pPr>
            <w:r>
              <w:t xml:space="preserve">1.22</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2,046</w:t>
            </w:r>
          </w:p>
        </w:tc>
        <w:tc>
          <w:p>
            <w:pPr>
              <w:pStyle w:val="Compact"/>
              <w:jc w:val="center"/>
            </w:pPr>
            <w:r>
              <w:t xml:space="preserve">0.58</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3,290</w:t>
            </w:r>
          </w:p>
        </w:tc>
        <w:tc>
          <w:p>
            <w:pPr>
              <w:pStyle w:val="Compact"/>
              <w:jc w:val="center"/>
            </w:pPr>
            <w:r>
              <w:t xml:space="preserve">0.94</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4,720</w:t>
            </w:r>
          </w:p>
        </w:tc>
        <w:tc>
          <w:p>
            <w:pPr>
              <w:pStyle w:val="Compact"/>
              <w:jc w:val="center"/>
            </w:pPr>
            <w:r>
              <w:t xml:space="preserve">1.84</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84</w:t>
            </w:r>
          </w:p>
        </w:tc>
        <w:tc>
          <w:p>
            <w:pPr>
              <w:pStyle w:val="Compact"/>
              <w:jc w:val="center"/>
            </w:pPr>
            <w:r>
              <w:t xml:space="preserve">0.05</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1,515</w:t>
            </w:r>
          </w:p>
        </w:tc>
        <w:tc>
          <w:p>
            <w:pPr>
              <w:pStyle w:val="Compact"/>
              <w:jc w:val="center"/>
            </w:pPr>
            <w:r>
              <w:t xml:space="preserve">0.98</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114</w:t>
            </w:r>
          </w:p>
        </w:tc>
        <w:tc>
          <w:p>
            <w:pPr>
              <w:pStyle w:val="Compact"/>
              <w:jc w:val="center"/>
            </w:pPr>
            <w:r>
              <w:t xml:space="preserve">0.10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1,949</w:t>
            </w:r>
          </w:p>
        </w:tc>
        <w:tc>
          <w:p>
            <w:pPr>
              <w:pStyle w:val="Compact"/>
              <w:jc w:val="center"/>
            </w:pPr>
            <w:r>
              <w:t xml:space="preserve">1.75</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1,778</w:t>
            </w:r>
          </w:p>
        </w:tc>
        <w:tc>
          <w:p>
            <w:pPr>
              <w:pStyle w:val="Compact"/>
              <w:jc w:val="center"/>
            </w:pPr>
            <w:r>
              <w:t xml:space="preserve">1.73</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1,027</w:t>
            </w:r>
          </w:p>
        </w:tc>
        <w:tc>
          <w:p>
            <w:pPr>
              <w:pStyle w:val="Compact"/>
              <w:jc w:val="center"/>
            </w:pPr>
            <w:r>
              <w:t xml:space="preserve">1.13</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1,221</w:t>
            </w:r>
          </w:p>
        </w:tc>
        <w:tc>
          <w:p>
            <w:pPr>
              <w:pStyle w:val="Compact"/>
              <w:jc w:val="center"/>
            </w:pPr>
            <w:r>
              <w:t xml:space="preserve">1.36</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1,271</w:t>
            </w:r>
          </w:p>
        </w:tc>
        <w:tc>
          <w:p>
            <w:pPr>
              <w:pStyle w:val="Compact"/>
              <w:jc w:val="center"/>
            </w:pPr>
            <w:r>
              <w:t xml:space="preserve">1.56</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10,186</w:t>
            </w:r>
          </w:p>
        </w:tc>
        <w:tc>
          <w:p>
            <w:pPr>
              <w:pStyle w:val="Compact"/>
              <w:jc w:val="center"/>
            </w:pPr>
            <w:r>
              <w:t xml:space="preserve">13.35</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814</w:t>
            </w:r>
          </w:p>
        </w:tc>
        <w:tc>
          <w:p>
            <w:pPr>
              <w:pStyle w:val="Compact"/>
              <w:jc w:val="center"/>
            </w:pPr>
            <w:r>
              <w:t xml:space="preserve">2.13</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1,415</w:t>
            </w:r>
          </w:p>
        </w:tc>
        <w:tc>
          <w:p>
            <w:pPr>
              <w:pStyle w:val="Compact"/>
              <w:jc w:val="center"/>
            </w:pPr>
            <w:r>
              <w:t xml:space="preserve">3.92</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946</w:t>
            </w:r>
          </w:p>
        </w:tc>
        <w:tc>
          <w:p>
            <w:pPr>
              <w:pStyle w:val="Compact"/>
              <w:jc w:val="center"/>
            </w:pPr>
            <w:r>
              <w:t xml:space="preserve">3.16</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71</w:t>
            </w:r>
          </w:p>
        </w:tc>
        <w:tc>
          <w:p>
            <w:pPr>
              <w:pStyle w:val="Compact"/>
              <w:jc w:val="center"/>
            </w:pPr>
            <w:r>
              <w:t xml:space="preserve">0.28</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285</w:t>
            </w:r>
          </w:p>
        </w:tc>
        <w:tc>
          <w:p>
            <w:pPr>
              <w:pStyle w:val="Compact"/>
              <w:jc w:val="center"/>
            </w:pPr>
            <w:r>
              <w:t xml:space="preserve">1.86</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43</w:t>
            </w:r>
          </w:p>
        </w:tc>
        <w:tc>
          <w:p>
            <w:pPr>
              <w:pStyle w:val="Compact"/>
              <w:jc w:val="center"/>
            </w:pPr>
            <w:r>
              <w:t xml:space="preserve">0.33</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256</w:t>
            </w:r>
          </w:p>
        </w:tc>
        <w:tc>
          <w:p>
            <w:pPr>
              <w:pStyle w:val="Compact"/>
              <w:jc w:val="center"/>
            </w:pPr>
            <w:r>
              <w:t xml:space="preserve">2.71</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74</w:t>
            </w:r>
          </w:p>
        </w:tc>
        <w:tc>
          <w:p>
            <w:pPr>
              <w:pStyle w:val="Compact"/>
              <w:jc w:val="center"/>
            </w:pPr>
            <w:r>
              <w:t xml:space="preserve">1.03</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TableCaption"/>
      </w:pPr>
      <w:r>
        <w:t xml:space="preserve">Table 4. Supply (mt) and annuity under 4 different scenarios</w:t>
      </w:r>
    </w:p>
    <w:tbl>
      <w:tblPr>
        <w:tblStyle w:val="TableNormal"/>
        <w:tblW w:type="pct" w:w="5000.0"/>
        <w:tblLook w:firstRow="1"/>
        <w:tblCaption w:val="Table 4. Supply (mt) and annuity under 4 different scenarios"/>
      </w:tblPr>
      <w:tblGrid>
        <w:gridCol w:w="1636"/>
        <w:gridCol w:w="686"/>
        <w:gridCol w:w="739"/>
        <w:gridCol w:w="792"/>
        <w:gridCol w:w="739"/>
        <w:gridCol w:w="739"/>
        <w:gridCol w:w="792"/>
        <w:gridCol w:w="844"/>
        <w:gridCol w:w="95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supply_all</w:t>
            </w:r>
          </w:p>
        </w:tc>
        <w:tc>
          <w:tcPr>
            <w:tcBorders>
              <w:bottom w:val="single"/>
            </w:tcBorders>
            <w:vAlign w:val="bottom"/>
          </w:tcPr>
          <w:p>
            <w:pPr>
              <w:pStyle w:val="Compact"/>
              <w:jc w:val="center"/>
            </w:pPr>
            <w:r>
              <w:t xml:space="preserve">supply_main</w:t>
            </w:r>
          </w:p>
        </w:tc>
        <w:tc>
          <w:tcPr>
            <w:tcBorders>
              <w:bottom w:val="single"/>
            </w:tcBorders>
            <w:vAlign w:val="bottom"/>
          </w:tcPr>
          <w:p>
            <w:pPr>
              <w:pStyle w:val="Compact"/>
              <w:jc w:val="center"/>
            </w:pPr>
            <w:r>
              <w:t xml:space="preserve">supply_cntry</w:t>
            </w:r>
          </w:p>
        </w:tc>
        <w:tc>
          <w:tcPr>
            <w:tcBorders>
              <w:bottom w:val="single"/>
            </w:tcBorders>
            <w:vAlign w:val="bottom"/>
          </w:tcPr>
          <w:p>
            <w:pPr>
              <w:pStyle w:val="Compact"/>
              <w:jc w:val="center"/>
            </w:pPr>
            <w:r>
              <w:t xml:space="preserve">supply_diff</w:t>
            </w:r>
          </w:p>
        </w:tc>
        <w:tc>
          <w:tcPr>
            <w:tcBorders>
              <w:bottom w:val="single"/>
            </w:tcBorders>
            <w:vAlign w:val="bottom"/>
          </w:tcPr>
          <w:p>
            <w:pPr>
              <w:pStyle w:val="Compact"/>
              <w:jc w:val="center"/>
            </w:pPr>
            <w:r>
              <w:t xml:space="preserve">annuity_all</w:t>
            </w:r>
          </w:p>
        </w:tc>
        <w:tc>
          <w:tcPr>
            <w:tcBorders>
              <w:bottom w:val="single"/>
            </w:tcBorders>
            <w:vAlign w:val="bottom"/>
          </w:tcPr>
          <w:p>
            <w:pPr>
              <w:pStyle w:val="Compact"/>
              <w:jc w:val="center"/>
            </w:pPr>
            <w:r>
              <w:t xml:space="preserve">annuity_main</w:t>
            </w:r>
          </w:p>
        </w:tc>
        <w:tc>
          <w:tcPr>
            <w:tcBorders>
              <w:bottom w:val="single"/>
            </w:tcBorders>
            <w:vAlign w:val="bottom"/>
          </w:tcPr>
          <w:p>
            <w:pPr>
              <w:pStyle w:val="Compact"/>
              <w:jc w:val="center"/>
            </w:pPr>
            <w:r>
              <w:t xml:space="preserve">annuity_cntry</w:t>
            </w:r>
          </w:p>
        </w:tc>
        <w:tc>
          <w:tcPr>
            <w:tcBorders>
              <w:bottom w:val="single"/>
            </w:tcBorders>
            <w:vAlign w:val="bottom"/>
          </w:tcPr>
          <w:p>
            <w:pPr>
              <w:pStyle w:val="Compact"/>
              <w:jc w:val="center"/>
            </w:pPr>
            <w:r>
              <w:t xml:space="preserve">supply_diff_perc</w:t>
            </w:r>
          </w:p>
        </w:tc>
      </w:tr>
      <w:tr>
        <w:tc>
          <w:p>
            <w:pPr>
              <w:pStyle w:val="Compact"/>
              <w:jc w:val="center"/>
            </w:pPr>
            <w:r>
              <w:t xml:space="preserve">Bahamas</w:t>
            </w:r>
          </w:p>
        </w:tc>
        <w:tc>
          <w:p>
            <w:pPr>
              <w:pStyle w:val="Compact"/>
              <w:jc w:val="center"/>
            </w:pPr>
            <w:r>
              <w:t xml:space="preserve">1.9e+08</w:t>
            </w:r>
          </w:p>
        </w:tc>
        <w:tc>
          <w:p>
            <w:pPr>
              <w:pStyle w:val="Compact"/>
              <w:jc w:val="center"/>
            </w:pPr>
            <w:r>
              <w:t xml:space="preserve">1.1e+08</w:t>
            </w:r>
          </w:p>
        </w:tc>
        <w:tc>
          <w:p>
            <w:pPr>
              <w:pStyle w:val="Compact"/>
              <w:jc w:val="center"/>
            </w:pPr>
            <w:r>
              <w:t xml:space="preserve">8.5e+07</w:t>
            </w:r>
          </w:p>
        </w:tc>
        <w:tc>
          <w:p>
            <w:pPr>
              <w:pStyle w:val="Compact"/>
              <w:jc w:val="center"/>
            </w:pPr>
            <w:r>
              <w:t xml:space="preserve">8e+07</w:t>
            </w:r>
          </w:p>
        </w:tc>
        <w:tc>
          <w:p>
            <w:pPr>
              <w:pStyle w:val="Compact"/>
              <w:jc w:val="center"/>
            </w:pPr>
            <w:r>
              <w:t xml:space="preserve">8.5e+08</w:t>
            </w:r>
          </w:p>
        </w:tc>
        <w:tc>
          <w:p>
            <w:pPr>
              <w:pStyle w:val="Compact"/>
              <w:jc w:val="center"/>
            </w:pPr>
            <w:r>
              <w:t xml:space="preserve">8.6e+09</w:t>
            </w:r>
          </w:p>
        </w:tc>
        <w:tc>
          <w:p>
            <w:pPr>
              <w:pStyle w:val="Compact"/>
              <w:jc w:val="center"/>
            </w:pPr>
            <w:r>
              <w:t xml:space="preserve">6.1e+09</w:t>
            </w:r>
          </w:p>
        </w:tc>
        <w:tc>
          <w:p>
            <w:pPr>
              <w:pStyle w:val="Compact"/>
              <w:jc w:val="center"/>
            </w:pPr>
            <w:r>
              <w:t xml:space="preserve">42</w:t>
            </w:r>
          </w:p>
        </w:tc>
      </w:tr>
      <w:tr>
        <w:tc>
          <w:p>
            <w:pPr>
              <w:pStyle w:val="Compact"/>
              <w:jc w:val="center"/>
            </w:pPr>
            <w:r>
              <w:t xml:space="preserve">Trinidad and Tobago</w:t>
            </w:r>
          </w:p>
        </w:tc>
        <w:tc>
          <w:p>
            <w:pPr>
              <w:pStyle w:val="Compact"/>
              <w:jc w:val="center"/>
            </w:pPr>
            <w:r>
              <w:t xml:space="preserve">1.8e+08</w:t>
            </w:r>
          </w:p>
        </w:tc>
        <w:tc>
          <w:p>
            <w:pPr>
              <w:pStyle w:val="Compact"/>
              <w:jc w:val="center"/>
            </w:pPr>
            <w:r>
              <w:t xml:space="preserve">1.8e+08</w:t>
            </w:r>
          </w:p>
        </w:tc>
        <w:tc>
          <w:p>
            <w:pPr>
              <w:pStyle w:val="Compact"/>
              <w:jc w:val="center"/>
            </w:pPr>
            <w:r>
              <w:t xml:space="preserve">1.8e+08</w:t>
            </w:r>
          </w:p>
        </w:tc>
        <w:tc>
          <w:p>
            <w:pPr>
              <w:pStyle w:val="Compact"/>
              <w:jc w:val="center"/>
            </w:pPr>
            <w:r>
              <w:t xml:space="preserve">0</w:t>
            </w:r>
          </w:p>
        </w:tc>
        <w:tc>
          <w:p>
            <w:pPr>
              <w:pStyle w:val="Compact"/>
              <w:jc w:val="center"/>
            </w:pPr>
            <w:r>
              <w:t xml:space="preserve">3.8e+10</w:t>
            </w:r>
          </w:p>
        </w:tc>
        <w:tc>
          <w:p>
            <w:pPr>
              <w:pStyle w:val="Compact"/>
              <w:jc w:val="center"/>
            </w:pPr>
            <w:r>
              <w:t xml:space="preserve">3.8e+10</w:t>
            </w:r>
          </w:p>
        </w:tc>
        <w:tc>
          <w:p>
            <w:pPr>
              <w:pStyle w:val="Compact"/>
              <w:jc w:val="center"/>
            </w:pPr>
            <w:r>
              <w:t xml:space="preserve">3.6e+10</w:t>
            </w:r>
          </w:p>
        </w:tc>
        <w:tc>
          <w:p>
            <w:pPr>
              <w:pStyle w:val="Compact"/>
              <w:jc w:val="center"/>
            </w:pPr>
            <w:r>
              <w:t xml:space="preserve">0</w:t>
            </w:r>
          </w:p>
        </w:tc>
      </w:tr>
      <w:tr>
        <w:tc>
          <w:p>
            <w:pPr>
              <w:pStyle w:val="Compact"/>
              <w:jc w:val="center"/>
            </w:pPr>
            <w:r>
              <w:t xml:space="preserve">Jamaica</w:t>
            </w:r>
          </w:p>
        </w:tc>
        <w:tc>
          <w:p>
            <w:pPr>
              <w:pStyle w:val="Compact"/>
              <w:jc w:val="center"/>
            </w:pPr>
            <w:r>
              <w:t xml:space="preserve">8.4e+07</w:t>
            </w:r>
          </w:p>
        </w:tc>
        <w:tc>
          <w:p>
            <w:pPr>
              <w:pStyle w:val="Compact"/>
              <w:jc w:val="center"/>
            </w:pPr>
            <w:r>
              <w:t xml:space="preserve">8.4e+07</w:t>
            </w:r>
          </w:p>
        </w:tc>
        <w:tc>
          <w:p>
            <w:pPr>
              <w:pStyle w:val="Compact"/>
              <w:jc w:val="center"/>
            </w:pPr>
            <w:r>
              <w:t xml:space="preserve">8.4e+07</w:t>
            </w:r>
          </w:p>
        </w:tc>
        <w:tc>
          <w:p>
            <w:pPr>
              <w:pStyle w:val="Compact"/>
              <w:jc w:val="center"/>
            </w:pPr>
            <w:r>
              <w:t xml:space="preserve">0</w:t>
            </w:r>
          </w:p>
        </w:tc>
        <w:tc>
          <w:p>
            <w:pPr>
              <w:pStyle w:val="Compact"/>
              <w:jc w:val="center"/>
            </w:pPr>
            <w:r>
              <w:t xml:space="preserve">2.3e+10</w:t>
            </w:r>
          </w:p>
        </w:tc>
        <w:tc>
          <w:p>
            <w:pPr>
              <w:pStyle w:val="Compact"/>
              <w:jc w:val="center"/>
            </w:pPr>
            <w:r>
              <w:t xml:space="preserve">2.3e+10</w:t>
            </w:r>
          </w:p>
        </w:tc>
        <w:tc>
          <w:p>
            <w:pPr>
              <w:pStyle w:val="Compact"/>
              <w:jc w:val="center"/>
            </w:pPr>
            <w:r>
              <w:t xml:space="preserve">2.1e+10</w:t>
            </w:r>
          </w:p>
        </w:tc>
        <w:tc>
          <w:p>
            <w:pPr>
              <w:pStyle w:val="Compact"/>
              <w:jc w:val="center"/>
            </w:pPr>
            <w:r>
              <w:t xml:space="preserve">0</w:t>
            </w:r>
          </w:p>
        </w:tc>
      </w:tr>
      <w:tr>
        <w:tc>
          <w:p>
            <w:pPr>
              <w:pStyle w:val="Compact"/>
              <w:jc w:val="center"/>
            </w:pPr>
            <w:r>
              <w:t xml:space="preserve">Dominican Republic</w:t>
            </w:r>
          </w:p>
        </w:tc>
        <w:tc>
          <w:p>
            <w:pPr>
              <w:pStyle w:val="Compact"/>
              <w:jc w:val="center"/>
            </w:pPr>
            <w:r>
              <w:t xml:space="preserve">5.6e+07</w:t>
            </w:r>
          </w:p>
        </w:tc>
        <w:tc>
          <w:p>
            <w:pPr>
              <w:pStyle w:val="Compact"/>
              <w:jc w:val="center"/>
            </w:pPr>
            <w:r>
              <w:t xml:space="preserve">5.6e+07</w:t>
            </w:r>
          </w:p>
        </w:tc>
        <w:tc>
          <w:p>
            <w:pPr>
              <w:pStyle w:val="Compact"/>
              <w:jc w:val="center"/>
            </w:pPr>
            <w:r>
              <w:t xml:space="preserve">5.6e+07</w:t>
            </w:r>
          </w:p>
        </w:tc>
        <w:tc>
          <w:p>
            <w:pPr>
              <w:pStyle w:val="Compact"/>
              <w:jc w:val="center"/>
            </w:pPr>
            <w:r>
              <w:t xml:space="preserve">0</w:t>
            </w:r>
          </w:p>
        </w:tc>
        <w:tc>
          <w:p>
            <w:pPr>
              <w:pStyle w:val="Compact"/>
              <w:jc w:val="center"/>
            </w:pPr>
            <w:r>
              <w:t xml:space="preserve">1.1e+10</w:t>
            </w:r>
          </w:p>
        </w:tc>
        <w:tc>
          <w:p>
            <w:pPr>
              <w:pStyle w:val="Compact"/>
              <w:jc w:val="center"/>
            </w:pPr>
            <w:r>
              <w:t xml:space="preserve">1.1e+10</w:t>
            </w:r>
          </w:p>
        </w:tc>
        <w:tc>
          <w:p>
            <w:pPr>
              <w:pStyle w:val="Compact"/>
              <w:jc w:val="center"/>
            </w:pPr>
            <w:r>
              <w:t xml:space="preserve">9.7e+09</w:t>
            </w:r>
          </w:p>
        </w:tc>
        <w:tc>
          <w:p>
            <w:pPr>
              <w:pStyle w:val="Compact"/>
              <w:jc w:val="center"/>
            </w:pPr>
            <w:r>
              <w:t xml:space="preserve">0</w:t>
            </w:r>
          </w:p>
        </w:tc>
      </w:tr>
      <w:tr>
        <w:tc>
          <w:p>
            <w:pPr>
              <w:pStyle w:val="Compact"/>
              <w:jc w:val="center"/>
            </w:pPr>
            <w:r>
              <w:t xml:space="preserve">Cuba</w:t>
            </w:r>
          </w:p>
        </w:tc>
        <w:tc>
          <w:p>
            <w:pPr>
              <w:pStyle w:val="Compact"/>
              <w:jc w:val="center"/>
            </w:pPr>
            <w:r>
              <w:t xml:space="preserve">3.5e+07</w:t>
            </w:r>
          </w:p>
        </w:tc>
        <w:tc>
          <w:p>
            <w:pPr>
              <w:pStyle w:val="Compact"/>
              <w:jc w:val="center"/>
            </w:pPr>
            <w:r>
              <w:t xml:space="preserve">3e+07</w:t>
            </w:r>
          </w:p>
        </w:tc>
        <w:tc>
          <w:p>
            <w:pPr>
              <w:pStyle w:val="Compact"/>
              <w:jc w:val="center"/>
            </w:pPr>
            <w:r>
              <w:t xml:space="preserve">2.3e+07</w:t>
            </w:r>
          </w:p>
        </w:tc>
        <w:tc>
          <w:p>
            <w:pPr>
              <w:pStyle w:val="Compact"/>
              <w:jc w:val="center"/>
            </w:pPr>
            <w:r>
              <w:t xml:space="preserve">4465341</w:t>
            </w:r>
          </w:p>
        </w:tc>
        <w:tc>
          <w:p>
            <w:pPr>
              <w:pStyle w:val="Compact"/>
              <w:jc w:val="center"/>
            </w:pPr>
            <w:r>
              <w:t xml:space="preserve">2.4e+09</w:t>
            </w:r>
          </w:p>
        </w:tc>
        <w:tc>
          <w:p>
            <w:pPr>
              <w:pStyle w:val="Compact"/>
              <w:jc w:val="center"/>
            </w:pPr>
            <w:r>
              <w:t xml:space="preserve">3.2e+09</w:t>
            </w:r>
          </w:p>
        </w:tc>
        <w:tc>
          <w:p>
            <w:pPr>
              <w:pStyle w:val="Compact"/>
              <w:jc w:val="center"/>
            </w:pPr>
            <w:r>
              <w:t xml:space="preserve">2e+09</w:t>
            </w:r>
          </w:p>
        </w:tc>
        <w:tc>
          <w:p>
            <w:pPr>
              <w:pStyle w:val="Compact"/>
              <w:jc w:val="center"/>
            </w:pPr>
            <w:r>
              <w:t xml:space="preserve">13</w:t>
            </w:r>
          </w:p>
        </w:tc>
      </w:tr>
      <w:tr>
        <w:tc>
          <w:p>
            <w:pPr>
              <w:pStyle w:val="Compact"/>
              <w:jc w:val="center"/>
            </w:pPr>
            <w:r>
              <w:t xml:space="preserve">Antigua and Barbuda</w:t>
            </w:r>
          </w:p>
        </w:tc>
        <w:tc>
          <w:p>
            <w:pPr>
              <w:pStyle w:val="Compact"/>
              <w:jc w:val="center"/>
            </w:pPr>
            <w:r>
              <w:t xml:space="preserve">3.4e+07</w:t>
            </w:r>
          </w:p>
        </w:tc>
        <w:tc>
          <w:p>
            <w:pPr>
              <w:pStyle w:val="Compact"/>
              <w:jc w:val="center"/>
            </w:pPr>
            <w:r>
              <w:t xml:space="preserve">3.4e+07</w:t>
            </w:r>
          </w:p>
        </w:tc>
        <w:tc>
          <w:p>
            <w:pPr>
              <w:pStyle w:val="Compact"/>
              <w:jc w:val="center"/>
            </w:pPr>
            <w:r>
              <w:t xml:space="preserve">3.4e+07</w:t>
            </w:r>
          </w:p>
        </w:tc>
        <w:tc>
          <w:p>
            <w:pPr>
              <w:pStyle w:val="Compact"/>
              <w:jc w:val="center"/>
            </w:pPr>
            <w:r>
              <w:t xml:space="preserve">0</w:t>
            </w:r>
          </w:p>
        </w:tc>
        <w:tc>
          <w:p>
            <w:pPr>
              <w:pStyle w:val="Compact"/>
              <w:jc w:val="center"/>
            </w:pPr>
            <w:r>
              <w:t xml:space="preserve">7e+09</w:t>
            </w:r>
          </w:p>
        </w:tc>
        <w:tc>
          <w:p>
            <w:pPr>
              <w:pStyle w:val="Compact"/>
              <w:jc w:val="center"/>
            </w:pPr>
            <w:r>
              <w:t xml:space="preserve">7e+09</w:t>
            </w:r>
          </w:p>
        </w:tc>
        <w:tc>
          <w:p>
            <w:pPr>
              <w:pStyle w:val="Compact"/>
              <w:jc w:val="center"/>
            </w:pPr>
            <w:r>
              <w:t xml:space="preserve">6.5e+09</w:t>
            </w:r>
          </w:p>
        </w:tc>
        <w:tc>
          <w:p>
            <w:pPr>
              <w:pStyle w:val="Compact"/>
              <w:jc w:val="center"/>
            </w:pPr>
            <w:r>
              <w:t xml:space="preserve">0</w:t>
            </w:r>
          </w:p>
        </w:tc>
      </w:tr>
      <w:tr>
        <w:tc>
          <w:p>
            <w:pPr>
              <w:pStyle w:val="Compact"/>
              <w:jc w:val="center"/>
            </w:pPr>
            <w:r>
              <w:t xml:space="preserve">Haiti</w:t>
            </w:r>
          </w:p>
        </w:tc>
        <w:tc>
          <w:p>
            <w:pPr>
              <w:pStyle w:val="Compact"/>
              <w:jc w:val="center"/>
            </w:pPr>
            <w:r>
              <w:t xml:space="preserve">3.1e+07</w:t>
            </w:r>
          </w:p>
        </w:tc>
        <w:tc>
          <w:p>
            <w:pPr>
              <w:pStyle w:val="Compact"/>
              <w:jc w:val="center"/>
            </w:pPr>
            <w:r>
              <w:t xml:space="preserve">3.1e+07</w:t>
            </w:r>
          </w:p>
        </w:tc>
        <w:tc>
          <w:p>
            <w:pPr>
              <w:pStyle w:val="Compact"/>
              <w:jc w:val="center"/>
            </w:pPr>
            <w:r>
              <w:t xml:space="preserve">3.1e+07</w:t>
            </w:r>
          </w:p>
        </w:tc>
        <w:tc>
          <w:p>
            <w:pPr>
              <w:pStyle w:val="Compact"/>
              <w:jc w:val="center"/>
            </w:pPr>
            <w:r>
              <w:t xml:space="preserve">3114</w:t>
            </w:r>
          </w:p>
        </w:tc>
        <w:tc>
          <w:p>
            <w:pPr>
              <w:pStyle w:val="Compact"/>
              <w:jc w:val="center"/>
            </w:pPr>
            <w:r>
              <w:t xml:space="preserve">7.3e+09</w:t>
            </w:r>
          </w:p>
        </w:tc>
        <w:tc>
          <w:p>
            <w:pPr>
              <w:pStyle w:val="Compact"/>
              <w:jc w:val="center"/>
            </w:pPr>
            <w:r>
              <w:t xml:space="preserve">7.3e+09</w:t>
            </w:r>
          </w:p>
        </w:tc>
        <w:tc>
          <w:p>
            <w:pPr>
              <w:pStyle w:val="Compact"/>
              <w:jc w:val="center"/>
            </w:pPr>
            <w:r>
              <w:t xml:space="preserve">6.3e+09</w:t>
            </w:r>
          </w:p>
        </w:tc>
        <w:tc>
          <w:p>
            <w:pPr>
              <w:pStyle w:val="Compact"/>
              <w:jc w:val="center"/>
            </w:pPr>
            <w:r>
              <w:t xml:space="preserve">0.01</w:t>
            </w:r>
          </w:p>
        </w:tc>
      </w:tr>
      <w:tr>
        <w:tc>
          <w:p>
            <w:pPr>
              <w:pStyle w:val="Compact"/>
              <w:jc w:val="center"/>
            </w:pPr>
            <w:r>
              <w:t xml:space="preserve">Puerto Rico</w:t>
            </w:r>
          </w:p>
        </w:tc>
        <w:tc>
          <w:p>
            <w:pPr>
              <w:pStyle w:val="Compact"/>
              <w:jc w:val="center"/>
            </w:pPr>
            <w:r>
              <w:t xml:space="preserve">2.7e+07</w:t>
            </w:r>
          </w:p>
        </w:tc>
        <w:tc>
          <w:p>
            <w:pPr>
              <w:pStyle w:val="Compact"/>
              <w:jc w:val="center"/>
            </w:pPr>
            <w:r>
              <w:t xml:space="preserve">2.7e+07</w:t>
            </w:r>
          </w:p>
        </w:tc>
        <w:tc>
          <w:p>
            <w:pPr>
              <w:pStyle w:val="Compact"/>
              <w:jc w:val="center"/>
            </w:pPr>
            <w:r>
              <w:t xml:space="preserve">2.7e+07</w:t>
            </w:r>
          </w:p>
        </w:tc>
        <w:tc>
          <w:p>
            <w:pPr>
              <w:pStyle w:val="Compact"/>
              <w:jc w:val="center"/>
            </w:pPr>
            <w:r>
              <w:t xml:space="preserve">0</w:t>
            </w:r>
          </w:p>
        </w:tc>
        <w:tc>
          <w:p>
            <w:pPr>
              <w:pStyle w:val="Compact"/>
              <w:jc w:val="center"/>
            </w:pPr>
            <w:r>
              <w:t xml:space="preserve">5.7e+09</w:t>
            </w:r>
          </w:p>
        </w:tc>
        <w:tc>
          <w:p>
            <w:pPr>
              <w:pStyle w:val="Compact"/>
              <w:jc w:val="center"/>
            </w:pPr>
            <w:r>
              <w:t xml:space="preserve">5.7e+09</w:t>
            </w:r>
          </w:p>
        </w:tc>
        <w:tc>
          <w:p>
            <w:pPr>
              <w:pStyle w:val="Compact"/>
              <w:jc w:val="center"/>
            </w:pPr>
            <w:r>
              <w:t xml:space="preserve">5.5e+09</w:t>
            </w:r>
          </w:p>
        </w:tc>
        <w:tc>
          <w:p>
            <w:pPr>
              <w:pStyle w:val="Compact"/>
              <w:jc w:val="center"/>
            </w:pPr>
            <w:r>
              <w:t xml:space="preserve">0</w:t>
            </w:r>
          </w:p>
        </w:tc>
      </w:tr>
      <w:tr>
        <w:tc>
          <w:p>
            <w:pPr>
              <w:pStyle w:val="Compact"/>
              <w:jc w:val="center"/>
            </w:pPr>
            <w:r>
              <w:t xml:space="preserve">Saint Vincent and the</w:t>
            </w:r>
            <w:r>
              <w:t xml:space="preserve"> </w:t>
            </w:r>
            <w:r>
              <w:t xml:space="preserve">Grenadines</w:t>
            </w:r>
          </w:p>
        </w:tc>
        <w:tc>
          <w:p>
            <w:pPr>
              <w:pStyle w:val="Compact"/>
              <w:jc w:val="center"/>
            </w:pPr>
            <w:r>
              <w:t xml:space="preserve">2.5e+07</w:t>
            </w:r>
          </w:p>
        </w:tc>
        <w:tc>
          <w:p>
            <w:pPr>
              <w:pStyle w:val="Compact"/>
              <w:jc w:val="center"/>
            </w:pPr>
            <w:r>
              <w:t xml:space="preserve">2.5e+07</w:t>
            </w:r>
          </w:p>
        </w:tc>
        <w:tc>
          <w:p>
            <w:pPr>
              <w:pStyle w:val="Compact"/>
              <w:jc w:val="center"/>
            </w:pPr>
            <w:r>
              <w:t xml:space="preserve">2.5e+07</w:t>
            </w:r>
          </w:p>
        </w:tc>
        <w:tc>
          <w:p>
            <w:pPr>
              <w:pStyle w:val="Compact"/>
              <w:jc w:val="center"/>
            </w:pPr>
            <w:r>
              <w:t xml:space="preserve">0</w:t>
            </w:r>
          </w:p>
        </w:tc>
        <w:tc>
          <w:p>
            <w:pPr>
              <w:pStyle w:val="Compact"/>
              <w:jc w:val="center"/>
            </w:pPr>
            <w:r>
              <w:t xml:space="preserve">5.4e+09</w:t>
            </w:r>
          </w:p>
        </w:tc>
        <w:tc>
          <w:p>
            <w:pPr>
              <w:pStyle w:val="Compact"/>
              <w:jc w:val="center"/>
            </w:pPr>
            <w:r>
              <w:t xml:space="preserve">5.4e+09</w:t>
            </w:r>
          </w:p>
        </w:tc>
        <w:tc>
          <w:p>
            <w:pPr>
              <w:pStyle w:val="Compact"/>
              <w:jc w:val="center"/>
            </w:pPr>
            <w:r>
              <w:t xml:space="preserve">4.8e+09</w:t>
            </w:r>
          </w:p>
        </w:tc>
        <w:tc>
          <w:p>
            <w:pPr>
              <w:pStyle w:val="Compact"/>
              <w:jc w:val="center"/>
            </w:pPr>
            <w:r>
              <w:t xml:space="preserve">0</w:t>
            </w:r>
          </w:p>
        </w:tc>
      </w:tr>
      <w:tr>
        <w:tc>
          <w:p>
            <w:pPr>
              <w:pStyle w:val="Compact"/>
              <w:jc w:val="center"/>
            </w:pPr>
            <w:r>
              <w:t xml:space="preserve">British Virgin Islands</w:t>
            </w:r>
          </w:p>
        </w:tc>
        <w:tc>
          <w:p>
            <w:pPr>
              <w:pStyle w:val="Compact"/>
              <w:jc w:val="center"/>
            </w:pPr>
            <w:r>
              <w:t xml:space="preserve">2e+07</w:t>
            </w:r>
          </w:p>
        </w:tc>
        <w:tc>
          <w:p>
            <w:pPr>
              <w:pStyle w:val="Compact"/>
              <w:jc w:val="center"/>
            </w:pPr>
            <w:r>
              <w:t xml:space="preserve">2e+07</w:t>
            </w:r>
          </w:p>
        </w:tc>
        <w:tc>
          <w:p>
            <w:pPr>
              <w:pStyle w:val="Compact"/>
              <w:jc w:val="center"/>
            </w:pPr>
            <w:r>
              <w:t xml:space="preserve">2e+07</w:t>
            </w:r>
          </w:p>
        </w:tc>
        <w:tc>
          <w:p>
            <w:pPr>
              <w:pStyle w:val="Compact"/>
              <w:jc w:val="center"/>
            </w:pPr>
            <w:r>
              <w:t xml:space="preserve">0</w:t>
            </w:r>
          </w:p>
        </w:tc>
        <w:tc>
          <w:p>
            <w:pPr>
              <w:pStyle w:val="Compact"/>
              <w:jc w:val="center"/>
            </w:pPr>
            <w:r>
              <w:t xml:space="preserve">3.9e+09</w:t>
            </w:r>
          </w:p>
        </w:tc>
        <w:tc>
          <w:p>
            <w:pPr>
              <w:pStyle w:val="Compact"/>
              <w:jc w:val="center"/>
            </w:pPr>
            <w:r>
              <w:t xml:space="preserve">3.9e+09</w:t>
            </w:r>
          </w:p>
        </w:tc>
        <w:tc>
          <w:p>
            <w:pPr>
              <w:pStyle w:val="Compact"/>
              <w:jc w:val="center"/>
            </w:pPr>
            <w:r>
              <w:t xml:space="preserve">3.6e+09</w:t>
            </w:r>
          </w:p>
        </w:tc>
        <w:tc>
          <w:p>
            <w:pPr>
              <w:pStyle w:val="Compact"/>
              <w:jc w:val="center"/>
            </w:pPr>
            <w:r>
              <w:t xml:space="preserve">0</w:t>
            </w:r>
          </w:p>
        </w:tc>
      </w:tr>
      <w:tr>
        <w:tc>
          <w:p>
            <w:pPr>
              <w:pStyle w:val="Compact"/>
              <w:jc w:val="center"/>
            </w:pPr>
            <w:r>
              <w:t xml:space="preserve">Grenada</w:t>
            </w:r>
          </w:p>
        </w:tc>
        <w:tc>
          <w:p>
            <w:pPr>
              <w:pStyle w:val="Compact"/>
              <w:jc w:val="center"/>
            </w:pPr>
            <w:r>
              <w:t xml:space="preserve">2e+07</w:t>
            </w:r>
          </w:p>
        </w:tc>
        <w:tc>
          <w:p>
            <w:pPr>
              <w:pStyle w:val="Compact"/>
              <w:jc w:val="center"/>
            </w:pPr>
            <w:r>
              <w:t xml:space="preserve">2e+07</w:t>
            </w:r>
          </w:p>
        </w:tc>
        <w:tc>
          <w:p>
            <w:pPr>
              <w:pStyle w:val="Compact"/>
              <w:jc w:val="center"/>
            </w:pPr>
            <w:r>
              <w:t xml:space="preserve">2e+07</w:t>
            </w:r>
          </w:p>
        </w:tc>
        <w:tc>
          <w:p>
            <w:pPr>
              <w:pStyle w:val="Compact"/>
              <w:jc w:val="center"/>
            </w:pPr>
            <w:r>
              <w:t xml:space="preserve">0</w:t>
            </w:r>
          </w:p>
        </w:tc>
        <w:tc>
          <w:p>
            <w:pPr>
              <w:pStyle w:val="Compact"/>
              <w:jc w:val="center"/>
            </w:pPr>
            <w:r>
              <w:t xml:space="preserve">4.3e+09</w:t>
            </w:r>
          </w:p>
        </w:tc>
        <w:tc>
          <w:p>
            <w:pPr>
              <w:pStyle w:val="Compact"/>
              <w:jc w:val="center"/>
            </w:pPr>
            <w:r>
              <w:t xml:space="preserve">4.3e+09</w:t>
            </w:r>
          </w:p>
        </w:tc>
        <w:tc>
          <w:p>
            <w:pPr>
              <w:pStyle w:val="Compact"/>
              <w:jc w:val="center"/>
            </w:pPr>
            <w:r>
              <w:t xml:space="preserve">3.9e+09</w:t>
            </w:r>
          </w:p>
        </w:tc>
        <w:tc>
          <w:p>
            <w:pPr>
              <w:pStyle w:val="Compact"/>
              <w:jc w:val="center"/>
            </w:pPr>
            <w:r>
              <w:t xml:space="preserve">0</w:t>
            </w:r>
          </w:p>
        </w:tc>
      </w:tr>
      <w:tr>
        <w:tc>
          <w:p>
            <w:pPr>
              <w:pStyle w:val="Compact"/>
              <w:jc w:val="center"/>
            </w:pPr>
            <w:r>
              <w:t xml:space="preserve">Anguilla</w:t>
            </w:r>
          </w:p>
        </w:tc>
        <w:tc>
          <w:p>
            <w:pPr>
              <w:pStyle w:val="Compact"/>
              <w:jc w:val="center"/>
            </w:pPr>
            <w:r>
              <w:t xml:space="preserve">2e+07</w:t>
            </w:r>
          </w:p>
        </w:tc>
        <w:tc>
          <w:p>
            <w:pPr>
              <w:pStyle w:val="Compact"/>
              <w:jc w:val="center"/>
            </w:pPr>
            <w:r>
              <w:t xml:space="preserve">2e+07</w:t>
            </w:r>
          </w:p>
        </w:tc>
        <w:tc>
          <w:p>
            <w:pPr>
              <w:pStyle w:val="Compact"/>
              <w:jc w:val="center"/>
            </w:pPr>
            <w:r>
              <w:t xml:space="preserve">2e+07</w:t>
            </w:r>
          </w:p>
        </w:tc>
        <w:tc>
          <w:p>
            <w:pPr>
              <w:pStyle w:val="Compact"/>
              <w:jc w:val="center"/>
            </w:pPr>
            <w:r>
              <w:t xml:space="preserve">0</w:t>
            </w:r>
          </w:p>
        </w:tc>
        <w:tc>
          <w:p>
            <w:pPr>
              <w:pStyle w:val="Compact"/>
              <w:jc w:val="center"/>
            </w:pPr>
            <w:r>
              <w:t xml:space="preserve">3.9e+09</w:t>
            </w:r>
          </w:p>
        </w:tc>
        <w:tc>
          <w:p>
            <w:pPr>
              <w:pStyle w:val="Compact"/>
              <w:jc w:val="center"/>
            </w:pPr>
            <w:r>
              <w:t xml:space="preserve">3.9e+09</w:t>
            </w:r>
          </w:p>
        </w:tc>
        <w:tc>
          <w:p>
            <w:pPr>
              <w:pStyle w:val="Compact"/>
              <w:jc w:val="center"/>
            </w:pPr>
            <w:r>
              <w:t xml:space="preserve">3.8e+09</w:t>
            </w:r>
          </w:p>
        </w:tc>
        <w:tc>
          <w:p>
            <w:pPr>
              <w:pStyle w:val="Compact"/>
              <w:jc w:val="center"/>
            </w:pPr>
            <w:r>
              <w:t xml:space="preserve">0</w:t>
            </w:r>
          </w:p>
        </w:tc>
      </w:tr>
      <w:tr>
        <w:tc>
          <w:p>
            <w:pPr>
              <w:pStyle w:val="Compact"/>
              <w:jc w:val="center"/>
            </w:pPr>
            <w:r>
              <w:t xml:space="preserve">Saba</w:t>
            </w:r>
          </w:p>
        </w:tc>
        <w:tc>
          <w:p>
            <w:pPr>
              <w:pStyle w:val="Compact"/>
              <w:jc w:val="center"/>
            </w:pPr>
            <w:r>
              <w:t xml:space="preserve">1.9e+07</w:t>
            </w:r>
          </w:p>
        </w:tc>
        <w:tc>
          <w:p>
            <w:pPr>
              <w:pStyle w:val="Compact"/>
              <w:jc w:val="center"/>
            </w:pPr>
            <w:r>
              <w:t xml:space="preserve">1.9e+07</w:t>
            </w:r>
          </w:p>
        </w:tc>
        <w:tc>
          <w:p>
            <w:pPr>
              <w:pStyle w:val="Compact"/>
              <w:jc w:val="center"/>
            </w:pPr>
            <w:r>
              <w:t xml:space="preserve">1.9e+07</w:t>
            </w:r>
          </w:p>
        </w:tc>
        <w:tc>
          <w:p>
            <w:pPr>
              <w:pStyle w:val="Compact"/>
              <w:jc w:val="center"/>
            </w:pPr>
            <w:r>
              <w:t xml:space="preserve">0</w:t>
            </w:r>
          </w:p>
        </w:tc>
        <w:tc>
          <w:p>
            <w:pPr>
              <w:pStyle w:val="Compact"/>
              <w:jc w:val="center"/>
            </w:pPr>
            <w:r>
              <w:t xml:space="preserve">4e+09</w:t>
            </w:r>
          </w:p>
        </w:tc>
        <w:tc>
          <w:p>
            <w:pPr>
              <w:pStyle w:val="Compact"/>
              <w:jc w:val="center"/>
            </w:pPr>
            <w:r>
              <w:t xml:space="preserve">4e+09</w:t>
            </w:r>
          </w:p>
        </w:tc>
        <w:tc>
          <w:p>
            <w:pPr>
              <w:pStyle w:val="Compact"/>
              <w:jc w:val="center"/>
            </w:pPr>
            <w:r>
              <w:t xml:space="preserve">3.7e+09</w:t>
            </w:r>
          </w:p>
        </w:tc>
        <w:tc>
          <w:p>
            <w:pPr>
              <w:pStyle w:val="Compact"/>
              <w:jc w:val="center"/>
            </w:pPr>
            <w:r>
              <w:t xml:space="preserve">0</w:t>
            </w:r>
          </w:p>
        </w:tc>
      </w:tr>
      <w:tr>
        <w:tc>
          <w:p>
            <w:pPr>
              <w:pStyle w:val="Compact"/>
              <w:jc w:val="center"/>
            </w:pPr>
            <w:r>
              <w:t xml:space="preserve">Turks and Caicos Islands</w:t>
            </w:r>
          </w:p>
        </w:tc>
        <w:tc>
          <w:p>
            <w:pPr>
              <w:pStyle w:val="Compact"/>
              <w:jc w:val="center"/>
            </w:pPr>
            <w:r>
              <w:t xml:space="preserve">1.7e+07</w:t>
            </w:r>
          </w:p>
        </w:tc>
        <w:tc>
          <w:p>
            <w:pPr>
              <w:pStyle w:val="Compact"/>
              <w:jc w:val="center"/>
            </w:pPr>
            <w:r>
              <w:t xml:space="preserve">1.7e+07</w:t>
            </w:r>
          </w:p>
        </w:tc>
        <w:tc>
          <w:p>
            <w:pPr>
              <w:pStyle w:val="Compact"/>
              <w:jc w:val="center"/>
            </w:pPr>
            <w:r>
              <w:t xml:space="preserve">1.7e+07</w:t>
            </w:r>
          </w:p>
        </w:tc>
        <w:tc>
          <w:p>
            <w:pPr>
              <w:pStyle w:val="Compact"/>
              <w:jc w:val="center"/>
            </w:pPr>
            <w:r>
              <w:t xml:space="preserve">9568</w:t>
            </w:r>
          </w:p>
        </w:tc>
        <w:tc>
          <w:p>
            <w:pPr>
              <w:pStyle w:val="Compact"/>
              <w:jc w:val="center"/>
            </w:pPr>
            <w:r>
              <w:t xml:space="preserve">2.5e+09</w:t>
            </w:r>
          </w:p>
        </w:tc>
        <w:tc>
          <w:p>
            <w:pPr>
              <w:pStyle w:val="Compact"/>
              <w:jc w:val="center"/>
            </w:pPr>
            <w:r>
              <w:t xml:space="preserve">2.5e+09</w:t>
            </w:r>
          </w:p>
        </w:tc>
        <w:tc>
          <w:p>
            <w:pPr>
              <w:pStyle w:val="Compact"/>
              <w:jc w:val="center"/>
            </w:pPr>
            <w:r>
              <w:t xml:space="preserve">2e+09</w:t>
            </w:r>
          </w:p>
        </w:tc>
        <w:tc>
          <w:p>
            <w:pPr>
              <w:pStyle w:val="Compact"/>
              <w:jc w:val="center"/>
            </w:pPr>
            <w:r>
              <w:t xml:space="preserve">0.057</w:t>
            </w:r>
          </w:p>
        </w:tc>
      </w:tr>
      <w:tr>
        <w:tc>
          <w:p>
            <w:pPr>
              <w:pStyle w:val="Compact"/>
              <w:jc w:val="center"/>
            </w:pPr>
            <w:r>
              <w:t xml:space="preserve">United States Virgin Islands</w:t>
            </w:r>
          </w:p>
        </w:tc>
        <w:tc>
          <w:p>
            <w:pPr>
              <w:pStyle w:val="Compact"/>
              <w:jc w:val="center"/>
            </w:pPr>
            <w:r>
              <w:t xml:space="preserve">1.4e+07</w:t>
            </w:r>
          </w:p>
        </w:tc>
        <w:tc>
          <w:p>
            <w:pPr>
              <w:pStyle w:val="Compact"/>
              <w:jc w:val="center"/>
            </w:pPr>
            <w:r>
              <w:t xml:space="preserve">1.4e+07</w:t>
            </w:r>
          </w:p>
        </w:tc>
        <w:tc>
          <w:p>
            <w:pPr>
              <w:pStyle w:val="Compact"/>
              <w:jc w:val="center"/>
            </w:pPr>
            <w:r>
              <w:t xml:space="preserve">1.4e+07</w:t>
            </w:r>
          </w:p>
        </w:tc>
        <w:tc>
          <w:p>
            <w:pPr>
              <w:pStyle w:val="Compact"/>
              <w:jc w:val="center"/>
            </w:pPr>
            <w:r>
              <w:t xml:space="preserve">0</w:t>
            </w:r>
          </w:p>
        </w:tc>
        <w:tc>
          <w:p>
            <w:pPr>
              <w:pStyle w:val="Compact"/>
              <w:jc w:val="center"/>
            </w:pPr>
            <w:r>
              <w:t xml:space="preserve">2.9e+09</w:t>
            </w:r>
          </w:p>
        </w:tc>
        <w:tc>
          <w:p>
            <w:pPr>
              <w:pStyle w:val="Compact"/>
              <w:jc w:val="center"/>
            </w:pPr>
            <w:r>
              <w:t xml:space="preserve">2.9e+09</w:t>
            </w:r>
          </w:p>
        </w:tc>
        <w:tc>
          <w:p>
            <w:pPr>
              <w:pStyle w:val="Compact"/>
              <w:jc w:val="center"/>
            </w:pPr>
            <w:r>
              <w:t xml:space="preserve">2.9e+09</w:t>
            </w:r>
          </w:p>
        </w:tc>
        <w:tc>
          <w:p>
            <w:pPr>
              <w:pStyle w:val="Compact"/>
              <w:jc w:val="center"/>
            </w:pPr>
            <w:r>
              <w:t xml:space="preserve">0</w:t>
            </w:r>
          </w:p>
        </w:tc>
      </w:tr>
      <w:tr>
        <w:tc>
          <w:p>
            <w:pPr>
              <w:pStyle w:val="Compact"/>
              <w:jc w:val="center"/>
            </w:pPr>
            <w:r>
              <w:t xml:space="preserve">Aruba</w:t>
            </w:r>
          </w:p>
        </w:tc>
        <w:tc>
          <w:p>
            <w:pPr>
              <w:pStyle w:val="Compact"/>
              <w:jc w:val="center"/>
            </w:pPr>
            <w:r>
              <w:t xml:space="preserve">1.4e+07</w:t>
            </w:r>
          </w:p>
        </w:tc>
        <w:tc>
          <w:p>
            <w:pPr>
              <w:pStyle w:val="Compact"/>
              <w:jc w:val="center"/>
            </w:pPr>
            <w:r>
              <w:t xml:space="preserve">1.4e+07</w:t>
            </w:r>
          </w:p>
        </w:tc>
        <w:tc>
          <w:p>
            <w:pPr>
              <w:pStyle w:val="Compact"/>
              <w:jc w:val="center"/>
            </w:pPr>
            <w:r>
              <w:t xml:space="preserve">1.4e+07</w:t>
            </w:r>
          </w:p>
        </w:tc>
        <w:tc>
          <w:p>
            <w:pPr>
              <w:pStyle w:val="Compact"/>
              <w:jc w:val="center"/>
            </w:pPr>
            <w:r>
              <w:t xml:space="preserve">0</w:t>
            </w:r>
          </w:p>
        </w:tc>
        <w:tc>
          <w:p>
            <w:pPr>
              <w:pStyle w:val="Compact"/>
              <w:jc w:val="center"/>
            </w:pPr>
            <w:r>
              <w:t xml:space="preserve">1.6e+09</w:t>
            </w:r>
          </w:p>
        </w:tc>
        <w:tc>
          <w:p>
            <w:pPr>
              <w:pStyle w:val="Compact"/>
              <w:jc w:val="center"/>
            </w:pPr>
            <w:r>
              <w:t xml:space="preserve">1.6e+09</w:t>
            </w:r>
          </w:p>
        </w:tc>
        <w:tc>
          <w:p>
            <w:pPr>
              <w:pStyle w:val="Compact"/>
              <w:jc w:val="center"/>
            </w:pPr>
            <w:r>
              <w:t xml:space="preserve">1.6e+09</w:t>
            </w:r>
          </w:p>
        </w:tc>
        <w:tc>
          <w:p>
            <w:pPr>
              <w:pStyle w:val="Compact"/>
              <w:jc w:val="center"/>
            </w:pPr>
            <w:r>
              <w:t xml:space="preserve">0</w:t>
            </w:r>
          </w:p>
        </w:tc>
      </w:tr>
      <w:tr>
        <w:tc>
          <w:p>
            <w:pPr>
              <w:pStyle w:val="Compact"/>
              <w:jc w:val="center"/>
            </w:pPr>
            <w:r>
              <w:t xml:space="preserve">Saint Lucia</w:t>
            </w:r>
          </w:p>
        </w:tc>
        <w:tc>
          <w:p>
            <w:pPr>
              <w:pStyle w:val="Compact"/>
              <w:jc w:val="center"/>
            </w:pPr>
            <w:r>
              <w:t xml:space="preserve">5e+06</w:t>
            </w:r>
          </w:p>
        </w:tc>
        <w:tc>
          <w:p>
            <w:pPr>
              <w:pStyle w:val="Compact"/>
              <w:jc w:val="center"/>
            </w:pPr>
            <w:r>
              <w:t xml:space="preserve">5e+06</w:t>
            </w:r>
          </w:p>
        </w:tc>
        <w:tc>
          <w:p>
            <w:pPr>
              <w:pStyle w:val="Compact"/>
              <w:jc w:val="center"/>
            </w:pPr>
            <w:r>
              <w:t xml:space="preserve">5e+06</w:t>
            </w:r>
          </w:p>
        </w:tc>
        <w:tc>
          <w:p>
            <w:pPr>
              <w:pStyle w:val="Compact"/>
              <w:jc w:val="center"/>
            </w:pPr>
            <w:r>
              <w:t xml:space="preserve">0</w:t>
            </w:r>
          </w:p>
        </w:tc>
        <w:tc>
          <w:p>
            <w:pPr>
              <w:pStyle w:val="Compact"/>
              <w:jc w:val="center"/>
            </w:pPr>
            <w:r>
              <w:t xml:space="preserve">1.1e+09</w:t>
            </w:r>
          </w:p>
        </w:tc>
        <w:tc>
          <w:p>
            <w:pPr>
              <w:pStyle w:val="Compact"/>
              <w:jc w:val="center"/>
            </w:pPr>
            <w:r>
              <w:t xml:space="preserve">1.1e+09</w:t>
            </w:r>
          </w:p>
        </w:tc>
        <w:tc>
          <w:p>
            <w:pPr>
              <w:pStyle w:val="Compact"/>
              <w:jc w:val="center"/>
            </w:pPr>
            <w:r>
              <w:t xml:space="preserve">1e+09</w:t>
            </w:r>
          </w:p>
        </w:tc>
        <w:tc>
          <w:p>
            <w:pPr>
              <w:pStyle w:val="Compact"/>
              <w:jc w:val="center"/>
            </w:pPr>
            <w:r>
              <w:t xml:space="preserve">0</w:t>
            </w:r>
          </w:p>
        </w:tc>
      </w:tr>
      <w:tr>
        <w:tc>
          <w:p>
            <w:pPr>
              <w:pStyle w:val="Compact"/>
              <w:jc w:val="center"/>
            </w:pPr>
            <w:r>
              <w:t xml:space="preserve">Saint Kitts and Nevis</w:t>
            </w:r>
          </w:p>
        </w:tc>
        <w:tc>
          <w:p>
            <w:pPr>
              <w:pStyle w:val="Compact"/>
              <w:jc w:val="center"/>
            </w:pPr>
            <w:r>
              <w:t xml:space="preserve">4541259</w:t>
            </w:r>
          </w:p>
        </w:tc>
        <w:tc>
          <w:p>
            <w:pPr>
              <w:pStyle w:val="Compact"/>
              <w:jc w:val="center"/>
            </w:pPr>
            <w:r>
              <w:t xml:space="preserve">4541259</w:t>
            </w:r>
          </w:p>
        </w:tc>
        <w:tc>
          <w:p>
            <w:pPr>
              <w:pStyle w:val="Compact"/>
              <w:jc w:val="center"/>
            </w:pPr>
            <w:r>
              <w:t xml:space="preserve">4541259</w:t>
            </w:r>
          </w:p>
        </w:tc>
        <w:tc>
          <w:p>
            <w:pPr>
              <w:pStyle w:val="Compact"/>
              <w:jc w:val="center"/>
            </w:pPr>
            <w:r>
              <w:t xml:space="preserve">0</w:t>
            </w:r>
          </w:p>
        </w:tc>
        <w:tc>
          <w:p>
            <w:pPr>
              <w:pStyle w:val="Compact"/>
              <w:jc w:val="center"/>
            </w:pPr>
            <w:r>
              <w:t xml:space="preserve">9.8e+08</w:t>
            </w:r>
          </w:p>
        </w:tc>
        <w:tc>
          <w:p>
            <w:pPr>
              <w:pStyle w:val="Compact"/>
              <w:jc w:val="center"/>
            </w:pPr>
            <w:r>
              <w:t xml:space="preserve">9.8e+08</w:t>
            </w:r>
          </w:p>
        </w:tc>
        <w:tc>
          <w:p>
            <w:pPr>
              <w:pStyle w:val="Compact"/>
              <w:jc w:val="center"/>
            </w:pPr>
            <w:r>
              <w:t xml:space="preserve">9.1e+08</w:t>
            </w:r>
          </w:p>
        </w:tc>
        <w:tc>
          <w:p>
            <w:pPr>
              <w:pStyle w:val="Compact"/>
              <w:jc w:val="center"/>
            </w:pPr>
            <w:r>
              <w:t xml:space="preserve">0</w:t>
            </w:r>
          </w:p>
        </w:tc>
      </w:tr>
      <w:tr>
        <w:tc>
          <w:p>
            <w:pPr>
              <w:pStyle w:val="Compact"/>
              <w:jc w:val="center"/>
            </w:pPr>
            <w:r>
              <w:t xml:space="preserve">Dominica</w:t>
            </w:r>
          </w:p>
        </w:tc>
        <w:tc>
          <w:p>
            <w:pPr>
              <w:pStyle w:val="Compact"/>
              <w:jc w:val="center"/>
            </w:pPr>
            <w:r>
              <w:t xml:space="preserve">4278602</w:t>
            </w:r>
          </w:p>
        </w:tc>
        <w:tc>
          <w:p>
            <w:pPr>
              <w:pStyle w:val="Compact"/>
              <w:jc w:val="center"/>
            </w:pPr>
            <w:r>
              <w:t xml:space="preserve">4278602</w:t>
            </w:r>
          </w:p>
        </w:tc>
        <w:tc>
          <w:p>
            <w:pPr>
              <w:pStyle w:val="Compact"/>
              <w:jc w:val="center"/>
            </w:pPr>
            <w:r>
              <w:t xml:space="preserve">4278602</w:t>
            </w:r>
          </w:p>
        </w:tc>
        <w:tc>
          <w:p>
            <w:pPr>
              <w:pStyle w:val="Compact"/>
              <w:jc w:val="center"/>
            </w:pPr>
            <w:r>
              <w:t xml:space="preserve">0</w:t>
            </w:r>
          </w:p>
        </w:tc>
        <w:tc>
          <w:p>
            <w:pPr>
              <w:pStyle w:val="Compact"/>
              <w:jc w:val="center"/>
            </w:pPr>
            <w:r>
              <w:t xml:space="preserve">9.5e+08</w:t>
            </w:r>
          </w:p>
        </w:tc>
        <w:tc>
          <w:p>
            <w:pPr>
              <w:pStyle w:val="Compact"/>
              <w:jc w:val="center"/>
            </w:pPr>
            <w:r>
              <w:t xml:space="preserve">9.5e+08</w:t>
            </w:r>
          </w:p>
        </w:tc>
        <w:tc>
          <w:p>
            <w:pPr>
              <w:pStyle w:val="Compact"/>
              <w:jc w:val="center"/>
            </w:pPr>
            <w:r>
              <w:t xml:space="preserve">8.7e+08</w:t>
            </w:r>
          </w:p>
        </w:tc>
        <w:tc>
          <w:p>
            <w:pPr>
              <w:pStyle w:val="Compact"/>
              <w:jc w:val="center"/>
            </w:pPr>
            <w:r>
              <w:t xml:space="preserve">0</w:t>
            </w:r>
          </w:p>
        </w:tc>
      </w:tr>
      <w:tr>
        <w:tc>
          <w:p>
            <w:pPr>
              <w:pStyle w:val="Compact"/>
              <w:jc w:val="center"/>
            </w:pPr>
            <w:r>
              <w:t xml:space="preserve">Cayman Islands</w:t>
            </w:r>
          </w:p>
        </w:tc>
        <w:tc>
          <w:p>
            <w:pPr>
              <w:pStyle w:val="Compact"/>
              <w:jc w:val="center"/>
            </w:pPr>
            <w:r>
              <w:t xml:space="preserve">2e+06</w:t>
            </w:r>
          </w:p>
        </w:tc>
        <w:tc>
          <w:p>
            <w:pPr>
              <w:pStyle w:val="Compact"/>
              <w:jc w:val="center"/>
            </w:pPr>
            <w:r>
              <w:t xml:space="preserve">2e+06</w:t>
            </w:r>
          </w:p>
        </w:tc>
        <w:tc>
          <w:p>
            <w:pPr>
              <w:pStyle w:val="Compact"/>
              <w:jc w:val="center"/>
            </w:pPr>
            <w:r>
              <w:t xml:space="preserve">2e+06</w:t>
            </w:r>
          </w:p>
        </w:tc>
        <w:tc>
          <w:p>
            <w:pPr>
              <w:pStyle w:val="Compact"/>
              <w:jc w:val="center"/>
            </w:pPr>
            <w:r>
              <w:t xml:space="preserve">0</w:t>
            </w:r>
          </w:p>
        </w:tc>
        <w:tc>
          <w:p>
            <w:pPr>
              <w:pStyle w:val="Compact"/>
              <w:jc w:val="center"/>
            </w:pPr>
            <w:r>
              <w:t xml:space="preserve">4.1e+08</w:t>
            </w:r>
          </w:p>
        </w:tc>
        <w:tc>
          <w:p>
            <w:pPr>
              <w:pStyle w:val="Compact"/>
              <w:jc w:val="center"/>
            </w:pPr>
            <w:r>
              <w:t xml:space="preserve">4.1e+08</w:t>
            </w:r>
          </w:p>
        </w:tc>
        <w:tc>
          <w:p>
            <w:pPr>
              <w:pStyle w:val="Compact"/>
              <w:jc w:val="center"/>
            </w:pPr>
            <w:r>
              <w:t xml:space="preserve">4.1e+08</w:t>
            </w:r>
          </w:p>
        </w:tc>
        <w:tc>
          <w:p>
            <w:pPr>
              <w:pStyle w:val="Compact"/>
              <w:jc w:val="center"/>
            </w:pPr>
            <w:r>
              <w:t xml:space="preserve">0</w:t>
            </w:r>
          </w:p>
        </w:tc>
      </w:tr>
      <w:tr>
        <w:tc>
          <w:p>
            <w:pPr>
              <w:pStyle w:val="Compact"/>
              <w:jc w:val="center"/>
            </w:pPr>
            <w:r>
              <w:t xml:space="preserve">Barbados</w:t>
            </w:r>
          </w:p>
        </w:tc>
        <w:tc>
          <w:p>
            <w:pPr>
              <w:pStyle w:val="Compact"/>
              <w:jc w:val="center"/>
            </w:pPr>
            <w:r>
              <w:t xml:space="preserve">1473676</w:t>
            </w:r>
          </w:p>
        </w:tc>
        <w:tc>
          <w:p>
            <w:pPr>
              <w:pStyle w:val="Compact"/>
              <w:jc w:val="center"/>
            </w:pPr>
            <w:r>
              <w:t xml:space="preserve">1473676</w:t>
            </w:r>
          </w:p>
        </w:tc>
        <w:tc>
          <w:p>
            <w:pPr>
              <w:pStyle w:val="Compact"/>
              <w:jc w:val="center"/>
            </w:pPr>
            <w:r>
              <w:t xml:space="preserve">1473676</w:t>
            </w:r>
          </w:p>
        </w:tc>
        <w:tc>
          <w:p>
            <w:pPr>
              <w:pStyle w:val="Compact"/>
              <w:jc w:val="center"/>
            </w:pPr>
            <w:r>
              <w:t xml:space="preserve">0</w:t>
            </w:r>
          </w:p>
        </w:tc>
        <w:tc>
          <w:p>
            <w:pPr>
              <w:pStyle w:val="Compact"/>
              <w:jc w:val="center"/>
            </w:pPr>
            <w:r>
              <w:t xml:space="preserve">3.2e+08</w:t>
            </w:r>
          </w:p>
        </w:tc>
        <w:tc>
          <w:p>
            <w:pPr>
              <w:pStyle w:val="Compact"/>
              <w:jc w:val="center"/>
            </w:pPr>
            <w:r>
              <w:t xml:space="preserve">3.2e+08</w:t>
            </w:r>
          </w:p>
        </w:tc>
        <w:tc>
          <w:p>
            <w:pPr>
              <w:pStyle w:val="Compact"/>
              <w:jc w:val="center"/>
            </w:pPr>
            <w:r>
              <w:t xml:space="preserve">3e+08</w:t>
            </w:r>
          </w:p>
        </w:tc>
        <w:tc>
          <w:p>
            <w:pPr>
              <w:pStyle w:val="Compact"/>
              <w:jc w:val="center"/>
            </w:pPr>
            <w:r>
              <w:t xml:space="preserve">0</w:t>
            </w:r>
          </w:p>
        </w:tc>
      </w:tr>
      <w:tr>
        <w:tc>
          <w:p>
            <w:pPr>
              <w:pStyle w:val="Compact"/>
              <w:jc w:val="center"/>
            </w:pPr>
            <w:r>
              <w:t xml:space="preserve">Montserrat</w:t>
            </w:r>
          </w:p>
        </w:tc>
        <w:tc>
          <w:p>
            <w:pPr>
              <w:pStyle w:val="Compact"/>
              <w:jc w:val="center"/>
            </w:pPr>
            <w:r>
              <w:t xml:space="preserve">1301882</w:t>
            </w:r>
          </w:p>
        </w:tc>
        <w:tc>
          <w:p>
            <w:pPr>
              <w:pStyle w:val="Compact"/>
              <w:jc w:val="center"/>
            </w:pPr>
            <w:r>
              <w:t xml:space="preserve">1301882</w:t>
            </w:r>
          </w:p>
        </w:tc>
        <w:tc>
          <w:p>
            <w:pPr>
              <w:pStyle w:val="Compact"/>
              <w:jc w:val="center"/>
            </w:pPr>
            <w:r>
              <w:t xml:space="preserve">1301882</w:t>
            </w:r>
          </w:p>
        </w:tc>
        <w:tc>
          <w:p>
            <w:pPr>
              <w:pStyle w:val="Compact"/>
              <w:jc w:val="center"/>
            </w:pPr>
            <w:r>
              <w:t xml:space="preserve">0</w:t>
            </w:r>
          </w:p>
        </w:tc>
        <w:tc>
          <w:p>
            <w:pPr>
              <w:pStyle w:val="Compact"/>
              <w:jc w:val="center"/>
            </w:pPr>
            <w:r>
              <w:t xml:space="preserve">2.7e+08</w:t>
            </w:r>
          </w:p>
        </w:tc>
        <w:tc>
          <w:p>
            <w:pPr>
              <w:pStyle w:val="Compact"/>
              <w:jc w:val="center"/>
            </w:pPr>
            <w:r>
              <w:t xml:space="preserve">2.7e+08</w:t>
            </w:r>
          </w:p>
        </w:tc>
        <w:tc>
          <w:p>
            <w:pPr>
              <w:pStyle w:val="Compact"/>
              <w:jc w:val="center"/>
            </w:pPr>
            <w:r>
              <w:t xml:space="preserve">2.4e+08</w:t>
            </w:r>
          </w:p>
        </w:tc>
        <w:tc>
          <w:p>
            <w:pPr>
              <w:pStyle w:val="Compact"/>
              <w:jc w:val="center"/>
            </w:pPr>
            <w:r>
              <w:t xml:space="preserve">0</w:t>
            </w:r>
          </w:p>
        </w:tc>
      </w:tr>
      <w:tr>
        <w:tc>
          <w:p>
            <w:pPr>
              <w:pStyle w:val="Compact"/>
              <w:jc w:val="center"/>
            </w:pPr>
            <w:r>
              <w:t xml:space="preserve">Curaçao</w:t>
            </w:r>
          </w:p>
        </w:tc>
        <w:tc>
          <w:p>
            <w:pPr>
              <w:pStyle w:val="Compact"/>
              <w:jc w:val="center"/>
            </w:pPr>
            <w:r>
              <w:t xml:space="preserve">1217992</w:t>
            </w:r>
          </w:p>
        </w:tc>
        <w:tc>
          <w:p>
            <w:pPr>
              <w:pStyle w:val="Compact"/>
              <w:jc w:val="center"/>
            </w:pPr>
            <w:r>
              <w:t xml:space="preserve">1217992</w:t>
            </w:r>
          </w:p>
        </w:tc>
        <w:tc>
          <w:p>
            <w:pPr>
              <w:pStyle w:val="Compact"/>
              <w:jc w:val="center"/>
            </w:pPr>
            <w:r>
              <w:t xml:space="preserve">1217992</w:t>
            </w:r>
          </w:p>
        </w:tc>
        <w:tc>
          <w:p>
            <w:pPr>
              <w:pStyle w:val="Compact"/>
              <w:jc w:val="center"/>
            </w:pPr>
            <w:r>
              <w:t xml:space="preserve">0</w:t>
            </w:r>
          </w:p>
        </w:tc>
        <w:tc>
          <w:p>
            <w:pPr>
              <w:pStyle w:val="Compact"/>
              <w:jc w:val="center"/>
            </w:pPr>
            <w:r>
              <w:t xml:space="preserve">2.7e+08</w:t>
            </w:r>
          </w:p>
        </w:tc>
        <w:tc>
          <w:p>
            <w:pPr>
              <w:pStyle w:val="Compact"/>
              <w:jc w:val="center"/>
            </w:pPr>
            <w:r>
              <w:t xml:space="preserve">2.7e+08</w:t>
            </w:r>
          </w:p>
        </w:tc>
        <w:tc>
          <w:p>
            <w:pPr>
              <w:pStyle w:val="Compact"/>
              <w:jc w:val="center"/>
            </w:pPr>
            <w:r>
              <w:t xml:space="preserve">2.5e+08</w:t>
            </w:r>
          </w:p>
        </w:tc>
        <w:tc>
          <w:p>
            <w:pPr>
              <w:pStyle w:val="Compact"/>
              <w:jc w:val="center"/>
            </w:pPr>
            <w:r>
              <w:t xml:space="preserve">0</w:t>
            </w:r>
          </w:p>
        </w:tc>
      </w:tr>
      <w:tr>
        <w:tc>
          <w:p>
            <w:pPr>
              <w:pStyle w:val="Compact"/>
              <w:jc w:val="center"/>
            </w:pPr>
            <w:r>
              <w:t xml:space="preserve">Sint-Eustatius</w:t>
            </w:r>
          </w:p>
        </w:tc>
        <w:tc>
          <w:p>
            <w:pPr>
              <w:pStyle w:val="Compact"/>
              <w:jc w:val="center"/>
            </w:pPr>
            <w:r>
              <w:t xml:space="preserve">1163127</w:t>
            </w:r>
          </w:p>
        </w:tc>
        <w:tc>
          <w:p>
            <w:pPr>
              <w:pStyle w:val="Compact"/>
              <w:jc w:val="center"/>
            </w:pPr>
            <w:r>
              <w:t xml:space="preserve">1163127</w:t>
            </w:r>
          </w:p>
        </w:tc>
        <w:tc>
          <w:p>
            <w:pPr>
              <w:pStyle w:val="Compact"/>
              <w:jc w:val="center"/>
            </w:pPr>
            <w:r>
              <w:t xml:space="preserve">1163127</w:t>
            </w:r>
          </w:p>
        </w:tc>
        <w:tc>
          <w:p>
            <w:pPr>
              <w:pStyle w:val="Compact"/>
              <w:jc w:val="center"/>
            </w:pPr>
            <w:r>
              <w:t xml:space="preserve">0</w:t>
            </w:r>
          </w:p>
        </w:tc>
        <w:tc>
          <w:p>
            <w:pPr>
              <w:pStyle w:val="Compact"/>
              <w:jc w:val="center"/>
            </w:pPr>
            <w:r>
              <w:t xml:space="preserve">2.4e+08</w:t>
            </w:r>
          </w:p>
        </w:tc>
        <w:tc>
          <w:p>
            <w:pPr>
              <w:pStyle w:val="Compact"/>
              <w:jc w:val="center"/>
            </w:pPr>
            <w:r>
              <w:t xml:space="preserve">2.4e+08</w:t>
            </w:r>
          </w:p>
        </w:tc>
        <w:tc>
          <w:p>
            <w:pPr>
              <w:pStyle w:val="Compact"/>
              <w:jc w:val="center"/>
            </w:pPr>
            <w:r>
              <w:t xml:space="preserve">2.3e+08</w:t>
            </w:r>
          </w:p>
        </w:tc>
        <w:tc>
          <w:p>
            <w:pPr>
              <w:pStyle w:val="Compact"/>
              <w:jc w:val="center"/>
            </w:pPr>
            <w:r>
              <w:t xml:space="preserve">0</w:t>
            </w:r>
          </w:p>
        </w:tc>
      </w:tr>
      <w:tr>
        <w:tc>
          <w:p>
            <w:pPr>
              <w:pStyle w:val="Compact"/>
              <w:jc w:val="center"/>
            </w:pPr>
            <w:r>
              <w:t xml:space="preserve">Bonaire</w:t>
            </w:r>
          </w:p>
        </w:tc>
        <w:tc>
          <w:p>
            <w:pPr>
              <w:pStyle w:val="Compact"/>
              <w:jc w:val="center"/>
            </w:pPr>
            <w:r>
              <w:t xml:space="preserve">724492</w:t>
            </w:r>
          </w:p>
        </w:tc>
        <w:tc>
          <w:p>
            <w:pPr>
              <w:pStyle w:val="Compact"/>
              <w:jc w:val="center"/>
            </w:pPr>
            <w:r>
              <w:t xml:space="preserve">724492</w:t>
            </w:r>
          </w:p>
        </w:tc>
        <w:tc>
          <w:p>
            <w:pPr>
              <w:pStyle w:val="Compact"/>
              <w:jc w:val="center"/>
            </w:pPr>
            <w:r>
              <w:t xml:space="preserve">714900</w:t>
            </w:r>
          </w:p>
        </w:tc>
        <w:tc>
          <w:p>
            <w:pPr>
              <w:pStyle w:val="Compact"/>
              <w:jc w:val="center"/>
            </w:pPr>
            <w:r>
              <w:t xml:space="preserve">0</w:t>
            </w:r>
          </w:p>
        </w:tc>
        <w:tc>
          <w:p>
            <w:pPr>
              <w:pStyle w:val="Compact"/>
              <w:jc w:val="center"/>
            </w:pPr>
            <w:r>
              <w:t xml:space="preserve">1.5e+08</w:t>
            </w:r>
          </w:p>
        </w:tc>
        <w:tc>
          <w:p>
            <w:pPr>
              <w:pStyle w:val="Compact"/>
              <w:jc w:val="center"/>
            </w:pPr>
            <w:r>
              <w:t xml:space="preserve">1.5e+08</w:t>
            </w:r>
          </w:p>
        </w:tc>
        <w:tc>
          <w:p>
            <w:pPr>
              <w:pStyle w:val="Compact"/>
              <w:jc w:val="center"/>
            </w:pPr>
            <w:r>
              <w:t xml:space="preserve">1.4e+08</w:t>
            </w:r>
          </w:p>
        </w:tc>
        <w:tc>
          <w:p>
            <w:pPr>
              <w:pStyle w:val="Compact"/>
              <w:jc w:val="center"/>
            </w:pPr>
            <w:r>
              <w:t xml:space="preserve">0</w:t>
            </w:r>
          </w:p>
        </w:tc>
      </w:tr>
      <w:tr>
        <w:tc>
          <w:p>
            <w:pPr>
              <w:pStyle w:val="Compact"/>
              <w:jc w:val="center"/>
            </w:pPr>
            <w:r>
              <w:t xml:space="preserve">Sint-Maarten</w:t>
            </w:r>
          </w:p>
        </w:tc>
        <w:tc>
          <w:p>
            <w:pPr>
              <w:pStyle w:val="Compact"/>
              <w:jc w:val="center"/>
            </w:pPr>
            <w:r>
              <w:t xml:space="preserve">345763</w:t>
            </w:r>
          </w:p>
        </w:tc>
        <w:tc>
          <w:p>
            <w:pPr>
              <w:pStyle w:val="Compact"/>
              <w:jc w:val="center"/>
            </w:pPr>
            <w:r>
              <w:t xml:space="preserve">345763</w:t>
            </w:r>
          </w:p>
        </w:tc>
        <w:tc>
          <w:p>
            <w:pPr>
              <w:pStyle w:val="Compact"/>
              <w:jc w:val="center"/>
            </w:pPr>
            <w:r>
              <w:t xml:space="preserve">345763</w:t>
            </w:r>
          </w:p>
        </w:tc>
        <w:tc>
          <w:p>
            <w:pPr>
              <w:pStyle w:val="Compact"/>
              <w:jc w:val="center"/>
            </w:pPr>
            <w:r>
              <w:t xml:space="preserve">0</w:t>
            </w:r>
          </w:p>
        </w:tc>
        <w:tc>
          <w:p>
            <w:pPr>
              <w:pStyle w:val="Compact"/>
              <w:jc w:val="center"/>
            </w:pPr>
            <w:r>
              <w:t xml:space="preserve">7.2e+07</w:t>
            </w:r>
          </w:p>
        </w:tc>
        <w:tc>
          <w:p>
            <w:pPr>
              <w:pStyle w:val="Compact"/>
              <w:jc w:val="center"/>
            </w:pPr>
            <w:r>
              <w:t xml:space="preserve">7.2e+07</w:t>
            </w:r>
          </w:p>
        </w:tc>
        <w:tc>
          <w:p>
            <w:pPr>
              <w:pStyle w:val="Compact"/>
              <w:jc w:val="center"/>
            </w:pPr>
            <w:r>
              <w:t xml:space="preserve">6.8e+07</w:t>
            </w:r>
          </w:p>
        </w:tc>
        <w:tc>
          <w:p>
            <w:pPr>
              <w:pStyle w:val="Compact"/>
              <w:jc w:val="center"/>
            </w:pPr>
            <w:r>
              <w:t xml:space="preserve">0</w:t>
            </w:r>
          </w:p>
        </w:tc>
      </w:tr>
      <w:tr>
        <w:tc>
          <w:p>
            <w:pPr>
              <w:pStyle w:val="Compact"/>
              <w:jc w:val="center"/>
            </w:pPr>
            <w:r>
              <w:t xml:space="preserve">Saint-Barthélemy</w:t>
            </w:r>
          </w:p>
        </w:tc>
        <w:tc>
          <w:p>
            <w:pPr>
              <w:pStyle w:val="Compact"/>
              <w:jc w:val="center"/>
            </w:pPr>
            <w:r>
              <w:t xml:space="preserve">129263</w:t>
            </w:r>
          </w:p>
        </w:tc>
        <w:tc>
          <w:p>
            <w:pPr>
              <w:pStyle w:val="Compact"/>
              <w:jc w:val="center"/>
            </w:pPr>
            <w:r>
              <w:t xml:space="preserve">129263</w:t>
            </w:r>
          </w:p>
        </w:tc>
        <w:tc>
          <w:p>
            <w:pPr>
              <w:pStyle w:val="Compact"/>
              <w:jc w:val="center"/>
            </w:pPr>
            <w:r>
              <w:t xml:space="preserve">129263</w:t>
            </w:r>
          </w:p>
        </w:tc>
        <w:tc>
          <w:p>
            <w:pPr>
              <w:pStyle w:val="Compact"/>
              <w:jc w:val="center"/>
            </w:pPr>
            <w:r>
              <w:t xml:space="preserve">0</w:t>
            </w:r>
          </w:p>
        </w:tc>
        <w:tc>
          <w:p>
            <w:pPr>
              <w:pStyle w:val="Compact"/>
              <w:jc w:val="center"/>
            </w:pPr>
            <w:r>
              <w:t xml:space="preserve">2.7e+07</w:t>
            </w:r>
          </w:p>
        </w:tc>
        <w:tc>
          <w:p>
            <w:pPr>
              <w:pStyle w:val="Compact"/>
              <w:jc w:val="center"/>
            </w:pPr>
            <w:r>
              <w:t xml:space="preserve">2.7e+07</w:t>
            </w:r>
          </w:p>
        </w:tc>
        <w:tc>
          <w:p>
            <w:pPr>
              <w:pStyle w:val="Compact"/>
              <w:jc w:val="center"/>
            </w:pPr>
            <w:r>
              <w:t xml:space="preserve">2.6e+07</w:t>
            </w:r>
          </w:p>
        </w:tc>
        <w:tc>
          <w:p>
            <w:pPr>
              <w:pStyle w:val="Compact"/>
              <w:jc w:val="center"/>
            </w:pPr>
            <w:r>
              <w:t xml:space="preserve">0</w:t>
            </w:r>
          </w:p>
        </w:tc>
      </w:tr>
    </w:tbl>
    <w:p>
      <w:pPr>
        <w:pStyle w:val="Heading1"/>
      </w:pPr>
      <w:bookmarkStart w:id="38" w:name="supplementary-information"/>
      <w:bookmarkEnd w:id="38"/>
      <w:r>
        <w:t xml:space="preserve">Supplementary Information</w:t>
      </w:r>
    </w:p>
    <w:p>
      <w:pPr>
        <w:pStyle w:val="Heading4"/>
      </w:pPr>
      <w:bookmarkStart w:id="39" w:name="risk-adjusted-discount-rate"/>
      <w:bookmarkEnd w:id="39"/>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w:t>
      </w:r>
      <w:r>
        <w:t xml:space="preserve"> </w:t>
      </w:r>
      <w:r>
        <w:t xml:space="preserve">Bhalla (1983)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FigureWithCaption"/>
      </w:pPr>
      <w:r>
        <w:drawing>
          <wp:inline>
            <wp:extent cx="5334000" cy="3556000"/>
            <wp:effectExtent b="0" l="0" r="0" t="0"/>
            <wp:docPr descr="Figure S1. Seafood production in the Caribbean from 1950 - 2016 (data from: FAO 2016)"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S1. Seafood production in the Caribbean from 1950 - 2016 (data from: FAO 2016)</w:t>
      </w:r>
    </w:p>
    <w:p>
      <w:pPr>
        <w:pStyle w:val="FigureWithCaption"/>
      </w:pPr>
      <w:r>
        <w:drawing>
          <wp:inline>
            <wp:extent cx="5334000" cy="6400800"/>
            <wp:effectExtent b="0" l="0" r="0" t="0"/>
            <wp:docPr descr="Figure S3. Cobia supply curves under current feed costs ($1.65/kg) and a 10% reduction in feed cost." title="" id="1" name="Picture"/>
            <a:graphic>
              <a:graphicData uri="http://schemas.openxmlformats.org/drawingml/2006/picture">
                <pic:pic>
                  <pic:nvPicPr>
                    <pic:cNvPr descr="../../../Box%20Sync/Carib_aqua_16/results/2018-04-20/Figures/carib_supply_curves.png" id="0"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S3. Cobia supply curves under current feed costs ($1.65/kg) and a 10% reduction in feed cost.</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084"/>
        <w:gridCol w:w="1000"/>
        <w:gridCol w:w="2751"/>
        <w:gridCol w:w="2084"/>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Centre,_WRI,_TNC_2010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bl>
    <w:p>
      <w:pPr>
        <w:pStyle w:val="TableCaption"/>
      </w:pPr>
      <w:r>
        <w:t xml:space="preserve">Table S2a. Model parameters and values for the Thermal Performance Curve, and economic model</w:t>
      </w:r>
    </w:p>
    <w:tbl>
      <w:tblPr>
        <w:tblStyle w:val="TableNormal"/>
        <w:tblW w:type="pct" w:w="5000.0"/>
        <w:tblLook w:firstRow="1"/>
        <w:tblCaption w:val="Table S2a. Model parameters and values for the Thermal Performance Curve, and economic model"/>
      </w:tblPr>
      <w:tblGrid>
        <w:gridCol w:w="1788"/>
        <w:gridCol w:w="2107"/>
        <w:gridCol w:w="766"/>
        <w:gridCol w:w="1213"/>
        <w:gridCol w:w="2043"/>
      </w:tblGrid>
      <w:tr>
        <w:trPr>
          <w:cnfStyle w:firstRow="1"/>
        </w:trPr>
        <w:tc>
          <w:tcPr>
            <w:tcBorders>
              <w:bottom w:val="single"/>
            </w:tcBorders>
            <w:vAlign w:val="bottom"/>
          </w:tcPr>
          <w:p>
            <w:pPr>
              <w:pStyle w:val="Compact"/>
              <w:jc w:val="center"/>
            </w:pPr>
            <w:r>
              <w:t xml:space="preserve">Description</w:t>
            </w:r>
          </w:p>
        </w:tc>
        <w:tc>
          <w:tcPr>
            <w:tcBorders>
              <w:bottom w:val="single"/>
            </w:tcBorders>
            <w:vAlign w:val="bottom"/>
          </w:tcPr>
          <w:p>
            <w:pPr>
              <w:pStyle w:val="Compact"/>
              <w:jc w:val="center"/>
            </w:pPr>
            <w:r>
              <w:t xml:space="preserve">Input</w:t>
            </w:r>
          </w:p>
        </w:tc>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Source</w:t>
            </w:r>
          </w:p>
        </w:tc>
      </w:tr>
      <w:tr>
        <w:tc>
          <w:p>
            <w:pPr>
              <w:pStyle w:val="Compact"/>
              <w:jc w:val="center"/>
            </w:pPr>
            <w:r>
              <w:t xml:space="preserve">Thermal performance curve</w:t>
            </w:r>
          </w:p>
        </w:tc>
        <w:tc>
          <w:p>
            <w:pPr>
              <w:pStyle w:val="Compact"/>
              <w:jc w:val="center"/>
            </w:pPr>
            <w:r>
              <w:t xml:space="preserve">Minimum temperature for cobia</w:t>
            </w:r>
            <w:r>
              <w:t xml:space="preserve"> </w:t>
            </w:r>
            <w:r>
              <w:t xml:space="preserve">growth</w:t>
            </w:r>
          </w:p>
        </w:tc>
        <w:tc>
          <w:p>
            <w:pPr>
              <w:pStyle w:val="Compact"/>
              <w:jc w:val="center"/>
            </w:pPr>
            <w:r>
              <w:t xml:space="preserve">Tmin</w:t>
            </w:r>
          </w:p>
        </w:tc>
        <w:tc>
          <w:p>
            <w:pPr>
              <w:pStyle w:val="Compact"/>
              <w:jc w:val="center"/>
            </w:pPr>
            <w:r>
              <w:t xml:space="preserve">22 ℃</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Optimal temperature for cobia</w:t>
            </w:r>
            <w:r>
              <w:t xml:space="preserve"> </w:t>
            </w:r>
            <w:r>
              <w:t xml:space="preserve">growth</w:t>
            </w:r>
          </w:p>
        </w:tc>
        <w:tc>
          <w:p>
            <w:pPr>
              <w:pStyle w:val="Compact"/>
              <w:jc w:val="center"/>
            </w:pPr>
            <w:r>
              <w:t xml:space="preserve">To</w:t>
            </w:r>
          </w:p>
        </w:tc>
        <w:tc>
          <w:p>
            <w:pPr>
              <w:pStyle w:val="Compact"/>
              <w:jc w:val="center"/>
            </w:pPr>
            <w:r>
              <w:t xml:space="preserve">29 ℃</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Maximum temperature for cobia</w:t>
            </w:r>
            <w:r>
              <w:t xml:space="preserve"> </w:t>
            </w:r>
            <w:r>
              <w:t xml:space="preserve">growth</w:t>
            </w:r>
          </w:p>
        </w:tc>
        <w:tc>
          <w:p>
            <w:pPr>
              <w:pStyle w:val="Compact"/>
              <w:jc w:val="center"/>
            </w:pPr>
            <w:r>
              <w:t xml:space="preserve">Tmax</w:t>
            </w:r>
          </w:p>
        </w:tc>
        <w:tc>
          <w:p>
            <w:pPr>
              <w:pStyle w:val="Compact"/>
              <w:jc w:val="center"/>
            </w:pPr>
            <w:r>
              <w:t xml:space="preserve">32 ℃</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Average monthly temperature in</w:t>
            </w:r>
            <w:r>
              <w:t xml:space="preserve"> </w:t>
            </w:r>
            <w:r>
              <w:t xml:space="preserve">each cell</w:t>
            </w:r>
          </w:p>
        </w:tc>
        <w:tc>
          <w:p>
            <w:pPr>
              <w:pStyle w:val="Compact"/>
              <w:jc w:val="center"/>
            </w:pPr>
            <w:r>
              <w:t xml:space="preserve">Tt,i</w:t>
            </w:r>
          </w:p>
        </w:tc>
        <w:tc>
          <w:p>
            <w:pPr>
              <w:pStyle w:val="Compact"/>
              <w:jc w:val="center"/>
            </w:pPr>
            <w:r>
              <w:t xml:space="preserve">Variable</w:t>
            </w:r>
          </w:p>
        </w:tc>
        <w:tc>
          <w:p>
            <w:pPr>
              <w:pStyle w:val="Compact"/>
              <w:jc w:val="center"/>
            </w:pPr>
            <w:r>
              <w:t xml:space="preserve">Calculated in study using data</w:t>
            </w:r>
            <w:r>
              <w:t xml:space="preserve"> </w:t>
            </w:r>
            <w:r>
              <w:t xml:space="preserve">from NASA 2014</w:t>
            </w:r>
          </w:p>
        </w:tc>
      </w:tr>
      <w:tr>
        <w:tc>
          <w:p>
            <w:pPr>
              <w:pStyle w:val="Compact"/>
              <w:jc w:val="center"/>
            </w:pPr>
            <w:r>
              <w:t xml:space="preserve">Thermal performance curve</w:t>
            </w:r>
          </w:p>
        </w:tc>
        <w:tc>
          <w:p>
            <w:pPr>
              <w:pStyle w:val="Compact"/>
              <w:jc w:val="center"/>
            </w:pPr>
            <w:r>
              <w:t xml:space="preserve">Individual growth of cobia</w:t>
            </w:r>
          </w:p>
        </w:tc>
        <w:tc>
          <w:p>
            <w:pPr>
              <w:pStyle w:val="Compact"/>
              <w:jc w:val="center"/>
            </w:pPr>
            <w:r>
              <w:t xml:space="preserve">G</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Thermal performance curve</w:t>
            </w:r>
          </w:p>
        </w:tc>
        <w:tc>
          <w:p>
            <w:pPr>
              <w:pStyle w:val="Compact"/>
              <w:jc w:val="center"/>
            </w:pPr>
            <w:r>
              <w:t xml:space="preserve">slope parameter</w:t>
            </w:r>
          </w:p>
        </w:tc>
        <w:tc>
          <w:p>
            <w:pPr>
              <w:pStyle w:val="Compact"/>
              <w:jc w:val="center"/>
            </w:pPr>
            <w:r>
              <w:t xml:space="preserve">a1</w:t>
            </w:r>
          </w:p>
        </w:tc>
        <w:tc>
          <w:p>
            <w:pPr>
              <w:pStyle w:val="Compact"/>
              <w:jc w:val="center"/>
            </w:pPr>
            <w:r>
              <w:t xml:space="preserve">0.017 kg/month/℃</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slope parameter</w:t>
            </w:r>
          </w:p>
        </w:tc>
        <w:tc>
          <w:p>
            <w:pPr>
              <w:pStyle w:val="Compact"/>
              <w:jc w:val="center"/>
            </w:pPr>
            <w:r>
              <w:t xml:space="preserve">a2</w:t>
            </w:r>
          </w:p>
        </w:tc>
        <w:tc>
          <w:p>
            <w:pPr>
              <w:pStyle w:val="Compact"/>
              <w:jc w:val="center"/>
            </w:pPr>
            <w:r>
              <w:t xml:space="preserve">-0.17 kg/month/℃</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intercept parameter</w:t>
            </w:r>
          </w:p>
        </w:tc>
        <w:tc>
          <w:p>
            <w:pPr>
              <w:pStyle w:val="Compact"/>
              <w:jc w:val="center"/>
            </w:pPr>
            <w:r>
              <w:t xml:space="preserve">b1</w:t>
            </w:r>
          </w:p>
        </w:tc>
        <w:tc>
          <w:p>
            <w:pPr>
              <w:pStyle w:val="Compact"/>
              <w:jc w:val="center"/>
            </w:pPr>
            <w:r>
              <w:t xml:space="preserve">-1.6 kg/month</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intercept parameter</w:t>
            </w:r>
          </w:p>
        </w:tc>
        <w:tc>
          <w:p>
            <w:pPr>
              <w:pStyle w:val="Compact"/>
              <w:jc w:val="center"/>
            </w:pPr>
            <w:r>
              <w:t xml:space="preserve">b2</w:t>
            </w:r>
          </w:p>
        </w:tc>
        <w:tc>
          <w:p>
            <w:pPr>
              <w:pStyle w:val="Compact"/>
              <w:jc w:val="center"/>
            </w:pPr>
            <w:r>
              <w:t xml:space="preserve">5.3 kg/month</w:t>
            </w:r>
          </w:p>
        </w:tc>
        <w:tc>
          <w:p>
            <w:pPr>
              <w:pStyle w:val="Compact"/>
              <w:jc w:val="center"/>
            </w:pPr>
            <w:r>
              <w:t xml:space="preserve">Klinger et al. 2017</w:t>
            </w:r>
          </w:p>
        </w:tc>
      </w:tr>
      <w:tr>
        <w:tc>
          <w:p>
            <w:pPr>
              <w:pStyle w:val="Compact"/>
              <w:jc w:val="center"/>
            </w:pPr>
            <w:r>
              <w:t xml:space="preserve">Growth Model</w:t>
            </w:r>
          </w:p>
        </w:tc>
        <w:tc>
          <w:p>
            <w:pPr>
              <w:pStyle w:val="Compact"/>
              <w:jc w:val="center"/>
            </w:pPr>
            <w:r>
              <w:t xml:space="preserve">mothly individual fish weight</w:t>
            </w:r>
            <w:r>
              <w:t xml:space="preserve"> </w:t>
            </w:r>
            <w:r>
              <w:t xml:space="preserve">at each farm</w:t>
            </w:r>
          </w:p>
        </w:tc>
        <w:tc>
          <w:p>
            <w:pPr>
              <w:pStyle w:val="Compact"/>
              <w:jc w:val="center"/>
            </w:pPr>
            <w:r>
              <w:t xml:space="preserve">wi,t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Number of hypothetical growout</w:t>
            </w:r>
            <w:r>
              <w:t xml:space="preserve"> </w:t>
            </w:r>
            <w:r>
              <w:t xml:space="preserve">cycles over 10 years at each</w:t>
            </w:r>
            <w:r>
              <w:t xml:space="preserve"> </w:t>
            </w:r>
            <w:r>
              <w:t xml:space="preserve">farm</w:t>
            </w:r>
          </w:p>
        </w:tc>
        <w:tc>
          <w:p>
            <w:pPr>
              <w:pStyle w:val="Compact"/>
              <w:jc w:val="center"/>
            </w:pPr>
            <w:r>
              <w:t xml:space="preserve">gi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Optimal stocking density</w:t>
            </w:r>
          </w:p>
        </w:tc>
        <w:tc>
          <w:p>
            <w:pPr>
              <w:pStyle w:val="Compact"/>
              <w:jc w:val="center"/>
            </w:pPr>
            <w:r>
              <w:t xml:space="preserve">n*</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Number of stocked cages</w:t>
            </w:r>
          </w:p>
        </w:tc>
        <w:tc>
          <w:p>
            <w:pPr>
              <w:pStyle w:val="Compact"/>
              <w:jc w:val="center"/>
            </w:pPr>
            <w:r>
              <w:t xml:space="preserve">Ci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Total monthly biomass at each</w:t>
            </w:r>
            <w:r>
              <w:t xml:space="preserve"> </w:t>
            </w:r>
            <w:r>
              <w:t xml:space="preserve">farm</w:t>
            </w:r>
          </w:p>
        </w:tc>
        <w:tc>
          <w:p>
            <w:pPr>
              <w:pStyle w:val="Compact"/>
              <w:jc w:val="center"/>
            </w:pPr>
            <w:r>
              <w:t xml:space="preserve">Bi,t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Initial capital expenditures</w:t>
            </w:r>
          </w:p>
        </w:tc>
        <w:tc>
          <w:p>
            <w:pPr>
              <w:pStyle w:val="Compact"/>
              <w:jc w:val="center"/>
            </w:pPr>
            <w:r>
              <w:t xml:space="preserve">Ei</w:t>
            </w:r>
          </w:p>
        </w:tc>
        <w:tc>
          <w:p>
            <w:pPr>
              <w:pStyle w:val="Compact"/>
              <w:jc w:val="center"/>
            </w:pPr>
            <w:r>
              <w:t xml:space="preserve">$4,473,547.00</w:t>
            </w:r>
          </w:p>
        </w:tc>
        <w:tc>
          <w:p>
            <w:pPr>
              <w:pStyle w:val="Compact"/>
              <w:jc w:val="center"/>
            </w:pPr>
            <w:r>
              <w:t xml:space="preserve">Calculated based on average</w:t>
            </w:r>
            <w:r>
              <w:t xml:space="preserve"> </w:t>
            </w:r>
            <w:r>
              <w:t xml:space="preserve">farm depth and capital</w:t>
            </w:r>
            <w:r>
              <w:t xml:space="preserve"> </w:t>
            </w:r>
            <w:r>
              <w:t xml:space="preserve">expentiture costs in Lipton</w:t>
            </w:r>
            <w:r>
              <w:t xml:space="preserve"> </w:t>
            </w:r>
            <w:r>
              <w:t xml:space="preserve">and Kim 2007 and Bezerra et</w:t>
            </w:r>
            <w:r>
              <w:t xml:space="preserve"> </w:t>
            </w:r>
            <w:r>
              <w:t xml:space="preserve">al. 2016</w:t>
            </w:r>
          </w:p>
        </w:tc>
      </w:tr>
      <w:tr>
        <w:tc>
          <w:p>
            <w:pPr>
              <w:pStyle w:val="Compact"/>
              <w:jc w:val="center"/>
            </w:pPr>
            <w:r>
              <w:t xml:space="preserve">Economic Model</w:t>
            </w:r>
          </w:p>
        </w:tc>
        <w:tc>
          <w:p>
            <w:pPr>
              <w:pStyle w:val="Compact"/>
              <w:jc w:val="center"/>
            </w:pPr>
            <w:r>
              <w:t xml:space="preserve">Installation costs</w:t>
            </w:r>
          </w:p>
        </w:tc>
        <w:tc>
          <w:p>
            <w:pPr>
              <w:pStyle w:val="Compact"/>
              <w:jc w:val="center"/>
            </w:pPr>
            <w:r>
              <w:t xml:space="preserve">Ii</w:t>
            </w:r>
          </w:p>
        </w:tc>
        <w:tc>
          <w:p>
            <w:pPr>
              <w:pStyle w:val="Compact"/>
              <w:jc w:val="center"/>
            </w:pPr>
            <w:r>
              <w:t xml:space="preserve">$52,563</w:t>
            </w:r>
          </w:p>
        </w:tc>
        <w:tc>
          <w:p>
            <w:pPr>
              <w:pStyle w:val="Compact"/>
              <w:jc w:val="center"/>
            </w:pPr>
            <w:r>
              <w:t xml:space="preserve">Calculated based on average</w:t>
            </w:r>
            <w:r>
              <w:t xml:space="preserve"> </w:t>
            </w:r>
            <w:r>
              <w:t xml:space="preserve">farm depth and installation</w:t>
            </w:r>
            <w:r>
              <w:t xml:space="preserve"> </w:t>
            </w:r>
            <w:r>
              <w:t xml:space="preserve">costs from Bezerra et al. 2016</w:t>
            </w:r>
          </w:p>
        </w:tc>
      </w:tr>
      <w:tr>
        <w:tc>
          <w:p>
            <w:pPr>
              <w:pStyle w:val="Compact"/>
              <w:jc w:val="center"/>
            </w:pPr>
            <w:r>
              <w:t xml:space="preserve">Economic Model</w:t>
            </w:r>
          </w:p>
        </w:tc>
        <w:tc>
          <w:p>
            <w:pPr>
              <w:pStyle w:val="Compact"/>
              <w:jc w:val="center"/>
            </w:pPr>
            <w:r>
              <w:t xml:space="preserve">Permit/Least price</w:t>
            </w:r>
          </w:p>
        </w:tc>
        <w:tc>
          <w:p>
            <w:pPr>
              <w:pStyle w:val="Compact"/>
              <w:jc w:val="center"/>
            </w:pPr>
            <w:r>
              <w:t xml:space="preserve">P</w:t>
            </w:r>
          </w:p>
        </w:tc>
        <w:tc>
          <w:p>
            <w:pPr>
              <w:pStyle w:val="Compact"/>
              <w:jc w:val="center"/>
            </w:pPr>
            <w:r>
              <w:t xml:space="preserve">$3,265.00/km2</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fuel efficiency</w:t>
            </w:r>
          </w:p>
        </w:tc>
        <w:tc>
          <w:p>
            <w:pPr>
              <w:pStyle w:val="Compact"/>
            </w:pPr>
          </w:p>
        </w:tc>
        <w:tc>
          <w:p>
            <w:pPr>
              <w:pStyle w:val="Compact"/>
              <w:jc w:val="center"/>
            </w:pPr>
            <w:r>
              <w:t xml:space="preserve">3.219 km/g</w:t>
            </w:r>
          </w:p>
        </w:tc>
        <w:tc>
          <w:p>
            <w:pPr>
              <w:pStyle w:val="Compact"/>
              <w:jc w:val="center"/>
            </w:pPr>
            <w:r>
              <w:t xml:space="preserve">Lester et al. 2018</w:t>
            </w:r>
          </w:p>
        </w:tc>
      </w:tr>
      <w:tr>
        <w:tc>
          <w:p>
            <w:pPr>
              <w:pStyle w:val="Compact"/>
              <w:jc w:val="center"/>
            </w:pPr>
            <w:r>
              <w:t xml:space="preserve">Economic Model</w:t>
            </w:r>
          </w:p>
        </w:tc>
        <w:tc>
          <w:p>
            <w:pPr>
              <w:pStyle w:val="Compact"/>
              <w:jc w:val="center"/>
            </w:pPr>
            <w:r>
              <w:t xml:space="preserve">Fingerling price</w:t>
            </w:r>
          </w:p>
        </w:tc>
        <w:tc>
          <w:p>
            <w:pPr>
              <w:pStyle w:val="Compact"/>
              <w:jc w:val="center"/>
            </w:pPr>
            <w:r>
              <w:t xml:space="preserve">F</w:t>
            </w:r>
          </w:p>
        </w:tc>
        <w:tc>
          <w:p>
            <w:pPr>
              <w:pStyle w:val="Compact"/>
              <w:jc w:val="center"/>
            </w:pPr>
            <w:r>
              <w:t xml:space="preserve">$2.58/fingerling</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Feed price</w:t>
            </w:r>
          </w:p>
        </w:tc>
        <w:tc>
          <w:p>
            <w:pPr>
              <w:pStyle w:val="Compact"/>
              <w:jc w:val="center"/>
            </w:pPr>
            <w:r>
              <w:t xml:space="preserve">F</w:t>
            </w:r>
          </w:p>
        </w:tc>
        <w:tc>
          <w:p>
            <w:pPr>
              <w:pStyle w:val="Compact"/>
              <w:jc w:val="center"/>
            </w:pPr>
            <w:r>
              <w:t xml:space="preserve">$1.68/kg</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EEZ specific hourly wage of</w:t>
            </w:r>
            <w:r>
              <w:t xml:space="preserve"> </w:t>
            </w:r>
            <w:r>
              <w:t xml:space="preserve">farm workers</w:t>
            </w:r>
          </w:p>
        </w:tc>
        <w:tc>
          <w:p>
            <w:pPr>
              <w:pStyle w:val="Compact"/>
              <w:jc w:val="center"/>
            </w:pPr>
            <w:r>
              <w:t xml:space="preserve">sz</w:t>
            </w:r>
          </w:p>
        </w:tc>
        <w:tc>
          <w:p>
            <w:pPr>
              <w:pStyle w:val="Compact"/>
              <w:jc w:val="center"/>
            </w:pPr>
            <w:r>
              <w:t xml:space="preserve">Variable</w:t>
            </w:r>
          </w:p>
        </w:tc>
        <w:tc>
          <w:p>
            <w:pPr>
              <w:pStyle w:val="Compact"/>
              <w:jc w:val="center"/>
            </w:pPr>
            <w:r>
              <w:t xml:space="preserve">See Table S3b</w:t>
            </w:r>
          </w:p>
        </w:tc>
      </w:tr>
      <w:tr>
        <w:tc>
          <w:p>
            <w:pPr>
              <w:pStyle w:val="Compact"/>
              <w:jc w:val="center"/>
            </w:pPr>
            <w:r>
              <w:t xml:space="preserve">Economic Model</w:t>
            </w:r>
          </w:p>
        </w:tc>
        <w:tc>
          <w:p>
            <w:pPr>
              <w:pStyle w:val="Compact"/>
              <w:jc w:val="center"/>
            </w:pPr>
            <w:r>
              <w:t xml:space="preserve">EEZ specific fuel price</w:t>
            </w:r>
          </w:p>
        </w:tc>
        <w:tc>
          <w:p>
            <w:pPr>
              <w:pStyle w:val="Compact"/>
              <w:jc w:val="center"/>
            </w:pPr>
            <w:r>
              <w:t xml:space="preserve">gz</w:t>
            </w:r>
          </w:p>
        </w:tc>
        <w:tc>
          <w:p>
            <w:pPr>
              <w:pStyle w:val="Compact"/>
              <w:jc w:val="center"/>
            </w:pPr>
            <w:r>
              <w:t xml:space="preserve">Variable</w:t>
            </w:r>
          </w:p>
        </w:tc>
        <w:tc>
          <w:p>
            <w:pPr>
              <w:pStyle w:val="Compact"/>
              <w:jc w:val="center"/>
            </w:pPr>
            <w:r>
              <w:t xml:space="preserve">See Table S3b</w:t>
            </w:r>
          </w:p>
        </w:tc>
      </w:tr>
      <w:tr>
        <w:tc>
          <w:p>
            <w:pPr>
              <w:pStyle w:val="Compact"/>
              <w:jc w:val="center"/>
            </w:pPr>
            <w:r>
              <w:t xml:space="preserve">Economic Model</w:t>
            </w:r>
          </w:p>
        </w:tc>
        <w:tc>
          <w:p>
            <w:pPr>
              <w:pStyle w:val="Compact"/>
              <w:jc w:val="center"/>
            </w:pPr>
            <w:r>
              <w:t xml:space="preserve">Total costs for each farm</w:t>
            </w:r>
          </w:p>
        </w:tc>
        <w:tc>
          <w:p>
            <w:pPr>
              <w:pStyle w:val="Compact"/>
              <w:jc w:val="center"/>
            </w:pPr>
            <w:r>
              <w:t xml:space="preserve">Ti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Start up costs for each farm</w:t>
            </w:r>
          </w:p>
        </w:tc>
        <w:tc>
          <w:p>
            <w:pPr>
              <w:pStyle w:val="Compact"/>
              <w:jc w:val="center"/>
            </w:pPr>
            <w:r>
              <w:t xml:space="preserve">SCi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Initial capital expenditures</w:t>
            </w:r>
            <w:r>
              <w:t xml:space="preserve"> </w:t>
            </w:r>
            <w:r>
              <w:t xml:space="preserve">for each farm</w:t>
            </w:r>
          </w:p>
        </w:tc>
        <w:tc>
          <w:p>
            <w:pPr>
              <w:pStyle w:val="Compact"/>
              <w:jc w:val="center"/>
            </w:pPr>
            <w:r>
              <w:t xml:space="preserve">Ei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Monthly operating cost for</w:t>
            </w:r>
            <w:r>
              <w:t xml:space="preserve"> </w:t>
            </w:r>
            <w:r>
              <w:t xml:space="preserve">each farm</w:t>
            </w:r>
          </w:p>
        </w:tc>
        <w:tc>
          <w:p>
            <w:pPr>
              <w:pStyle w:val="Compact"/>
              <w:jc w:val="center"/>
            </w:pPr>
            <w:r>
              <w:t xml:space="preserve">Oci,t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Monthly labor and maintenance</w:t>
            </w:r>
            <w:r>
              <w:t xml:space="preserve"> </w:t>
            </w:r>
            <w:r>
              <w:t xml:space="preserve">costs for each farm</w:t>
            </w:r>
          </w:p>
        </w:tc>
        <w:tc>
          <w:p>
            <w:pPr>
              <w:pStyle w:val="Compact"/>
              <w:jc w:val="center"/>
            </w:pPr>
            <w:r>
              <w:t xml:space="preserve">Li,t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Farm distance from shore</w:t>
            </w:r>
          </w:p>
        </w:tc>
        <w:tc>
          <w:p>
            <w:pPr>
              <w:pStyle w:val="Compact"/>
              <w:jc w:val="center"/>
            </w:pPr>
            <w:r>
              <w:t xml:space="preserve">di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Cobia price</w:t>
            </w:r>
          </w:p>
        </w:tc>
        <w:tc>
          <w:p>
            <w:pPr>
              <w:pStyle w:val="Compact"/>
              <w:jc w:val="center"/>
            </w:pPr>
            <w:r>
              <w:t xml:space="preserve">p</w:t>
            </w:r>
          </w:p>
        </w:tc>
        <w:tc>
          <w:p>
            <w:pPr>
              <w:pStyle w:val="Compact"/>
              <w:jc w:val="center"/>
            </w:pPr>
            <w:r>
              <w:t xml:space="preserve">$8.64/kg</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Fixed discount rate</w:t>
            </w:r>
          </w:p>
        </w:tc>
        <w:tc>
          <w:p>
            <w:pPr>
              <w:pStyle w:val="Compact"/>
              <w:jc w:val="center"/>
            </w:pPr>
            <w:r>
              <w:t xml:space="preserve">d</w:t>
            </w:r>
          </w:p>
        </w:tc>
        <w:tc>
          <w:p>
            <w:pPr>
              <w:pStyle w:val="Compact"/>
              <w:jc w:val="center"/>
            </w:pPr>
            <w:r>
              <w:t xml:space="preserve">10.60%</w:t>
            </w:r>
          </w:p>
        </w:tc>
        <w:tc>
          <w:p>
            <w:pPr>
              <w:pStyle w:val="Compact"/>
              <w:jc w:val="center"/>
            </w:pPr>
            <w:r>
              <w:t xml:space="preserve">Ruiz-Campo et al. 2018</w:t>
            </w:r>
          </w:p>
        </w:tc>
      </w:tr>
      <w:tr>
        <w:tc>
          <w:p>
            <w:pPr>
              <w:pStyle w:val="Compact"/>
              <w:jc w:val="center"/>
            </w:pPr>
            <w:r>
              <w:t xml:space="preserve">Economic Model</w:t>
            </w:r>
          </w:p>
        </w:tc>
        <w:tc>
          <w:p>
            <w:pPr>
              <w:pStyle w:val="Compact"/>
              <w:jc w:val="center"/>
            </w:pPr>
            <w:r>
              <w:t xml:space="preserve">EEZ specific disount rate</w:t>
            </w:r>
          </w:p>
        </w:tc>
        <w:tc>
          <w:p>
            <w:pPr>
              <w:pStyle w:val="Compact"/>
              <w:jc w:val="center"/>
            </w:pPr>
            <w:r>
              <w:t xml:space="preserve">dEEZ</w:t>
            </w:r>
          </w:p>
        </w:tc>
        <w:tc>
          <w:p>
            <w:pPr>
              <w:pStyle w:val="Compact"/>
              <w:jc w:val="center"/>
            </w:pPr>
            <w:r>
              <w:t xml:space="preserve">Variable</w:t>
            </w:r>
          </w:p>
        </w:tc>
        <w:tc>
          <w:p>
            <w:pPr>
              <w:pStyle w:val="Compact"/>
              <w:jc w:val="center"/>
            </w:pPr>
            <w:r>
              <w:t xml:space="preserve">See Table S3b</w:t>
            </w:r>
          </w:p>
        </w:tc>
      </w:tr>
      <w:tr>
        <w:tc>
          <w:p>
            <w:pPr>
              <w:pStyle w:val="Compact"/>
              <w:jc w:val="center"/>
            </w:pPr>
            <w:r>
              <w:t xml:space="preserve">Economic Model</w:t>
            </w:r>
          </w:p>
        </w:tc>
        <w:tc>
          <w:p>
            <w:pPr>
              <w:pStyle w:val="Compact"/>
              <w:jc w:val="center"/>
            </w:pPr>
            <w:r>
              <w:t xml:space="preserve">Monthly farm revenue</w:t>
            </w:r>
          </w:p>
        </w:tc>
        <w:tc>
          <w:p>
            <w:pPr>
              <w:pStyle w:val="Compact"/>
              <w:jc w:val="center"/>
            </w:pPr>
            <w:r>
              <w:t xml:space="preserve">Ri,t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Total farm profit</w:t>
            </w:r>
          </w:p>
        </w:tc>
        <w:tc>
          <w:p>
            <w:pPr>
              <w:pStyle w:val="Compact"/>
              <w:jc w:val="center"/>
            </w:pPr>
            <w:r>
              <w:t xml:space="preserve">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Net Present Value</w:t>
            </w:r>
          </w:p>
        </w:tc>
        <w:tc>
          <w:p>
            <w:pPr>
              <w:pStyle w:val="Compact"/>
              <w:jc w:val="center"/>
            </w:pPr>
            <w:r>
              <w:t xml:space="preserve">NPVi</w:t>
            </w:r>
          </w:p>
        </w:tc>
        <w:tc>
          <w:p>
            <w:pPr>
              <w:pStyle w:val="Compact"/>
              <w:jc w:val="center"/>
            </w:pPr>
            <w:r>
              <w:t xml:space="preserve">Variable</w:t>
            </w:r>
          </w:p>
        </w:tc>
        <w:tc>
          <w:p>
            <w:pPr>
              <w:pStyle w:val="Compact"/>
              <w:jc w:val="center"/>
            </w:pPr>
            <w:r>
              <w:t xml:space="preserve">Calculated in study</w:t>
            </w:r>
          </w:p>
        </w:tc>
      </w:tr>
    </w:tbl>
    <w:p>
      <w:pPr>
        <w:pStyle w:val="TableCaption"/>
      </w:pPr>
      <w:r>
        <w:t xml:space="preserve">Table S2b. EEZ specific economic model parameters</w:t>
      </w:r>
    </w:p>
    <w:tbl>
      <w:tblPr>
        <w:tblStyle w:val="TableNormal"/>
        <w:tblW w:type="pct" w:w="4930.555555555556"/>
        <w:tblLook w:firstRow="1"/>
        <w:tblCaption w:val="Table S2b. EEZ specific economic model parameters"/>
      </w:tblPr>
      <w:tblGrid>
        <w:gridCol w:w="3410"/>
        <w:gridCol w:w="2640"/>
        <w:gridCol w:w="176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Cost Model Parameters</w:t>
            </w:r>
          </w:p>
        </w:tc>
        <w:tc>
          <w:tcPr>
            <w:tcBorders>
              <w:bottom w:val="single"/>
            </w:tcBorders>
            <w:vAlign w:val="bottom"/>
          </w:tcPr>
          <w:p>
            <w:pPr>
              <w:pStyle w:val="Compact"/>
              <w:jc w:val="center"/>
            </w:pPr>
            <w:r>
              <w:t xml:space="preserve"> </w:t>
            </w:r>
          </w:p>
        </w:tc>
      </w:tr>
      <w:tr>
        <w:tc>
          <w:p>
            <w:pPr>
              <w:pStyle w:val="Compact"/>
            </w:pPr>
          </w:p>
        </w:tc>
        <w:tc>
          <w:p>
            <w:pPr>
              <w:pStyle w:val="Compact"/>
              <w:jc w:val="center"/>
            </w:pPr>
            <w:r>
              <w:t xml:space="preserve">Fuel price (US$/g)</w:t>
            </w:r>
          </w:p>
        </w:tc>
        <w:tc>
          <w:p>
            <w:pPr>
              <w:pStyle w:val="Compact"/>
              <w:jc w:val="center"/>
            </w:pPr>
            <w:r>
              <w:t xml:space="preserve">Wage (US $/hr)</w:t>
            </w:r>
          </w:p>
        </w:tc>
      </w:tr>
      <w:tr>
        <w:tc>
          <w:p>
            <w:pPr>
              <w:pStyle w:val="Compact"/>
              <w:jc w:val="center"/>
            </w:pPr>
            <w:r>
              <w:t xml:space="preserve">Anguilla</w:t>
            </w:r>
          </w:p>
        </w:tc>
        <w:tc>
          <w:p>
            <w:pPr>
              <w:pStyle w:val="Compact"/>
              <w:jc w:val="center"/>
            </w:pPr>
            <w:r>
              <w:t xml:space="preserve">1.27</w:t>
            </w:r>
          </w:p>
        </w:tc>
        <w:tc>
          <w:p>
            <w:pPr>
              <w:pStyle w:val="Compact"/>
              <w:jc w:val="center"/>
            </w:pPr>
            <w:r>
              <w:t xml:space="preserve">1.5</w:t>
            </w:r>
          </w:p>
        </w:tc>
      </w:tr>
      <w:tr>
        <w:tc>
          <w:p>
            <w:pPr>
              <w:pStyle w:val="Compact"/>
              <w:jc w:val="center"/>
            </w:pPr>
            <w:r>
              <w:t xml:space="preserve">Antigua and Barbuda</w:t>
            </w:r>
          </w:p>
        </w:tc>
        <w:tc>
          <w:p>
            <w:pPr>
              <w:pStyle w:val="Compact"/>
              <w:jc w:val="center"/>
            </w:pPr>
            <w:r>
              <w:t xml:space="preserve">1.02</w:t>
            </w:r>
          </w:p>
        </w:tc>
        <w:tc>
          <w:p>
            <w:pPr>
              <w:pStyle w:val="Compact"/>
              <w:jc w:val="center"/>
            </w:pPr>
            <w:r>
              <w:t xml:space="preserve">3.04</w:t>
            </w:r>
          </w:p>
        </w:tc>
      </w:tr>
      <w:tr>
        <w:tc>
          <w:p>
            <w:pPr>
              <w:pStyle w:val="Compact"/>
              <w:jc w:val="center"/>
            </w:pPr>
            <w:r>
              <w:t xml:space="preserve">Aruba</w:t>
            </w:r>
          </w:p>
        </w:tc>
        <w:tc>
          <w:p>
            <w:pPr>
              <w:pStyle w:val="Compact"/>
              <w:jc w:val="center"/>
            </w:pPr>
            <w:r>
              <w:t xml:space="preserve">0.99</w:t>
            </w:r>
          </w:p>
        </w:tc>
        <w:tc>
          <w:p>
            <w:pPr>
              <w:pStyle w:val="Compact"/>
              <w:jc w:val="center"/>
            </w:pPr>
            <w:r>
              <w:t xml:space="preserve">5.4</w:t>
            </w:r>
          </w:p>
        </w:tc>
      </w:tr>
      <w:tr>
        <w:tc>
          <w:p>
            <w:pPr>
              <w:pStyle w:val="Compact"/>
              <w:jc w:val="center"/>
            </w:pPr>
            <w:r>
              <w:t xml:space="preserve">Bahamas</w:t>
            </w:r>
          </w:p>
        </w:tc>
        <w:tc>
          <w:p>
            <w:pPr>
              <w:pStyle w:val="Compact"/>
              <w:jc w:val="center"/>
            </w:pPr>
            <w:r>
              <w:t xml:space="preserve">1.12</w:t>
            </w:r>
          </w:p>
        </w:tc>
        <w:tc>
          <w:p>
            <w:pPr>
              <w:pStyle w:val="Compact"/>
              <w:jc w:val="center"/>
            </w:pPr>
            <w:r>
              <w:t xml:space="preserve">5.25</w:t>
            </w:r>
          </w:p>
        </w:tc>
      </w:tr>
      <w:tr>
        <w:tc>
          <w:p>
            <w:pPr>
              <w:pStyle w:val="Compact"/>
              <w:jc w:val="center"/>
            </w:pPr>
            <w:r>
              <w:t xml:space="preserve">Barbados</w:t>
            </w:r>
          </w:p>
        </w:tc>
        <w:tc>
          <w:p>
            <w:pPr>
              <w:pStyle w:val="Compact"/>
              <w:jc w:val="center"/>
            </w:pPr>
            <w:r>
              <w:t xml:space="preserve">1.39</w:t>
            </w:r>
          </w:p>
        </w:tc>
        <w:tc>
          <w:p>
            <w:pPr>
              <w:pStyle w:val="Compact"/>
              <w:jc w:val="center"/>
            </w:pPr>
            <w:r>
              <w:t xml:space="preserve">3.13</w:t>
            </w:r>
          </w:p>
        </w:tc>
      </w:tr>
      <w:tr>
        <w:tc>
          <w:p>
            <w:pPr>
              <w:pStyle w:val="Compact"/>
              <w:jc w:val="center"/>
            </w:pPr>
            <w:r>
              <w:t xml:space="preserve">Bonaire</w:t>
            </w:r>
          </w:p>
        </w:tc>
        <w:tc>
          <w:p>
            <w:pPr>
              <w:pStyle w:val="Compact"/>
              <w:jc w:val="center"/>
            </w:pPr>
            <w:r>
              <w:t xml:space="preserve">1</w:t>
            </w:r>
          </w:p>
        </w:tc>
        <w:tc>
          <w:p>
            <w:pPr>
              <w:pStyle w:val="Compact"/>
              <w:jc w:val="center"/>
            </w:pPr>
            <w:r>
              <w:t xml:space="preserve">4.7</w:t>
            </w:r>
          </w:p>
        </w:tc>
      </w:tr>
      <w:tr>
        <w:tc>
          <w:p>
            <w:pPr>
              <w:pStyle w:val="Compact"/>
              <w:jc w:val="center"/>
            </w:pPr>
            <w:r>
              <w:t xml:space="preserve">British Virgin Islands</w:t>
            </w:r>
          </w:p>
        </w:tc>
        <w:tc>
          <w:p>
            <w:pPr>
              <w:pStyle w:val="Compact"/>
              <w:jc w:val="center"/>
            </w:pPr>
            <w:r>
              <w:t xml:space="preserve">0.89</w:t>
            </w:r>
          </w:p>
        </w:tc>
        <w:tc>
          <w:p>
            <w:pPr>
              <w:pStyle w:val="Compact"/>
              <w:jc w:val="center"/>
            </w:pPr>
            <w:r>
              <w:t xml:space="preserve">6</w:t>
            </w:r>
          </w:p>
        </w:tc>
      </w:tr>
      <w:tr>
        <w:tc>
          <w:p>
            <w:pPr>
              <w:pStyle w:val="Compact"/>
              <w:jc w:val="center"/>
            </w:pPr>
            <w:r>
              <w:t xml:space="preserve">Cayman Islands</w:t>
            </w:r>
          </w:p>
        </w:tc>
        <w:tc>
          <w:p>
            <w:pPr>
              <w:pStyle w:val="Compact"/>
              <w:jc w:val="center"/>
            </w:pPr>
            <w:r>
              <w:t xml:space="preserve">1.16</w:t>
            </w:r>
          </w:p>
        </w:tc>
        <w:tc>
          <w:p>
            <w:pPr>
              <w:pStyle w:val="Compact"/>
              <w:jc w:val="center"/>
            </w:pPr>
            <w:r>
              <w:t xml:space="preserve">7.32</w:t>
            </w:r>
          </w:p>
        </w:tc>
      </w:tr>
      <w:tr>
        <w:tc>
          <w:p>
            <w:pPr>
              <w:pStyle w:val="Compact"/>
              <w:jc w:val="center"/>
            </w:pPr>
            <w:r>
              <w:t xml:space="preserve">Collectivity of Saint Martin</w:t>
            </w:r>
          </w:p>
        </w:tc>
        <w:tc>
          <w:p>
            <w:pPr>
              <w:pStyle w:val="Compact"/>
              <w:jc w:val="center"/>
            </w:pPr>
            <w:r>
              <w:t xml:space="preserve">0.86</w:t>
            </w:r>
          </w:p>
        </w:tc>
        <w:tc>
          <w:p>
            <w:pPr>
              <w:pStyle w:val="Compact"/>
              <w:jc w:val="center"/>
            </w:pPr>
            <w:r>
              <w:t xml:space="preserve">0.05</w:t>
            </w:r>
          </w:p>
        </w:tc>
      </w:tr>
      <w:tr>
        <w:tc>
          <w:p>
            <w:pPr>
              <w:pStyle w:val="Compact"/>
              <w:jc w:val="center"/>
            </w:pPr>
            <w:r>
              <w:t xml:space="preserve">Cuba</w:t>
            </w:r>
          </w:p>
        </w:tc>
        <w:tc>
          <w:p>
            <w:pPr>
              <w:pStyle w:val="Compact"/>
              <w:jc w:val="center"/>
            </w:pPr>
            <w:r>
              <w:t xml:space="preserve">1.34</w:t>
            </w:r>
          </w:p>
        </w:tc>
        <w:tc>
          <w:p>
            <w:pPr>
              <w:pStyle w:val="Compact"/>
              <w:jc w:val="center"/>
            </w:pPr>
            <w:r>
              <w:t xml:space="preserve">4.58</w:t>
            </w:r>
          </w:p>
        </w:tc>
      </w:tr>
      <w:tr>
        <w:tc>
          <w:p>
            <w:pPr>
              <w:pStyle w:val="Compact"/>
              <w:jc w:val="center"/>
            </w:pPr>
            <w:r>
              <w:t xml:space="preserve">Curacao</w:t>
            </w:r>
          </w:p>
        </w:tc>
        <w:tc>
          <w:p>
            <w:pPr>
              <w:pStyle w:val="Compact"/>
              <w:jc w:val="center"/>
            </w:pPr>
            <w:r>
              <w:t xml:space="preserve">0.85</w:t>
            </w:r>
          </w:p>
        </w:tc>
        <w:tc>
          <w:p>
            <w:pPr>
              <w:pStyle w:val="Compact"/>
              <w:jc w:val="center"/>
            </w:pPr>
            <w:r>
              <w:t xml:space="preserve">1.5</w:t>
            </w:r>
          </w:p>
        </w:tc>
      </w:tr>
      <w:tr>
        <w:tc>
          <w:p>
            <w:pPr>
              <w:pStyle w:val="Compact"/>
              <w:jc w:val="center"/>
            </w:pPr>
            <w:r>
              <w:t xml:space="preserve">Dominica</w:t>
            </w:r>
          </w:p>
        </w:tc>
        <w:tc>
          <w:p>
            <w:pPr>
              <w:pStyle w:val="Compact"/>
              <w:jc w:val="center"/>
            </w:pPr>
            <w:r>
              <w:t xml:space="preserve">0.93</w:t>
            </w:r>
          </w:p>
        </w:tc>
        <w:tc>
          <w:p>
            <w:pPr>
              <w:pStyle w:val="Compact"/>
              <w:jc w:val="center"/>
            </w:pPr>
            <w:r>
              <w:t xml:space="preserve">0.41</w:t>
            </w:r>
          </w:p>
        </w:tc>
      </w:tr>
      <w:tr>
        <w:tc>
          <w:p>
            <w:pPr>
              <w:pStyle w:val="Compact"/>
              <w:jc w:val="center"/>
            </w:pPr>
            <w:r>
              <w:t xml:space="preserve">Dominican Republic</w:t>
            </w:r>
          </w:p>
        </w:tc>
        <w:tc>
          <w:p>
            <w:pPr>
              <w:pStyle w:val="Compact"/>
              <w:jc w:val="center"/>
            </w:pPr>
            <w:r>
              <w:t xml:space="preserve">1.19</w:t>
            </w:r>
          </w:p>
        </w:tc>
        <w:tc>
          <w:p>
            <w:pPr>
              <w:pStyle w:val="Compact"/>
              <w:jc w:val="center"/>
            </w:pPr>
            <w:r>
              <w:t xml:space="preserve">1.67</w:t>
            </w:r>
          </w:p>
        </w:tc>
      </w:tr>
      <w:tr>
        <w:tc>
          <w:p>
            <w:pPr>
              <w:pStyle w:val="Compact"/>
              <w:jc w:val="center"/>
            </w:pPr>
            <w:r>
              <w:t xml:space="preserve">Grenada</w:t>
            </w:r>
          </w:p>
        </w:tc>
        <w:tc>
          <w:p>
            <w:pPr>
              <w:pStyle w:val="Compact"/>
              <w:jc w:val="center"/>
            </w:pPr>
            <w:r>
              <w:t xml:space="preserve">1.17</w:t>
            </w:r>
          </w:p>
        </w:tc>
        <w:tc>
          <w:p>
            <w:pPr>
              <w:pStyle w:val="Compact"/>
              <w:jc w:val="center"/>
            </w:pPr>
            <w:r>
              <w:t xml:space="preserve">3.63</w:t>
            </w:r>
          </w:p>
        </w:tc>
      </w:tr>
      <w:tr>
        <w:tc>
          <w:p>
            <w:pPr>
              <w:pStyle w:val="Compact"/>
              <w:jc w:val="center"/>
            </w:pPr>
            <w:r>
              <w:t xml:space="preserve">Guadeloupe</w:t>
            </w:r>
          </w:p>
        </w:tc>
        <w:tc>
          <w:p>
            <w:pPr>
              <w:pStyle w:val="Compact"/>
              <w:jc w:val="center"/>
            </w:pPr>
            <w:r>
              <w:t xml:space="preserve">1.44</w:t>
            </w:r>
          </w:p>
        </w:tc>
        <w:tc>
          <w:p>
            <w:pPr>
              <w:pStyle w:val="Compact"/>
              <w:jc w:val="center"/>
            </w:pPr>
            <w:r>
              <w:t xml:space="preserve">0.31</w:t>
            </w:r>
          </w:p>
        </w:tc>
      </w:tr>
      <w:tr>
        <w:tc>
          <w:p>
            <w:pPr>
              <w:pStyle w:val="Compact"/>
              <w:jc w:val="center"/>
            </w:pPr>
            <w:r>
              <w:t xml:space="preserve">Haiti</w:t>
            </w:r>
          </w:p>
        </w:tc>
        <w:tc>
          <w:p>
            <w:pPr>
              <w:pStyle w:val="Compact"/>
              <w:jc w:val="center"/>
            </w:pPr>
            <w:r>
              <w:t xml:space="preserve">0.77</w:t>
            </w:r>
          </w:p>
        </w:tc>
        <w:tc>
          <w:p>
            <w:pPr>
              <w:pStyle w:val="Compact"/>
              <w:jc w:val="center"/>
            </w:pPr>
            <w:r>
              <w:t xml:space="preserve">1.33</w:t>
            </w:r>
          </w:p>
        </w:tc>
      </w:tr>
      <w:tr>
        <w:tc>
          <w:p>
            <w:pPr>
              <w:pStyle w:val="Compact"/>
              <w:jc w:val="center"/>
            </w:pPr>
            <w:r>
              <w:t xml:space="preserve">Jamaica</w:t>
            </w:r>
          </w:p>
        </w:tc>
        <w:tc>
          <w:p>
            <w:pPr>
              <w:pStyle w:val="Compact"/>
              <w:jc w:val="center"/>
            </w:pPr>
            <w:r>
              <w:t xml:space="preserve">0.92</w:t>
            </w:r>
          </w:p>
        </w:tc>
        <w:tc>
          <w:p>
            <w:pPr>
              <w:pStyle w:val="Compact"/>
              <w:jc w:val="center"/>
            </w:pPr>
            <w:r>
              <w:t xml:space="preserve">3.63</w:t>
            </w:r>
          </w:p>
        </w:tc>
      </w:tr>
      <w:tr>
        <w:tc>
          <w:p>
            <w:pPr>
              <w:pStyle w:val="Compact"/>
              <w:jc w:val="center"/>
            </w:pPr>
            <w:r>
              <w:t xml:space="preserve">Martinique</w:t>
            </w:r>
          </w:p>
        </w:tc>
        <w:tc>
          <w:p>
            <w:pPr>
              <w:pStyle w:val="Compact"/>
              <w:jc w:val="center"/>
            </w:pPr>
            <w:r>
              <w:t xml:space="preserve">1.49</w:t>
            </w:r>
          </w:p>
        </w:tc>
        <w:tc>
          <w:p>
            <w:pPr>
              <w:pStyle w:val="Compact"/>
              <w:jc w:val="center"/>
            </w:pPr>
            <w:r>
              <w:t xml:space="preserve">2.78</w:t>
            </w:r>
          </w:p>
        </w:tc>
      </w:tr>
      <w:tr>
        <w:tc>
          <w:p>
            <w:pPr>
              <w:pStyle w:val="Compact"/>
              <w:jc w:val="center"/>
            </w:pPr>
            <w:r>
              <w:t xml:space="preserve">Montserrat</w:t>
            </w:r>
          </w:p>
        </w:tc>
        <w:tc>
          <w:p>
            <w:pPr>
              <w:pStyle w:val="Compact"/>
              <w:jc w:val="center"/>
            </w:pPr>
            <w:r>
              <w:t xml:space="preserve">1.61</w:t>
            </w:r>
          </w:p>
        </w:tc>
        <w:tc>
          <w:p>
            <w:pPr>
              <w:pStyle w:val="Compact"/>
              <w:jc w:val="center"/>
            </w:pPr>
            <w:r>
              <w:t xml:space="preserve">7.25</w:t>
            </w:r>
          </w:p>
        </w:tc>
      </w:tr>
      <w:tr>
        <w:tc>
          <w:p>
            <w:pPr>
              <w:pStyle w:val="Compact"/>
              <w:jc w:val="center"/>
            </w:pPr>
            <w:r>
              <w:t xml:space="preserve">Puerto Rico</w:t>
            </w:r>
          </w:p>
        </w:tc>
        <w:tc>
          <w:p>
            <w:pPr>
              <w:pStyle w:val="Compact"/>
              <w:jc w:val="center"/>
            </w:pPr>
            <w:r>
              <w:t xml:space="preserve">0.7</w:t>
            </w:r>
          </w:p>
        </w:tc>
        <w:tc>
          <w:p>
            <w:pPr>
              <w:pStyle w:val="Compact"/>
              <w:jc w:val="center"/>
            </w:pPr>
            <w:r>
              <w:t xml:space="preserve">5.09</w:t>
            </w:r>
          </w:p>
        </w:tc>
      </w:tr>
      <w:tr>
        <w:tc>
          <w:p>
            <w:pPr>
              <w:pStyle w:val="Compact"/>
              <w:jc w:val="center"/>
            </w:pPr>
            <w:r>
              <w:t xml:space="preserve">Saba</w:t>
            </w:r>
          </w:p>
        </w:tc>
        <w:tc>
          <w:p>
            <w:pPr>
              <w:pStyle w:val="Compact"/>
              <w:jc w:val="center"/>
            </w:pPr>
            <w:r>
              <w:t xml:space="preserve">1.06</w:t>
            </w:r>
          </w:p>
        </w:tc>
        <w:tc>
          <w:p>
            <w:pPr>
              <w:pStyle w:val="Compact"/>
              <w:jc w:val="center"/>
            </w:pPr>
            <w:r>
              <w:t xml:space="preserve">2.96</w:t>
            </w:r>
          </w:p>
        </w:tc>
      </w:tr>
      <w:tr>
        <w:tc>
          <w:p>
            <w:pPr>
              <w:pStyle w:val="Compact"/>
              <w:jc w:val="center"/>
            </w:pPr>
            <w:r>
              <w:t xml:space="preserve">Saint Kitts and Nevis</w:t>
            </w:r>
          </w:p>
        </w:tc>
        <w:tc>
          <w:p>
            <w:pPr>
              <w:pStyle w:val="Compact"/>
              <w:jc w:val="center"/>
            </w:pPr>
            <w:r>
              <w:t xml:space="preserve">0.95</w:t>
            </w:r>
          </w:p>
        </w:tc>
        <w:tc>
          <w:p>
            <w:pPr>
              <w:pStyle w:val="Compact"/>
              <w:jc w:val="center"/>
            </w:pPr>
            <w:r>
              <w:t xml:space="preserve">1.85</w:t>
            </w:r>
          </w:p>
        </w:tc>
      </w:tr>
      <w:tr>
        <w:tc>
          <w:p>
            <w:pPr>
              <w:pStyle w:val="Compact"/>
              <w:jc w:val="center"/>
            </w:pPr>
            <w:r>
              <w:t xml:space="preserve">Saint Lucia</w:t>
            </w:r>
          </w:p>
        </w:tc>
        <w:tc>
          <w:p>
            <w:pPr>
              <w:pStyle w:val="Compact"/>
              <w:jc w:val="center"/>
            </w:pPr>
            <w:r>
              <w:t xml:space="preserve">0.89</w:t>
            </w:r>
          </w:p>
        </w:tc>
        <w:tc>
          <w:p>
            <w:pPr>
              <w:pStyle w:val="Compact"/>
              <w:jc w:val="center"/>
            </w:pPr>
            <w:r>
              <w:t xml:space="preserve">1.54</w:t>
            </w:r>
          </w:p>
        </w:tc>
      </w:tr>
      <w:tr>
        <w:tc>
          <w:p>
            <w:pPr>
              <w:pStyle w:val="Compact"/>
              <w:jc w:val="center"/>
            </w:pPr>
            <w:r>
              <w:t xml:space="preserve">Saint Vincent and the</w:t>
            </w:r>
            <w:r>
              <w:t xml:space="preserve"> </w:t>
            </w:r>
            <w:r>
              <w:t xml:space="preserve">Grenadines</w:t>
            </w:r>
          </w:p>
        </w:tc>
        <w:tc>
          <w:p>
            <w:pPr>
              <w:pStyle w:val="Compact"/>
              <w:jc w:val="center"/>
            </w:pPr>
            <w:r>
              <w:t xml:space="preserve">0.86</w:t>
            </w:r>
          </w:p>
        </w:tc>
        <w:tc>
          <w:p>
            <w:pPr>
              <w:pStyle w:val="Compact"/>
              <w:jc w:val="center"/>
            </w:pPr>
            <w:r>
              <w:t xml:space="preserve">3.63</w:t>
            </w:r>
          </w:p>
        </w:tc>
      </w:tr>
      <w:tr>
        <w:tc>
          <w:p>
            <w:pPr>
              <w:pStyle w:val="Compact"/>
              <w:jc w:val="center"/>
            </w:pPr>
            <w:r>
              <w:t xml:space="preserve">Saint-Barth_lemy</w:t>
            </w:r>
          </w:p>
        </w:tc>
        <w:tc>
          <w:p>
            <w:pPr>
              <w:pStyle w:val="Compact"/>
              <w:jc w:val="center"/>
            </w:pPr>
            <w:r>
              <w:t xml:space="preserve">1.06</w:t>
            </w:r>
          </w:p>
        </w:tc>
        <w:tc>
          <w:p>
            <w:pPr>
              <w:pStyle w:val="Compact"/>
              <w:jc w:val="center"/>
            </w:pPr>
            <w:r>
              <w:t xml:space="preserve">3.63</w:t>
            </w:r>
          </w:p>
        </w:tc>
      </w:tr>
      <w:tr>
        <w:tc>
          <w:p>
            <w:pPr>
              <w:pStyle w:val="Compact"/>
              <w:jc w:val="center"/>
            </w:pPr>
            <w:r>
              <w:t xml:space="preserve">Sint-Eustatius</w:t>
            </w:r>
          </w:p>
        </w:tc>
        <w:tc>
          <w:p>
            <w:pPr>
              <w:pStyle w:val="Compact"/>
              <w:jc w:val="center"/>
            </w:pPr>
            <w:r>
              <w:t xml:space="preserve">1.06</w:t>
            </w:r>
          </w:p>
        </w:tc>
        <w:tc>
          <w:p>
            <w:pPr>
              <w:pStyle w:val="Compact"/>
              <w:jc w:val="center"/>
            </w:pPr>
            <w:r>
              <w:t xml:space="preserve">5.14</w:t>
            </w:r>
          </w:p>
        </w:tc>
      </w:tr>
      <w:tr>
        <w:tc>
          <w:p>
            <w:pPr>
              <w:pStyle w:val="Compact"/>
              <w:jc w:val="center"/>
            </w:pPr>
            <w:r>
              <w:t xml:space="preserve">Sint-Maarten</w:t>
            </w:r>
          </w:p>
        </w:tc>
        <w:tc>
          <w:p>
            <w:pPr>
              <w:pStyle w:val="Compact"/>
              <w:jc w:val="center"/>
            </w:pPr>
            <w:r>
              <w:t xml:space="preserve">1.08</w:t>
            </w:r>
          </w:p>
        </w:tc>
        <w:tc>
          <w:p>
            <w:pPr>
              <w:pStyle w:val="Compact"/>
              <w:jc w:val="center"/>
            </w:pPr>
            <w:r>
              <w:t xml:space="preserve">4.9</w:t>
            </w:r>
          </w:p>
        </w:tc>
      </w:tr>
      <w:tr>
        <w:tc>
          <w:p>
            <w:pPr>
              <w:pStyle w:val="Compact"/>
              <w:jc w:val="center"/>
            </w:pPr>
            <w:r>
              <w:t xml:space="preserve">Trinidad and Tobago</w:t>
            </w:r>
          </w:p>
        </w:tc>
        <w:tc>
          <w:p>
            <w:pPr>
              <w:pStyle w:val="Compact"/>
              <w:jc w:val="center"/>
            </w:pPr>
            <w:r>
              <w:t xml:space="preserve">0.53</w:t>
            </w:r>
          </w:p>
        </w:tc>
        <w:tc>
          <w:p>
            <w:pPr>
              <w:pStyle w:val="Compact"/>
              <w:jc w:val="center"/>
            </w:pPr>
            <w:r>
              <w:t xml:space="preserve">2.21</w:t>
            </w:r>
          </w:p>
        </w:tc>
      </w:tr>
      <w:tr>
        <w:tc>
          <w:p>
            <w:pPr>
              <w:pStyle w:val="Compact"/>
              <w:jc w:val="center"/>
            </w:pPr>
            <w:r>
              <w:t xml:space="preserve">Turks and Caicos Islands</w:t>
            </w:r>
          </w:p>
        </w:tc>
        <w:tc>
          <w:p>
            <w:pPr>
              <w:pStyle w:val="Compact"/>
              <w:jc w:val="center"/>
            </w:pPr>
            <w:r>
              <w:t xml:space="preserve">1.28</w:t>
            </w:r>
          </w:p>
        </w:tc>
        <w:tc>
          <w:p>
            <w:pPr>
              <w:pStyle w:val="Compact"/>
              <w:jc w:val="center"/>
            </w:pPr>
            <w:r>
              <w:t xml:space="preserve">6.25</w:t>
            </w:r>
          </w:p>
        </w:tc>
      </w:tr>
      <w:tr>
        <w:tc>
          <w:p>
            <w:pPr>
              <w:pStyle w:val="Compact"/>
              <w:jc w:val="center"/>
            </w:pPr>
            <w:r>
              <w:t xml:space="preserve">United States Virgin Islands</w:t>
            </w:r>
          </w:p>
        </w:tc>
        <w:tc>
          <w:p>
            <w:pPr>
              <w:pStyle w:val="Compact"/>
              <w:jc w:val="center"/>
            </w:pPr>
            <w:r>
              <w:t xml:space="preserve">0.88</w:t>
            </w:r>
          </w:p>
        </w:tc>
        <w:tc>
          <w:p>
            <w:pPr>
              <w:pStyle w:val="Compact"/>
              <w:jc w:val="center"/>
            </w:pPr>
            <w:r>
              <w:t xml:space="preserve">8.35</w:t>
            </w:r>
          </w:p>
        </w:tc>
      </w:tr>
    </w:tbl>
    <w:p>
      <w:pPr>
        <w:pStyle w:val="TableCaption"/>
      </w:pPr>
      <w:r>
        <w:t xml:space="preserve">Table S2c. Sources of EEZ specific economic model parameters</w:t>
      </w:r>
    </w:p>
    <w:tbl>
      <w:tblPr>
        <w:tblStyle w:val="TableNormal"/>
        <w:tblW w:type="pct" w:w="5000.0"/>
        <w:tblLook w:firstRow="1"/>
        <w:tblCaption w:val="Table S2c. Sources of EEZ specific economic model parameters"/>
      </w:tblPr>
      <w:tblGrid>
        <w:gridCol w:w="594"/>
        <w:gridCol w:w="2473"/>
        <w:gridCol w:w="4851"/>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Fuel Price Source</w:t>
            </w:r>
          </w:p>
        </w:tc>
        <w:tc>
          <w:tcPr>
            <w:tcBorders>
              <w:bottom w:val="single"/>
            </w:tcBorders>
            <w:vAlign w:val="bottom"/>
          </w:tcPr>
          <w:p>
            <w:pPr>
              <w:pStyle w:val="Compact"/>
              <w:jc w:val="center"/>
            </w:pPr>
            <w:r>
              <w:t xml:space="preserve">Wage Source</w:t>
            </w:r>
          </w:p>
        </w:tc>
      </w:tr>
      <w:tr>
        <w:tc>
          <w:p>
            <w:pPr>
              <w:pStyle w:val="Compact"/>
              <w:jc w:val="center"/>
            </w:pPr>
            <w:r>
              <w:t xml:space="preserve">Anguilla</w:t>
            </w:r>
          </w:p>
        </w:tc>
        <w:tc>
          <w:p>
            <w:pPr>
              <w:pStyle w:val="Compact"/>
              <w:jc w:val="center"/>
            </w:pPr>
            <w:hyperlink r:id="rId42">
              <w:r>
                <w:rPr>
                  <w:rStyle w:val="Hyperlink"/>
                </w:rPr>
                <w:t xml:space="preserve">https://www.expatistan.com/cost-of-living/the-valley-anguilla?currency=USD</w:t>
              </w:r>
            </w:hyperlink>
          </w:p>
        </w:tc>
        <w:tc>
          <w:p>
            <w:pPr>
              <w:pStyle w:val="Compact"/>
              <w:jc w:val="center"/>
            </w:pPr>
            <w:hyperlink r:id="rId43">
              <w:r>
                <w:rPr>
                  <w:rStyle w:val="Hyperlink"/>
                </w:rPr>
                <w:t xml:space="preserve">https://books.google.com/books?id=fsB3DAAAQBAJ&amp;pg=PA27&amp;lpg=PA27&amp;dq=anguilla+minimum+wage&amp;source=bl&amp;ots=6sDxkXKjDB&amp;sig=gsUjbVP0mRBiQng5auLjv4VAqnU&amp;hl=en&amp;sa=X&amp;ved=0ahUKEwjs6sza3uDRAhVH3mMKHfdiCh04ChDoAQgZMAA#v=onepage&amp;q=anguilla%20minimum%20wage&amp;f=false</w:t>
              </w:r>
            </w:hyperlink>
          </w:p>
        </w:tc>
      </w:tr>
      <w:tr>
        <w:tc>
          <w:p>
            <w:pPr>
              <w:pStyle w:val="Compact"/>
              <w:jc w:val="center"/>
            </w:pPr>
            <w:r>
              <w:t xml:space="preserve">Antigua and Barbuda</w:t>
            </w:r>
          </w:p>
        </w:tc>
        <w:tc>
          <w:p>
            <w:pPr>
              <w:pStyle w:val="Compact"/>
              <w:jc w:val="center"/>
            </w:pPr>
            <w:hyperlink r:id="rId44">
              <w:r>
                <w:rPr>
                  <w:rStyle w:val="Hyperlink"/>
                </w:rPr>
                <w:t xml:space="preserve">http://www.globalpetrolprices.com/Antigua-and-Barbuda/gasoline_prices/</w:t>
              </w:r>
            </w:hyperlink>
          </w:p>
        </w:tc>
        <w:tc>
          <w:p>
            <w:pPr>
              <w:pStyle w:val="Compact"/>
              <w:jc w:val="center"/>
            </w:pPr>
            <w:hyperlink r:id="rId45">
              <w:r>
                <w:rPr>
                  <w:rStyle w:val="Hyperlink"/>
                </w:rPr>
                <w:t xml:space="preserve">http://antiguaobserver.com/minimum-wage-increase-takes-effect-in-november/</w:t>
              </w:r>
            </w:hyperlink>
          </w:p>
        </w:tc>
      </w:tr>
      <w:tr>
        <w:tc>
          <w:p>
            <w:pPr>
              <w:pStyle w:val="Compact"/>
              <w:jc w:val="center"/>
            </w:pPr>
            <w:r>
              <w:t xml:space="preserve">Aruba</w:t>
            </w:r>
          </w:p>
        </w:tc>
        <w:tc>
          <w:p>
            <w:pPr>
              <w:pStyle w:val="Compact"/>
              <w:jc w:val="center"/>
            </w:pPr>
            <w:hyperlink r:id="rId46">
              <w:r>
                <w:rPr>
                  <w:rStyle w:val="Hyperlink"/>
                </w:rPr>
                <w:t xml:space="preserve">http://www.globalpetrolprices.com/Aruba/gasoline_prices/</w:t>
              </w:r>
            </w:hyperlink>
          </w:p>
        </w:tc>
        <w:tc>
          <w:p>
            <w:pPr>
              <w:pStyle w:val="Compact"/>
              <w:jc w:val="center"/>
            </w:pPr>
            <w:hyperlink r:id="rId47">
              <w:r>
                <w:rPr>
                  <w:rStyle w:val="Hyperlink"/>
                </w:rPr>
                <w:t xml:space="preserve">http://www.loc.gov/law/foreign-news/article/aruba-increased-minimum-wage-and-wage-limit-for-benefits/</w:t>
              </w:r>
            </w:hyperlink>
          </w:p>
        </w:tc>
      </w:tr>
      <w:tr>
        <w:tc>
          <w:p>
            <w:pPr>
              <w:pStyle w:val="Compact"/>
              <w:jc w:val="center"/>
            </w:pPr>
            <w:r>
              <w:t xml:space="preserve">Bahamas</w:t>
            </w:r>
          </w:p>
        </w:tc>
        <w:tc>
          <w:p>
            <w:pPr>
              <w:pStyle w:val="Compact"/>
              <w:jc w:val="center"/>
            </w:pPr>
            <w:hyperlink r:id="rId48">
              <w:r>
                <w:rPr>
                  <w:rStyle w:val="Hyperlink"/>
                </w:rPr>
                <w:t xml:space="preserve">http://www.globalpetrolprices.com/Bahamas/gasoline_prices/</w:t>
              </w:r>
            </w:hyperlink>
          </w:p>
        </w:tc>
        <w:tc>
          <w:p>
            <w:pPr>
              <w:pStyle w:val="Compact"/>
              <w:jc w:val="center"/>
            </w:pPr>
            <w:hyperlink r:id="rId49">
              <w:r>
                <w:rPr>
                  <w:rStyle w:val="Hyperlink"/>
                </w:rPr>
                <w:t xml:space="preserve">http://www.jamaicaobserver.com/latestnews/Bahamas-Gov-t-increases-minimum-daily-wages</w:t>
              </w:r>
            </w:hyperlink>
          </w:p>
        </w:tc>
      </w:tr>
      <w:tr>
        <w:tc>
          <w:p>
            <w:pPr>
              <w:pStyle w:val="Compact"/>
              <w:jc w:val="center"/>
            </w:pPr>
            <w:r>
              <w:t xml:space="preserve">Barbados</w:t>
            </w:r>
          </w:p>
        </w:tc>
        <w:tc>
          <w:p>
            <w:pPr>
              <w:pStyle w:val="Compact"/>
              <w:jc w:val="center"/>
            </w:pPr>
            <w:hyperlink r:id="rId50">
              <w:r>
                <w:rPr>
                  <w:rStyle w:val="Hyperlink"/>
                </w:rPr>
                <w:t xml:space="preserve">http://www.globalpetrolprices.com/Barbados/gasoline_prices/</w:t>
              </w:r>
            </w:hyperlink>
          </w:p>
        </w:tc>
        <w:tc>
          <w:p>
            <w:pPr>
              <w:pStyle w:val="Compact"/>
              <w:jc w:val="center"/>
            </w:pPr>
            <w:hyperlink r:id="rId51">
              <w:r>
                <w:rPr>
                  <w:rStyle w:val="Hyperlink"/>
                </w:rPr>
                <w:t xml:space="preserve">https://www.state.gov/j/drl/rls/hrrpt/humanrightsreport/index.htm#wrapper</w:t>
              </w:r>
            </w:hyperlink>
          </w:p>
        </w:tc>
      </w:tr>
      <w:tr>
        <w:tc>
          <w:p>
            <w:pPr>
              <w:pStyle w:val="Compact"/>
              <w:jc w:val="center"/>
            </w:pPr>
            <w:r>
              <w:t xml:space="preserve">Bonaire</w:t>
            </w:r>
          </w:p>
        </w:tc>
        <w:tc>
          <w:p>
            <w:pPr>
              <w:pStyle w:val="Compact"/>
              <w:jc w:val="center"/>
            </w:pPr>
            <w:hyperlink r:id="rId52">
              <w:r>
                <w:rPr>
                  <w:rStyle w:val="Hyperlink"/>
                </w:rPr>
                <w:t xml:space="preserve">http://www.curoil.com/main/index.aspx</w:t>
              </w:r>
            </w:hyperlink>
          </w:p>
        </w:tc>
        <w:tc>
          <w:p>
            <w:pPr>
              <w:pStyle w:val="Compact"/>
              <w:jc w:val="center"/>
            </w:pPr>
            <w:hyperlink r:id="rId53">
              <w:r>
                <w:rPr>
                  <w:rStyle w:val="Hyperlink"/>
                </w:rPr>
                <w:t xml:space="preserve">http://www.doingbusinessdutchcaribbean.com/bonaire/employment/minimum-wages</w:t>
              </w:r>
            </w:hyperlink>
          </w:p>
        </w:tc>
      </w:tr>
      <w:tr>
        <w:tc>
          <w:p>
            <w:pPr>
              <w:pStyle w:val="Compact"/>
              <w:jc w:val="center"/>
            </w:pPr>
            <w:r>
              <w:t xml:space="preserve">British Virgin Islands</w:t>
            </w:r>
          </w:p>
        </w:tc>
        <w:tc>
          <w:p>
            <w:pPr>
              <w:pStyle w:val="Compact"/>
              <w:jc w:val="center"/>
            </w:pPr>
            <w:hyperlink r:id="rId54">
              <w:r>
                <w:rPr>
                  <w:rStyle w:val="Hyperlink"/>
                </w:rPr>
                <w:t xml:space="preserve">http://www.globalpetrolprices.com/British-Virgin-Islands/gasoline_prices/</w:t>
              </w:r>
            </w:hyperlink>
          </w:p>
        </w:tc>
        <w:tc>
          <w:p>
            <w:pPr>
              <w:pStyle w:val="Compact"/>
              <w:jc w:val="center"/>
            </w:pPr>
            <w:hyperlink r:id="rId55">
              <w:r>
                <w:rPr>
                  <w:rStyle w:val="Hyperlink"/>
                </w:rPr>
                <w:t xml:space="preserve">http://www.bvi.gov.vg/media-centre/minimum-wage-increase-effective-october-1</w:t>
              </w:r>
            </w:hyperlink>
          </w:p>
        </w:tc>
      </w:tr>
      <w:tr>
        <w:tc>
          <w:p>
            <w:pPr>
              <w:pStyle w:val="Compact"/>
              <w:jc w:val="center"/>
            </w:pPr>
            <w:r>
              <w:t xml:space="preserve">Cayman Islands</w:t>
            </w:r>
          </w:p>
        </w:tc>
        <w:tc>
          <w:p>
            <w:pPr>
              <w:pStyle w:val="Compact"/>
              <w:jc w:val="center"/>
            </w:pPr>
            <w:hyperlink r:id="rId56">
              <w:r>
                <w:rPr>
                  <w:rStyle w:val="Hyperlink"/>
                </w:rPr>
                <w:t xml:space="preserve">http://www.globalpetrolprices.com/Cayman-Islands/gasoline_prices/</w:t>
              </w:r>
            </w:hyperlink>
          </w:p>
        </w:tc>
        <w:tc>
          <w:p>
            <w:pPr>
              <w:pStyle w:val="Compact"/>
              <w:jc w:val="center"/>
            </w:pPr>
            <w:hyperlink r:id="rId57">
              <w:r>
                <w:rPr>
                  <w:rStyle w:val="Hyperlink"/>
                </w:rPr>
                <w:t xml:space="preserve">https://caymannewsservice.com/2016/02/cabinet-rubber-stamps-minimum-wage/</w:t>
              </w:r>
            </w:hyperlink>
          </w:p>
        </w:tc>
      </w:tr>
      <w:tr>
        <w:tc>
          <w:p>
            <w:pPr>
              <w:pStyle w:val="Compact"/>
              <w:jc w:val="center"/>
            </w:pPr>
            <w:r>
              <w:t xml:space="preserve">Collectivity of Saint Martin</w:t>
            </w:r>
          </w:p>
        </w:tc>
        <w:tc>
          <w:p>
            <w:pPr>
              <w:pStyle w:val="Compact"/>
              <w:jc w:val="center"/>
            </w:pPr>
            <w:hyperlink r:id="rId58">
              <w:r>
                <w:rPr>
                  <w:rStyle w:val="Hyperlink"/>
                </w:rPr>
                <w:t xml:space="preserve">http://www.sint-maarten.net/St-Maarten-IslandInfo/stmaarten_IslandInfo.html</w:t>
              </w:r>
            </w:hyperlink>
          </w:p>
        </w:tc>
        <w:tc>
          <w:p>
            <w:pPr>
              <w:pStyle w:val="Compact"/>
              <w:jc w:val="center"/>
            </w:pPr>
            <w:hyperlink r:id="rId59">
              <w:r>
                <w:rPr>
                  <w:rStyle w:val="Hyperlink"/>
                </w:rPr>
                <w:t xml:space="preserve">http://www.ecotripsos.com/lowestminimumwage/</w:t>
              </w:r>
            </w:hyperlink>
          </w:p>
        </w:tc>
      </w:tr>
      <w:tr>
        <w:tc>
          <w:p>
            <w:pPr>
              <w:pStyle w:val="Compact"/>
              <w:jc w:val="center"/>
            </w:pPr>
            <w:r>
              <w:t xml:space="preserve">Cuba</w:t>
            </w:r>
          </w:p>
        </w:tc>
        <w:tc>
          <w:p>
            <w:pPr>
              <w:pStyle w:val="Compact"/>
              <w:jc w:val="center"/>
            </w:pPr>
            <w:hyperlink r:id="rId60">
              <w:r>
                <w:rPr>
                  <w:rStyle w:val="Hyperlink"/>
                </w:rPr>
                <w:t xml:space="preserve">http://www.globalpetrolprices.com/Cuba/gasoline_prices/</w:t>
              </w:r>
            </w:hyperlink>
          </w:p>
        </w:tc>
        <w:tc>
          <w:p>
            <w:pPr>
              <w:pStyle w:val="Compact"/>
              <w:jc w:val="center"/>
            </w:pPr>
            <w:hyperlink r:id="rId61">
              <w:r>
                <w:rPr>
                  <w:rStyle w:val="Hyperlink"/>
                </w:rPr>
                <w:t xml:space="preserve">http://curacaochronicle.com/local/minimum-wages-adjusted/</w:t>
              </w:r>
            </w:hyperlink>
          </w:p>
        </w:tc>
      </w:tr>
      <w:tr>
        <w:tc>
          <w:p>
            <w:pPr>
              <w:pStyle w:val="Compact"/>
              <w:jc w:val="center"/>
            </w:pPr>
            <w:r>
              <w:t xml:space="preserve">Curacao</w:t>
            </w:r>
          </w:p>
        </w:tc>
        <w:tc>
          <w:p>
            <w:pPr>
              <w:pStyle w:val="Compact"/>
              <w:jc w:val="center"/>
            </w:pPr>
            <w:hyperlink r:id="rId52">
              <w:r>
                <w:rPr>
                  <w:rStyle w:val="Hyperlink"/>
                </w:rPr>
                <w:t xml:space="preserve">http://www.curoil.com/main/index.aspx</w:t>
              </w:r>
            </w:hyperlink>
          </w:p>
        </w:tc>
        <w:tc>
          <w:p>
            <w:pPr>
              <w:pStyle w:val="Compact"/>
              <w:jc w:val="center"/>
            </w:pPr>
            <w:hyperlink r:id="rId62">
              <w:r>
                <w:rPr>
                  <w:rStyle w:val="Hyperlink"/>
                </w:rPr>
                <w:t xml:space="preserve">http://dominicanewsonline.com/news/homepage/news/business/dominicas-minimum-wage-lowest-in-oecs-report/</w:t>
              </w:r>
            </w:hyperlink>
          </w:p>
        </w:tc>
      </w:tr>
      <w:tr>
        <w:tc>
          <w:p>
            <w:pPr>
              <w:pStyle w:val="Compact"/>
              <w:jc w:val="center"/>
            </w:pPr>
            <w:r>
              <w:t xml:space="preserve">Dominica</w:t>
            </w:r>
          </w:p>
        </w:tc>
        <w:tc>
          <w:p>
            <w:pPr>
              <w:pStyle w:val="Compact"/>
              <w:jc w:val="center"/>
            </w:pPr>
            <w:hyperlink r:id="rId63">
              <w:r>
                <w:rPr>
                  <w:rStyle w:val="Hyperlink"/>
                </w:rPr>
                <w:t xml:space="preserve">http://dominicanewsonline.com/news/homepage/news/business/gasoline-price-drops-below-10-biggest-fuel-price-drop-in-five-years/</w:t>
              </w:r>
            </w:hyperlink>
          </w:p>
        </w:tc>
        <w:tc>
          <w:p>
            <w:pPr>
              <w:pStyle w:val="Compact"/>
              <w:jc w:val="center"/>
            </w:pPr>
            <w:hyperlink r:id="rId51">
              <w:r>
                <w:rPr>
                  <w:rStyle w:val="Hyperlink"/>
                </w:rPr>
                <w:t xml:space="preserve">https://www.state.gov/j/drl/rls/hrrpt/humanrightsreport/index.htm#wrapper</w:t>
              </w:r>
            </w:hyperlink>
          </w:p>
        </w:tc>
      </w:tr>
      <w:tr>
        <w:tc>
          <w:p>
            <w:pPr>
              <w:pStyle w:val="Compact"/>
              <w:jc w:val="center"/>
            </w:pPr>
            <w:r>
              <w:t xml:space="preserve">Dominican Republic</w:t>
            </w:r>
          </w:p>
        </w:tc>
        <w:tc>
          <w:p>
            <w:pPr>
              <w:pStyle w:val="Compact"/>
              <w:jc w:val="center"/>
            </w:pPr>
            <w:hyperlink r:id="rId64">
              <w:r>
                <w:rPr>
                  <w:rStyle w:val="Hyperlink"/>
                </w:rPr>
                <w:t xml:space="preserve">http://www.globalpetrolprices.com/Dominican-Republic/gasoline_prices/</w:t>
              </w:r>
            </w:hyperlink>
          </w:p>
        </w:tc>
        <w:tc>
          <w:p>
            <w:pPr>
              <w:pStyle w:val="Compact"/>
              <w:jc w:val="center"/>
            </w:pPr>
            <w:hyperlink r:id="rId51">
              <w:r>
                <w:rPr>
                  <w:rStyle w:val="Hyperlink"/>
                </w:rPr>
                <w:t xml:space="preserve">https://www.state.gov/j/drl/rls/hrrpt/humanrightsreport/index.htm#wrapper</w:t>
              </w:r>
            </w:hyperlink>
          </w:p>
        </w:tc>
      </w:tr>
      <w:tr>
        <w:tc>
          <w:p>
            <w:pPr>
              <w:pStyle w:val="Compact"/>
              <w:jc w:val="center"/>
            </w:pPr>
            <w:r>
              <w:t xml:space="preserve">Grenada</w:t>
            </w:r>
          </w:p>
        </w:tc>
        <w:tc>
          <w:p>
            <w:pPr>
              <w:pStyle w:val="Compact"/>
              <w:jc w:val="center"/>
            </w:pPr>
            <w:hyperlink r:id="rId65">
              <w:r>
                <w:rPr>
                  <w:rStyle w:val="Hyperlink"/>
                </w:rPr>
                <w:t xml:space="preserve">http://www.globalpetrolprices.com/Grenada/gasoline_prices/</w:t>
              </w:r>
            </w:hyperlink>
          </w:p>
        </w:tc>
        <w:tc>
          <w:p>
            <w:pPr>
              <w:pStyle w:val="Compact"/>
              <w:jc w:val="center"/>
            </w:pPr>
            <w:r>
              <w:t xml:space="preserve">Average wage across all EEZs</w:t>
            </w:r>
          </w:p>
        </w:tc>
      </w:tr>
      <w:tr>
        <w:tc>
          <w:p>
            <w:pPr>
              <w:pStyle w:val="Compact"/>
              <w:jc w:val="center"/>
            </w:pPr>
            <w:r>
              <w:t xml:space="preserve">Guadeloupe</w:t>
            </w:r>
          </w:p>
        </w:tc>
        <w:tc>
          <w:p>
            <w:pPr>
              <w:pStyle w:val="Compact"/>
              <w:jc w:val="center"/>
            </w:pPr>
            <w:hyperlink r:id="rId66">
              <w:r>
                <w:rPr>
                  <w:rStyle w:val="Hyperlink"/>
                </w:rPr>
                <w:t xml:space="preserve">http://www.guadeloupe.pref.gouv.fr/Actualites/Revision-des-prix-des-produits-petroliers-en-Guadeloupe-novembre-2016</w:t>
              </w:r>
            </w:hyperlink>
          </w:p>
        </w:tc>
        <w:tc>
          <w:p>
            <w:pPr>
              <w:pStyle w:val="Compact"/>
              <w:jc w:val="center"/>
            </w:pPr>
            <w:hyperlink r:id="rId67">
              <w:r>
                <w:rPr>
                  <w:rStyle w:val="Hyperlink"/>
                </w:rPr>
                <w:t xml:space="preserve">http://www.haitilibre.com/en/news-10972-haiti-economy-everything-you-need-to-know-about-the-new-minimum-wage.html</w:t>
              </w:r>
            </w:hyperlink>
          </w:p>
        </w:tc>
      </w:tr>
      <w:tr>
        <w:tc>
          <w:p>
            <w:pPr>
              <w:pStyle w:val="Compact"/>
              <w:jc w:val="center"/>
            </w:pPr>
            <w:r>
              <w:t xml:space="preserve">Haiti</w:t>
            </w:r>
          </w:p>
        </w:tc>
        <w:tc>
          <w:p>
            <w:pPr>
              <w:pStyle w:val="Compact"/>
              <w:jc w:val="center"/>
            </w:pPr>
            <w:hyperlink r:id="rId68">
              <w:r>
                <w:rPr>
                  <w:rStyle w:val="Hyperlink"/>
                </w:rPr>
                <w:t xml:space="preserve">http://www.globalpetrolprices.com/Haiti/gasoline_prices/</w:t>
              </w:r>
            </w:hyperlink>
          </w:p>
        </w:tc>
        <w:tc>
          <w:p>
            <w:pPr>
              <w:pStyle w:val="Compact"/>
              <w:jc w:val="center"/>
            </w:pPr>
            <w:hyperlink r:id="rId69">
              <w:r>
                <w:rPr>
                  <w:rStyle w:val="Hyperlink"/>
                </w:rPr>
                <w:t xml:space="preserve">http://jis.gov.jm/minimum-wage-rates-effective-march-1/</w:t>
              </w:r>
            </w:hyperlink>
          </w:p>
        </w:tc>
      </w:tr>
      <w:tr>
        <w:tc>
          <w:p>
            <w:pPr>
              <w:pStyle w:val="Compact"/>
              <w:jc w:val="center"/>
            </w:pPr>
            <w:r>
              <w:t xml:space="preserve">Jamaica</w:t>
            </w:r>
          </w:p>
        </w:tc>
        <w:tc>
          <w:p>
            <w:pPr>
              <w:pStyle w:val="Compact"/>
              <w:jc w:val="center"/>
            </w:pPr>
            <w:hyperlink r:id="rId70">
              <w:r>
                <w:rPr>
                  <w:rStyle w:val="Hyperlink"/>
                </w:rPr>
                <w:t xml:space="preserve">http://www.globalpetrolprices.com/Jamaica/gasoline_prices/</w:t>
              </w:r>
            </w:hyperlink>
          </w:p>
        </w:tc>
        <w:tc>
          <w:p>
            <w:pPr>
              <w:pStyle w:val="Compact"/>
              <w:jc w:val="center"/>
            </w:pPr>
            <w:r>
              <w:t xml:space="preserve">Average wage across all EEZs</w:t>
            </w:r>
          </w:p>
        </w:tc>
      </w:tr>
      <w:tr>
        <w:tc>
          <w:p>
            <w:pPr>
              <w:pStyle w:val="Compact"/>
              <w:jc w:val="center"/>
            </w:pPr>
            <w:r>
              <w:t xml:space="preserve">Martinique</w:t>
            </w:r>
          </w:p>
        </w:tc>
        <w:tc>
          <w:p>
            <w:pPr>
              <w:pStyle w:val="Compact"/>
              <w:jc w:val="center"/>
            </w:pPr>
            <w:hyperlink r:id="rId71">
              <w:r>
                <w:rPr>
                  <w:rStyle w:val="Hyperlink"/>
                </w:rPr>
                <w:t xml:space="preserve">http://martinique.dieccte.gouv.fr/Derniere-revision-mensuelle</w:t>
              </w:r>
            </w:hyperlink>
          </w:p>
        </w:tc>
        <w:tc>
          <w:p>
            <w:pPr>
              <w:pStyle w:val="Compact"/>
              <w:jc w:val="center"/>
            </w:pPr>
            <w:hyperlink r:id="rId72">
              <w:r>
                <w:rPr>
                  <w:rStyle w:val="Hyperlink"/>
                </w:rPr>
                <w:t xml:space="preserve">http://www.caribank.org/uploads/2012/12/Montserrat-2009-vol-1_v7.pdf</w:t>
              </w:r>
            </w:hyperlink>
          </w:p>
        </w:tc>
      </w:tr>
      <w:tr>
        <w:tc>
          <w:p>
            <w:pPr>
              <w:pStyle w:val="Compact"/>
              <w:jc w:val="center"/>
            </w:pPr>
            <w:r>
              <w:t xml:space="preserve">Montserrat</w:t>
            </w:r>
          </w:p>
        </w:tc>
        <w:tc>
          <w:p>
            <w:pPr>
              <w:pStyle w:val="Compact"/>
              <w:jc w:val="center"/>
            </w:pPr>
            <w:hyperlink r:id="rId73">
              <w:r>
                <w:rPr>
                  <w:rStyle w:val="Hyperlink"/>
                </w:rPr>
                <w:t xml:space="preserve">https://www.stlucianewsonline.com/govt-announce-adjustment-in-fuel-prices/</w:t>
              </w:r>
            </w:hyperlink>
          </w:p>
        </w:tc>
        <w:tc>
          <w:p>
            <w:pPr>
              <w:pStyle w:val="Compact"/>
              <w:jc w:val="center"/>
            </w:pPr>
            <w:hyperlink r:id="rId74">
              <w:r>
                <w:rPr>
                  <w:rStyle w:val="Hyperlink"/>
                </w:rPr>
                <w:t xml:space="preserve">http://money.cnn.com/2016/03/31/investing/puerto-rico-congress-bill/</w:t>
              </w:r>
            </w:hyperlink>
          </w:p>
        </w:tc>
      </w:tr>
      <w:tr>
        <w:tc>
          <w:p>
            <w:pPr>
              <w:pStyle w:val="Compact"/>
              <w:jc w:val="center"/>
            </w:pPr>
            <w:r>
              <w:t xml:space="preserve">Puerto Rico</w:t>
            </w:r>
          </w:p>
        </w:tc>
        <w:tc>
          <w:p>
            <w:pPr>
              <w:pStyle w:val="Compact"/>
              <w:jc w:val="center"/>
            </w:pPr>
            <w:hyperlink r:id="rId75">
              <w:r>
                <w:rPr>
                  <w:rStyle w:val="Hyperlink"/>
                </w:rPr>
                <w:t xml:space="preserve">http://www.globalpetrolprices.com/Puerto-Rico/gasoline_prices/</w:t>
              </w:r>
            </w:hyperlink>
          </w:p>
        </w:tc>
        <w:tc>
          <w:p>
            <w:pPr>
              <w:pStyle w:val="Compact"/>
              <w:jc w:val="center"/>
            </w:pPr>
            <w:hyperlink r:id="rId76">
              <w:r>
                <w:rPr>
                  <w:rStyle w:val="Hyperlink"/>
                </w:rPr>
                <w:t xml:space="preserve">http://www.doingbusinessdutchcaribbean.com/saba/employment/minimum-wages</w:t>
              </w:r>
            </w:hyperlink>
          </w:p>
        </w:tc>
      </w:tr>
      <w:tr>
        <w:tc>
          <w:p>
            <w:pPr>
              <w:pStyle w:val="Compact"/>
              <w:jc w:val="center"/>
            </w:pPr>
            <w:r>
              <w:t xml:space="preserve">Saba</w:t>
            </w:r>
          </w:p>
        </w:tc>
        <w:tc>
          <w:p>
            <w:pPr>
              <w:pStyle w:val="Compact"/>
              <w:jc w:val="center"/>
            </w:pPr>
            <w:r>
              <w:t xml:space="preserve">Average fuel price across all</w:t>
            </w:r>
            <w:r>
              <w:t xml:space="preserve"> </w:t>
            </w:r>
            <w:r>
              <w:t xml:space="preserve">EEZs</w:t>
            </w:r>
          </w:p>
        </w:tc>
        <w:tc>
          <w:p>
            <w:pPr>
              <w:pStyle w:val="Compact"/>
              <w:jc w:val="center"/>
            </w:pPr>
            <w:hyperlink r:id="rId77">
              <w:r>
                <w:rPr>
                  <w:rStyle w:val="Hyperlink"/>
                </w:rPr>
                <w:t xml:space="preserve">https://www.stlucianewsonline.com/st-kitts-and-nevis-minimum-wage-highest-in-the-oecs-st-lucia-at-4/</w:t>
              </w:r>
            </w:hyperlink>
          </w:p>
        </w:tc>
      </w:tr>
      <w:tr>
        <w:tc>
          <w:p>
            <w:pPr>
              <w:pStyle w:val="Compact"/>
              <w:jc w:val="center"/>
            </w:pPr>
            <w:r>
              <w:t xml:space="preserve">Saint Kitts and Nevis</w:t>
            </w:r>
          </w:p>
        </w:tc>
        <w:tc>
          <w:p>
            <w:pPr>
              <w:pStyle w:val="Compact"/>
              <w:jc w:val="center"/>
            </w:pPr>
            <w:hyperlink r:id="rId78">
              <w:r>
                <w:rPr>
                  <w:rStyle w:val="Hyperlink"/>
                </w:rPr>
                <w:t xml:space="preserve">http://www.globalpetrolprices.com/Saint-Kitts-and-Nevis/gasoline_prices/</w:t>
              </w:r>
            </w:hyperlink>
          </w:p>
        </w:tc>
        <w:tc>
          <w:p>
            <w:pPr>
              <w:pStyle w:val="Compact"/>
              <w:jc w:val="center"/>
            </w:pPr>
            <w:hyperlink r:id="rId77">
              <w:r>
                <w:rPr>
                  <w:rStyle w:val="Hyperlink"/>
                </w:rPr>
                <w:t xml:space="preserve">https://www.stlucianewsonline.com/st-kitts-and-nevis-minimum-wage-highest-in-the-oecs-st-lucia-at-4/</w:t>
              </w:r>
            </w:hyperlink>
          </w:p>
        </w:tc>
      </w:tr>
      <w:tr>
        <w:tc>
          <w:p>
            <w:pPr>
              <w:pStyle w:val="Compact"/>
              <w:jc w:val="center"/>
            </w:pPr>
            <w:r>
              <w:t xml:space="preserve">Saint Lucia</w:t>
            </w:r>
          </w:p>
        </w:tc>
        <w:tc>
          <w:p>
            <w:pPr>
              <w:pStyle w:val="Compact"/>
              <w:jc w:val="center"/>
            </w:pPr>
            <w:hyperlink r:id="rId79">
              <w:r>
                <w:rPr>
                  <w:rStyle w:val="Hyperlink"/>
                </w:rPr>
                <w:t xml:space="preserve">http://www.globalpetrolprices.com/Saint-Lucia/gasoline_prices/</w:t>
              </w:r>
            </w:hyperlink>
          </w:p>
        </w:tc>
        <w:tc>
          <w:p>
            <w:pPr>
              <w:pStyle w:val="Compact"/>
              <w:jc w:val="center"/>
            </w:pPr>
            <w:hyperlink r:id="rId77">
              <w:r>
                <w:rPr>
                  <w:rStyle w:val="Hyperlink"/>
                </w:rPr>
                <w:t xml:space="preserve">https://www.stlucianewsonline.com/st-kitts-and-nevis-minimum-wage-highest-in-the-oecs-st-lucia-at-4/</w:t>
              </w:r>
            </w:hyperlink>
          </w:p>
        </w:tc>
      </w:tr>
      <w:tr>
        <w:tc>
          <w:p>
            <w:pPr>
              <w:pStyle w:val="Compact"/>
              <w:jc w:val="center"/>
            </w:pPr>
            <w:r>
              <w:t xml:space="preserve">Saint Vincent and the</w:t>
            </w:r>
            <w:r>
              <w:t xml:space="preserve"> </w:t>
            </w:r>
            <w:r>
              <w:t xml:space="preserve">Grenadines</w:t>
            </w:r>
          </w:p>
        </w:tc>
        <w:tc>
          <w:p>
            <w:pPr>
              <w:pStyle w:val="Compact"/>
              <w:jc w:val="center"/>
            </w:pPr>
            <w:hyperlink r:id="rId80">
              <w:r>
                <w:rPr>
                  <w:rStyle w:val="Hyperlink"/>
                </w:rPr>
                <w:t xml:space="preserve">http://www.globalpetrolprices.com/Saint-Vincent-and-the-Grenadines/gasoline_prices/</w:t>
              </w:r>
            </w:hyperlink>
          </w:p>
        </w:tc>
        <w:tc>
          <w:p>
            <w:pPr>
              <w:pStyle w:val="Compact"/>
              <w:jc w:val="center"/>
            </w:pPr>
            <w:r>
              <w:t xml:space="preserve">Average wage across all EEZs</w:t>
            </w:r>
          </w:p>
        </w:tc>
      </w:tr>
      <w:tr>
        <w:tc>
          <w:p>
            <w:pPr>
              <w:pStyle w:val="Compact"/>
              <w:jc w:val="center"/>
            </w:pPr>
            <w:r>
              <w:t xml:space="preserve">Saint-Barth_lemy</w:t>
            </w:r>
          </w:p>
        </w:tc>
        <w:tc>
          <w:p>
            <w:pPr>
              <w:pStyle w:val="Compact"/>
              <w:jc w:val="center"/>
            </w:pPr>
            <w:r>
              <w:t xml:space="preserve">Average fuel price across all</w:t>
            </w:r>
            <w:r>
              <w:t xml:space="preserve"> </w:t>
            </w:r>
            <w:r>
              <w:t xml:space="preserve">EEZs</w:t>
            </w:r>
          </w:p>
        </w:tc>
        <w:tc>
          <w:p>
            <w:pPr>
              <w:pStyle w:val="Compact"/>
              <w:jc w:val="center"/>
            </w:pPr>
            <w:r>
              <w:t xml:space="preserve">Average wage across all EEZs</w:t>
            </w:r>
          </w:p>
        </w:tc>
      </w:tr>
      <w:tr>
        <w:tc>
          <w:p>
            <w:pPr>
              <w:pStyle w:val="Compact"/>
              <w:jc w:val="center"/>
            </w:pPr>
            <w:r>
              <w:t xml:space="preserve">Sint-Eustatius</w:t>
            </w:r>
          </w:p>
        </w:tc>
        <w:tc>
          <w:p>
            <w:pPr>
              <w:pStyle w:val="Compact"/>
              <w:jc w:val="center"/>
            </w:pPr>
            <w:r>
              <w:t xml:space="preserve">Average fuel price across all</w:t>
            </w:r>
            <w:r>
              <w:t xml:space="preserve"> </w:t>
            </w:r>
            <w:r>
              <w:t xml:space="preserve">EEZs</w:t>
            </w:r>
          </w:p>
        </w:tc>
        <w:tc>
          <w:p>
            <w:pPr>
              <w:pStyle w:val="Compact"/>
              <w:jc w:val="center"/>
            </w:pPr>
            <w:hyperlink r:id="rId81">
              <w:r>
                <w:rPr>
                  <w:rStyle w:val="Hyperlink"/>
                </w:rPr>
                <w:t xml:space="preserve">http://www.doingbusinessdutchcaribbean.com/st-eustatius/employment/minimum-wages</w:t>
              </w:r>
            </w:hyperlink>
          </w:p>
        </w:tc>
      </w:tr>
      <w:tr>
        <w:tc>
          <w:p>
            <w:pPr>
              <w:pStyle w:val="Compact"/>
              <w:jc w:val="center"/>
            </w:pPr>
            <w:r>
              <w:t xml:space="preserve">Sint-Maarten</w:t>
            </w:r>
          </w:p>
        </w:tc>
        <w:tc>
          <w:p>
            <w:pPr>
              <w:pStyle w:val="Compact"/>
              <w:jc w:val="center"/>
            </w:pPr>
            <w:hyperlink r:id="rId82">
              <w:r>
                <w:rPr>
                  <w:rStyle w:val="Hyperlink"/>
                </w:rPr>
                <w:t xml:space="preserve">http://smn-news.com/st-maarten-st-martin-news/18471-fuel-price-changed.html</w:t>
              </w:r>
            </w:hyperlink>
          </w:p>
        </w:tc>
        <w:tc>
          <w:p>
            <w:pPr>
              <w:pStyle w:val="Compact"/>
              <w:jc w:val="center"/>
            </w:pPr>
            <w:hyperlink r:id="rId83">
              <w:r>
                <w:rPr>
                  <w:rStyle w:val="Hyperlink"/>
                </w:rPr>
                <w:t xml:space="preserve">http://www.doingbusinessdutchcaribbean.com/st-maarten/employment/minimum-wages</w:t>
              </w:r>
            </w:hyperlink>
          </w:p>
        </w:tc>
      </w:tr>
      <w:tr>
        <w:tc>
          <w:p>
            <w:pPr>
              <w:pStyle w:val="Compact"/>
              <w:jc w:val="center"/>
            </w:pPr>
            <w:r>
              <w:t xml:space="preserve">Trinidad and Tobago</w:t>
            </w:r>
          </w:p>
        </w:tc>
        <w:tc>
          <w:p>
            <w:pPr>
              <w:pStyle w:val="Compact"/>
              <w:jc w:val="center"/>
            </w:pPr>
            <w:hyperlink r:id="rId84">
              <w:r>
                <w:rPr>
                  <w:rStyle w:val="Hyperlink"/>
                </w:rPr>
                <w:t xml:space="preserve">http://www.globalpetrolprices.com/Trinidad-and-Tobago/gasoline_prices/</w:t>
              </w:r>
            </w:hyperlink>
          </w:p>
        </w:tc>
        <w:tc>
          <w:p>
            <w:pPr>
              <w:pStyle w:val="Compact"/>
              <w:jc w:val="center"/>
            </w:pPr>
            <w:hyperlink r:id="rId85">
              <w:r>
                <w:rPr>
                  <w:rStyle w:val="Hyperlink"/>
                </w:rPr>
                <w:t xml:space="preserve">http://www.newsday.co.tt/news/0,204964.html</w:t>
              </w:r>
            </w:hyperlink>
          </w:p>
        </w:tc>
      </w:tr>
      <w:tr>
        <w:tc>
          <w:p>
            <w:pPr>
              <w:pStyle w:val="Compact"/>
              <w:jc w:val="center"/>
            </w:pPr>
            <w:r>
              <w:t xml:space="preserve">Turks and Caicos Islands</w:t>
            </w:r>
          </w:p>
        </w:tc>
        <w:tc>
          <w:p>
            <w:pPr>
              <w:pStyle w:val="Compact"/>
              <w:jc w:val="center"/>
            </w:pPr>
            <w:hyperlink r:id="rId86">
              <w:r>
                <w:rPr>
                  <w:rStyle w:val="Hyperlink"/>
                </w:rPr>
                <w:t xml:space="preserve">https://activecaptain.com/fuelLists/fuelIndexROW.php?co=TC&amp;sort=gas</w:t>
              </w:r>
            </w:hyperlink>
          </w:p>
        </w:tc>
        <w:tc>
          <w:p>
            <w:pPr>
              <w:pStyle w:val="Compact"/>
              <w:jc w:val="center"/>
            </w:pPr>
            <w:hyperlink r:id="rId87">
              <w:r>
                <w:rPr>
                  <w:rStyle w:val="Hyperlink"/>
                </w:rPr>
                <w:t xml:space="preserve">http://magneticmediatv.com/2015/05/minimum-wage-in-effect-for-turks-and-caicos/</w:t>
              </w:r>
            </w:hyperlink>
          </w:p>
        </w:tc>
      </w:tr>
      <w:tr>
        <w:tc>
          <w:p>
            <w:pPr>
              <w:pStyle w:val="Compact"/>
              <w:jc w:val="center"/>
            </w:pPr>
            <w:r>
              <w:t xml:space="preserve">United States Virgin Islands</w:t>
            </w:r>
          </w:p>
        </w:tc>
        <w:tc>
          <w:p>
            <w:pPr>
              <w:pStyle w:val="Compact"/>
              <w:jc w:val="center"/>
            </w:pPr>
            <w:hyperlink r:id="rId88">
              <w:r>
                <w:rPr>
                  <w:rStyle w:val="Hyperlink"/>
                </w:rPr>
                <w:t xml:space="preserve">https://secure.dlca.vi.gov/license/Asps/NewsSurvey/RenderDoc.aspx?id=%20147&amp;ftype=PDF#toolbar=1&amp;navpanes=1&amp;scrollbar=0</w:t>
              </w:r>
            </w:hyperlink>
          </w:p>
        </w:tc>
        <w:tc>
          <w:p>
            <w:pPr>
              <w:pStyle w:val="Compact"/>
              <w:jc w:val="center"/>
            </w:pPr>
            <w:hyperlink r:id="rId89">
              <w:r>
                <w:rPr>
                  <w:rStyle w:val="Hyperlink"/>
                </w:rPr>
                <w:t xml:space="preserve">http://viconsortium.com/breaking-news/minimum-wage-increase-8-35-takes-effect-u-s-virgin-islands/</w:t>
              </w:r>
            </w:hyperlink>
          </w:p>
        </w:tc>
      </w:tr>
    </w:tbl>
    <w:p>
      <w:pPr>
        <w:pStyle w:val="TableCaption"/>
      </w:pPr>
      <w:r>
        <w:t xml:space="preserve">Table S3. Suitable area available for potential offshore mariculture development for each spaital data layer used in our suitability analysis</w:t>
      </w:r>
    </w:p>
    <w:tbl>
      <w:tblPr>
        <w:tblStyle w:val="TableNormal"/>
        <w:tblW w:type="pct" w:w="4861.111111111111"/>
        <w:tblLook w:firstRow="1"/>
        <w:tblCaption w:val="Table S3. Suitable area available for potential offshore mariculture development for each spaital data layer used in our suitability analysis"/>
      </w:tblPr>
      <w:tblGrid>
        <w:gridCol w:w="440"/>
        <w:gridCol w:w="2750"/>
        <w:gridCol w:w="2530"/>
        <w:gridCol w:w="1980"/>
      </w:tblGrid>
      <w:tr>
        <w:trPr>
          <w:cnfStyle w:firstRow="1"/>
        </w:trPr>
        <w:tc>
          <w:tcPr>
            <w:tcBorders>
              <w:bottom w:val="single"/>
            </w:tcBorders>
            <w:vAlign w:val="bottom"/>
          </w:tcPr>
          <w:p>
            <w:pPr>
              <w:pStyle w:val="Compact"/>
              <w:jc w:val="center"/>
            </w:pPr>
            <w:r>
              <w:t xml:space="preserve">X</w:t>
            </w:r>
          </w:p>
        </w:tc>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Suitable.Area..km.2.</w:t>
            </w:r>
          </w:p>
        </w:tc>
        <w:tc>
          <w:tcPr>
            <w:tcBorders>
              <w:bottom w:val="single"/>
            </w:tcBorders>
            <w:vAlign w:val="bottom"/>
          </w:tcPr>
          <w:p>
            <w:pPr>
              <w:pStyle w:val="Compact"/>
              <w:jc w:val="center"/>
            </w:pPr>
            <w:r>
              <w:t xml:space="preserve">X..of.Study.Area</w:t>
            </w:r>
          </w:p>
        </w:tc>
      </w:tr>
      <w:tr>
        <w:tc>
          <w:p>
            <w:pPr>
              <w:pStyle w:val="Compact"/>
              <w:jc w:val="center"/>
            </w:pPr>
            <w:r>
              <w:t xml:space="preserve">1</w:t>
            </w:r>
          </w:p>
        </w:tc>
        <w:tc>
          <w:p>
            <w:pPr>
              <w:pStyle w:val="Compact"/>
              <w:jc w:val="center"/>
            </w:pPr>
            <w:r>
              <w:t xml:space="preserve">Study area</w:t>
            </w:r>
          </w:p>
        </w:tc>
        <w:tc>
          <w:p>
            <w:pPr>
              <w:pStyle w:val="Compact"/>
              <w:jc w:val="center"/>
            </w:pPr>
            <w:r>
              <w:t xml:space="preserve">3e+06</w:t>
            </w:r>
          </w:p>
        </w:tc>
        <w:tc>
          <w:p>
            <w:pPr>
              <w:pStyle w:val="Compact"/>
              <w:jc w:val="center"/>
            </w:pPr>
            <w:r>
              <w:t xml:space="preserve">100</w:t>
            </w:r>
          </w:p>
        </w:tc>
      </w:tr>
      <w:tr>
        <w:tc>
          <w:p>
            <w:pPr>
              <w:pStyle w:val="Compact"/>
              <w:jc w:val="center"/>
            </w:pPr>
            <w:r>
              <w:t xml:space="preserve">2</w:t>
            </w:r>
          </w:p>
        </w:tc>
        <w:tc>
          <w:p>
            <w:pPr>
              <w:pStyle w:val="Compact"/>
              <w:jc w:val="center"/>
            </w:pPr>
            <w:r>
              <w:t xml:space="preserve">Oil platform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3</w:t>
            </w:r>
          </w:p>
        </w:tc>
        <w:tc>
          <w:p>
            <w:pPr>
              <w:pStyle w:val="Compact"/>
              <w:jc w:val="center"/>
            </w:pPr>
            <w:r>
              <w:t xml:space="preserve">Coral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4</w:t>
            </w:r>
          </w:p>
        </w:tc>
        <w:tc>
          <w:p>
            <w:pPr>
              <w:pStyle w:val="Compact"/>
              <w:jc w:val="center"/>
            </w:pPr>
            <w:r>
              <w:t xml:space="preserve">Current speed</w:t>
            </w:r>
          </w:p>
        </w:tc>
        <w:tc>
          <w:p>
            <w:pPr>
              <w:pStyle w:val="Compact"/>
              <w:jc w:val="center"/>
            </w:pPr>
            <w:r>
              <w:t xml:space="preserve">2811562</w:t>
            </w:r>
          </w:p>
        </w:tc>
        <w:tc>
          <w:p>
            <w:pPr>
              <w:pStyle w:val="Compact"/>
              <w:jc w:val="center"/>
            </w:pPr>
            <w:r>
              <w:t xml:space="preserve">95</w:t>
            </w:r>
          </w:p>
        </w:tc>
      </w:tr>
      <w:tr>
        <w:tc>
          <w:p>
            <w:pPr>
              <w:pStyle w:val="Compact"/>
              <w:jc w:val="center"/>
            </w:pPr>
            <w:r>
              <w:t xml:space="preserve">5</w:t>
            </w:r>
          </w:p>
        </w:tc>
        <w:tc>
          <w:p>
            <w:pPr>
              <w:pStyle w:val="Compact"/>
              <w:jc w:val="center"/>
            </w:pPr>
            <w:r>
              <w:t xml:space="preserve">MPA presence</w:t>
            </w:r>
          </w:p>
        </w:tc>
        <w:tc>
          <w:p>
            <w:pPr>
              <w:pStyle w:val="Compact"/>
              <w:jc w:val="center"/>
            </w:pPr>
            <w:r>
              <w:t xml:space="preserve">2779548</w:t>
            </w:r>
          </w:p>
        </w:tc>
        <w:tc>
          <w:p>
            <w:pPr>
              <w:pStyle w:val="Compact"/>
              <w:jc w:val="center"/>
            </w:pPr>
            <w:r>
              <w:t xml:space="preserve">94</w:t>
            </w:r>
          </w:p>
        </w:tc>
      </w:tr>
      <w:tr>
        <w:tc>
          <w:p>
            <w:pPr>
              <w:pStyle w:val="Compact"/>
              <w:jc w:val="center"/>
            </w:pPr>
            <w:r>
              <w:t xml:space="preserve">6</w:t>
            </w:r>
          </w:p>
        </w:tc>
        <w:tc>
          <w:p>
            <w:pPr>
              <w:pStyle w:val="Compact"/>
              <w:jc w:val="center"/>
            </w:pPr>
            <w:r>
              <w:t xml:space="preserve">High shipping activity</w:t>
            </w:r>
          </w:p>
        </w:tc>
        <w:tc>
          <w:p>
            <w:pPr>
              <w:pStyle w:val="Compact"/>
              <w:jc w:val="center"/>
            </w:pPr>
            <w:r>
              <w:t xml:space="preserve">2641628</w:t>
            </w:r>
          </w:p>
        </w:tc>
        <w:tc>
          <w:p>
            <w:pPr>
              <w:pStyle w:val="Compact"/>
              <w:jc w:val="center"/>
            </w:pPr>
            <w:r>
              <w:t xml:space="preserve">89</w:t>
            </w:r>
          </w:p>
        </w:tc>
      </w:tr>
      <w:tr>
        <w:tc>
          <w:p>
            <w:pPr>
              <w:pStyle w:val="Compact"/>
              <w:jc w:val="center"/>
            </w:pPr>
            <w:r>
              <w:t xml:space="preserve">7</w:t>
            </w:r>
          </w:p>
        </w:tc>
        <w:tc>
          <w:p>
            <w:pPr>
              <w:pStyle w:val="Compact"/>
              <w:jc w:val="center"/>
            </w:pPr>
            <w:r>
              <w:t xml:space="preserve">Depth</w:t>
            </w:r>
          </w:p>
        </w:tc>
        <w:tc>
          <w:p>
            <w:pPr>
              <w:pStyle w:val="Compact"/>
              <w:jc w:val="center"/>
            </w:pPr>
            <w:r>
              <w:t xml:space="preserve">63753</w:t>
            </w:r>
          </w:p>
        </w:tc>
        <w:tc>
          <w:p>
            <w:pPr>
              <w:pStyle w:val="Compact"/>
              <w:jc w:val="center"/>
            </w:pPr>
            <w:r>
              <w:t xml:space="preserve">2.1</w:t>
            </w:r>
          </w:p>
        </w:tc>
      </w:tr>
      <w:tr>
        <w:tc>
          <w:p>
            <w:pPr>
              <w:pStyle w:val="Compact"/>
              <w:jc w:val="center"/>
            </w:pPr>
            <w:r>
              <w:t xml:space="preserve">8</w:t>
            </w:r>
          </w:p>
        </w:tc>
        <w:tc>
          <w:p>
            <w:pPr>
              <w:pStyle w:val="Compact"/>
              <w:jc w:val="center"/>
            </w:pPr>
            <w:r>
              <w:t xml:space="preserve">Final suitable area</w:t>
            </w:r>
          </w:p>
        </w:tc>
        <w:tc>
          <w:p>
            <w:pPr>
              <w:pStyle w:val="Compact"/>
              <w:jc w:val="center"/>
            </w:pPr>
            <w:r>
              <w:t xml:space="preserve">50381</w:t>
            </w:r>
          </w:p>
        </w:tc>
        <w:tc>
          <w:p>
            <w:pPr>
              <w:pStyle w:val="Compact"/>
              <w:jc w:val="center"/>
            </w:pPr>
            <w:r>
              <w:t xml:space="preserve">1.7</w:t>
            </w:r>
          </w:p>
        </w:tc>
      </w:tr>
    </w:tbl>
    <w:p>
      <w:pPr>
        <w:pStyle w:val="Heading1"/>
      </w:pPr>
      <w:bookmarkStart w:id="90" w:name="references"/>
      <w:bookmarkEnd w:id="90"/>
      <w:r>
        <w:t xml:space="preserve">References</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91">
        <w:r>
          <w:rPr>
            <w:rStyle w:val="Hyperlink"/>
          </w:rPr>
          <w:t xml:space="preserve">10.1016/j.aquaculture.2013.05.020</w:t>
        </w:r>
      </w:hyperlink>
      <w:r>
        <w:t xml:space="preserve">.</w:t>
      </w:r>
    </w:p>
    <w:p>
      <w:pPr>
        <w:pStyle w:val="Bibliography"/>
      </w:pPr>
      <w:r>
        <w:t xml:space="preserve">Becker, J. J., D. T. Sandwell, W. H. F. Smith, J. Braud, B. Binder, J. Depner, D. Fabre, et al. 2009. “Global Bathymetry and Elevation Data at 30 Arc Seconds Resolution: SRTM30_PLUS.”</w:t>
      </w:r>
      <w:r>
        <w:t xml:space="preserve"> </w:t>
      </w:r>
      <w:r>
        <w:rPr>
          <w:i/>
        </w:rPr>
        <w:t xml:space="preserve">Marine Geodesy</w:t>
      </w:r>
      <w:r>
        <w:t xml:space="preserve"> </w:t>
      </w:r>
      <w:r>
        <w:t xml:space="preserve">32 (4): 355–71. doi:</w:t>
      </w:r>
      <w:hyperlink r:id="rId92">
        <w:r>
          <w:rPr>
            <w:rStyle w:val="Hyperlink"/>
          </w:rPr>
          <w:t xml:space="preserve">10.1080/01490410903297766</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93">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94">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95">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96">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ESR. 2009. “OSCAR Third Degree Resolution Ocean Surface Currents.” NASA Physical Oceanography DAAC. doi:</w:t>
      </w:r>
      <w:hyperlink r:id="rId97">
        <w:r>
          <w:rPr>
            <w:rStyle w:val="Hyperlink"/>
          </w:rPr>
          <w:t xml:space="preserve">10.5067/OSCAR-03D01</w:t>
        </w:r>
      </w:hyperlink>
      <w:r>
        <w:t xml:space="preserve">.</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98">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99">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100">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101">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102">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Hernández-Rodríguez, Armando, César Alceste-Oliviero, Roselena Sanchez, Darryl Jory, Lidia Vidal, and Luis-Fernando Constain-Franco. 2001. “Aquaculture Development Trends in Latin America and the Caribbean.” In</w:t>
      </w:r>
      <w:r>
        <w:t xml:space="preserve"> </w:t>
      </w:r>
      <w:r>
        <w:rPr>
          <w:i/>
        </w:rPr>
        <w:t xml:space="preserve">Proceedings Fo the Conference on Aquaculture in the Third Millennium</w:t>
      </w:r>
      <w:r>
        <w:t xml:space="preserve">, 317–40. Bangkok, Thailand: NACA/FAO.</w:t>
      </w:r>
    </w:p>
    <w:p>
      <w:pPr>
        <w:pStyle w:val="Bibliography"/>
      </w:pPr>
      <w:r>
        <w:t xml:space="preserve">Holmer, M. 2010. “Environmental Issues of Fish Farming in Offshore Waters: Perspectives, Concerns and Research Needs.”</w:t>
      </w:r>
      <w:r>
        <w:t xml:space="preserve"> </w:t>
      </w:r>
      <w:r>
        <w:rPr>
          <w:i/>
        </w:rPr>
        <w:t xml:space="preserve">Aquaculture Environment Interactions</w:t>
      </w:r>
      <w:r>
        <w:t xml:space="preserve"> </w:t>
      </w:r>
      <w:r>
        <w:t xml:space="preserve">1 (1): 57–70. doi:</w:t>
      </w:r>
      <w:hyperlink r:id="rId103">
        <w:r>
          <w:rPr>
            <w:rStyle w:val="Hyperlink"/>
          </w:rPr>
          <w:t xml:space="preserve">10.3354/aei00007</w:t>
        </w:r>
      </w:hyperlink>
      <w:r>
        <w:t xml:space="preserve">.</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104">
        <w:r>
          <w:rPr>
            <w:rStyle w:val="Hyperlink"/>
          </w:rPr>
          <w:t xml:space="preserve">10.1007/s10499-010-9391-y</w:t>
        </w:r>
      </w:hyperlink>
      <w:r>
        <w:t xml:space="preserve">.</w:t>
      </w:r>
    </w:p>
    <w:p>
      <w:pPr>
        <w:pStyle w:val="Bibliography"/>
      </w:pPr>
      <w:r>
        <w:t xml:space="preserve">IUCN, and UNEP-WCMC. 2017. “IUCN and UNEP-WCMC (2017), the World Database on Protected Areas (WDPA) [on-Line], [January 2017], Cambridge, UK: UNEP-WCMC.”</w:t>
      </w:r>
      <w:r>
        <w:t xml:space="preserve"> </w:t>
      </w:r>
      <w:r>
        <w:rPr>
          <w:i/>
        </w:rPr>
        <w:t xml:space="preserve">Protected Planet</w:t>
      </w:r>
      <w:r>
        <w:t xml:space="preserve">. https://www.protectedplanet.net/c/terms-and-conditions.</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Klinger, Dane H., Simon A. Levin, and James R. Watson. 2017. “The Growth of Finfish in Global Open-Ocean Aquaculture Under Climate Change.”</w:t>
      </w:r>
      <w:r>
        <w:t xml:space="preserve"> </w:t>
      </w:r>
      <w:r>
        <w:rPr>
          <w:i/>
        </w:rPr>
        <w:t xml:space="preserve">Proc. R. Soc. B</w:t>
      </w:r>
      <w:r>
        <w:t xml:space="preserve"> </w:t>
      </w:r>
      <w:r>
        <w:t xml:space="preserve">284 (1864): 20170834. doi:</w:t>
      </w:r>
      <w:hyperlink r:id="rId105">
        <w:r>
          <w:rPr>
            <w:rStyle w:val="Hyperlink"/>
          </w:rPr>
          <w:t xml:space="preserve">10.1098/rspb.2017.0834</w:t>
        </w:r>
      </w:hyperlink>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106">
        <w:r>
          <w:rPr>
            <w:rStyle w:val="Hyperlink"/>
          </w:rPr>
          <w:t xml:space="preserve">10.1080/13657305.2015.994240</w:t>
        </w:r>
      </w:hyperlink>
      <w:r>
        <w:t xml:space="preserve">.</w:t>
      </w:r>
    </w:p>
    <w:p>
      <w:pPr>
        <w:pStyle w:val="Bibliography"/>
      </w:pPr>
      <w:r>
        <w:t xml:space="preserve">Lester, S. E., J. M. Stevens, R. R. Gentry, C. V. Kappel, T. W. Bell, C. J. Costello, S. D. Gaines, et al. 2018. “Marine Spatial Planning Makes Room for Offshore Aquaculture in Crowded Coastal Waters.”</w:t>
      </w:r>
      <w:r>
        <w:t xml:space="preserve"> </w:t>
      </w:r>
      <w:r>
        <w:rPr>
          <w:i/>
        </w:rPr>
        <w:t xml:space="preserve">Nature Communications</w:t>
      </w:r>
      <w:r>
        <w:t xml:space="preserve"> </w:t>
      </w:r>
      <w:r>
        <w:t xml:space="preserve">9 (1): 945. doi:</w:t>
      </w:r>
      <w:hyperlink r:id="rId107">
        <w:r>
          <w:rPr>
            <w:rStyle w:val="Hyperlink"/>
          </w:rPr>
          <w:t xml:space="preserve">10.1038/s41467-018-03249-1</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108">
        <w:r>
          <w:rPr>
            <w:rStyle w:val="Hyperlink"/>
          </w:rPr>
          <w:t xml:space="preserve">10.1016/j.gloenvcha.2012.03.003</w:t>
        </w:r>
      </w:hyperlink>
      <w:r>
        <w:t xml:space="preserve">.</w:t>
      </w:r>
    </w:p>
    <w:p>
      <w:pPr>
        <w:pStyle w:val="Bibliography"/>
      </w:pPr>
      <w:r>
        <w:t xml:space="preserve">NASA Goddard Space Flight Center, Ocean Ecology Laboratory, and Ocean Biology Processing Group. 2014. “MODIS-Terra Daily 4 Km Sea Surface Temperature Data.”</w:t>
      </w:r>
    </w:p>
    <w:p>
      <w:pPr>
        <w:pStyle w:val="Bibliography"/>
      </w:pPr>
      <w:r>
        <w:t xml:space="preserve">Nations, Food, and Agriculture Organization of the United. 2007.</w:t>
      </w:r>
      <w:r>
        <w:t xml:space="preserve"> </w:t>
      </w:r>
      <w:r>
        <w:rPr>
          <w:i/>
        </w:rPr>
        <w:t xml:space="preserve">Cage Aquaculture: Regional Reviews and Global Overview</w:t>
      </w:r>
      <w:r>
        <w:t xml:space="preserve">. Food &amp; Agriculture Org.</w:t>
      </w:r>
    </w:p>
    <w:p>
      <w:pPr>
        <w:pStyle w:val="Bibliography"/>
      </w:pPr>
      <w:r>
        <w:t xml:space="preserve">Nguyen, Giap, and Curtis Jolly. 2010. “Seafood Import Demand in the Caribbean Region.” In, 37. Orlando, FL.</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109">
        <w:r>
          <w:rPr>
            <w:rStyle w:val="Hyperlink"/>
          </w:rPr>
          <w:t xml:space="preserve">10.1002/9781119154051.ch19</w:t>
        </w:r>
      </w:hyperlink>
      <w:r>
        <w:t xml:space="preserve">.</w:t>
      </w:r>
    </w:p>
    <w:p>
      <w:pPr>
        <w:pStyle w:val="Bibliography"/>
      </w:pPr>
      <w:r>
        <w:t xml:space="preserve">Ruiz Campo, Sofia, and Sergio Zuniga-Jara. 2018. “Reviewing Capital Cost Estimations in Aquaculture.”</w:t>
      </w:r>
      <w:r>
        <w:t xml:space="preserve"> </w:t>
      </w:r>
      <w:r>
        <w:rPr>
          <w:i/>
        </w:rPr>
        <w:t xml:space="preserve">Aquaculture Economics &amp; Management</w:t>
      </w:r>
      <w:r>
        <w:t xml:space="preserve"> </w:t>
      </w:r>
      <w:r>
        <w:t xml:space="preserve">22 (1): 72–93. doi:</w:t>
      </w:r>
      <w:hyperlink r:id="rId110">
        <w:r>
          <w:rPr>
            <w:rStyle w:val="Hyperlink"/>
          </w:rPr>
          <w:t xml:space="preserve">10.1080/13657305.2017.1300839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Stanley, Marjorie T. 1990. “Cost of Capital in Capital Budgeting for Foreign Direct Investment.”</w:t>
      </w:r>
      <w:r>
        <w:t xml:space="preserve"> </w:t>
      </w:r>
      <w:r>
        <w:rPr>
          <w:i/>
        </w:rPr>
        <w:t xml:space="preserve">Managerial Finance</w:t>
      </w:r>
      <w:r>
        <w:t xml:space="preserve"> </w:t>
      </w:r>
      <w:r>
        <w:t xml:space="preserve">16 (2): 13–16. doi:</w:t>
      </w:r>
      <w:hyperlink r:id="rId111">
        <w:r>
          <w:rPr>
            <w:rStyle w:val="Hyperlink"/>
          </w:rPr>
          <w:t xml:space="preserve">10.1108/eb013640</w:t>
        </w:r>
      </w:hyperlink>
      <w:r>
        <w:t xml:space="preserv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UNEP-WCMC, WorldFish Centre, WRI, and TNC. 2010. “Global Distribution of Warm-Water Coral Reefs, Compiled from Multiple Sources Including the Millennium Coral Reef Mapping Project. Version 1.3.” ambridge (UK): UNEP World Conservation Monitoring Centre.</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a310c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a2357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hyperlink" Id="rId45" Target="http://antiguaobserver.com/minimum-wage-increase-takes-effect-in-november/" TargetMode="External" /><Relationship Type="http://schemas.openxmlformats.org/officeDocument/2006/relationships/hyperlink" Id="rId61" Target="http://curacaochronicle.com/local/minimum-wages-adjusted/" TargetMode="External" /><Relationship Type="http://schemas.openxmlformats.org/officeDocument/2006/relationships/hyperlink" Id="rId62" Target="http://dominicanewsonline.com/news/homepage/news/business/dominicas-minimum-wage-lowest-in-oecs-report/" TargetMode="External" /><Relationship Type="http://schemas.openxmlformats.org/officeDocument/2006/relationships/hyperlink" Id="rId63" Target="http://dominicanewsonline.com/news/homepage/news/business/gasoline-price-drops-below-10-biggest-fuel-price-drop-in-five-years/" TargetMode="External" /><Relationship Type="http://schemas.openxmlformats.org/officeDocument/2006/relationships/hyperlink" Id="rId69" Target="http://jis.gov.jm/minimum-wage-rates-effective-march-1/" TargetMode="External" /><Relationship Type="http://schemas.openxmlformats.org/officeDocument/2006/relationships/hyperlink" Id="rId87" Target="http://magneticmediatv.com/2015/05/minimum-wage-in-effect-for-turks-and-caicos/" TargetMode="External" /><Relationship Type="http://schemas.openxmlformats.org/officeDocument/2006/relationships/hyperlink" Id="rId71" Target="http://martinique.dieccte.gouv.fr/Derniere-revision-mensuelle" TargetMode="External" /><Relationship Type="http://schemas.openxmlformats.org/officeDocument/2006/relationships/hyperlink" Id="rId74" Target="http://money.cnn.com/2016/03/31/investing/puerto-rico-congress-bill/" TargetMode="External" /><Relationship Type="http://schemas.openxmlformats.org/officeDocument/2006/relationships/hyperlink" Id="rId82" Target="http://smn-news.com/st-maarten-st-martin-news/18471-fuel-price-changed.html" TargetMode="External" /><Relationship Type="http://schemas.openxmlformats.org/officeDocument/2006/relationships/hyperlink" Id="rId89" Target="http://viconsortium.com/breaking-news/minimum-wage-increase-8-35-takes-effect-u-s-virgin-islands/" TargetMode="External" /><Relationship Type="http://schemas.openxmlformats.org/officeDocument/2006/relationships/hyperlink" Id="rId55" Target="http://www.bvi.gov.vg/media-centre/minimum-wage-increase-effective-october-1" TargetMode="External" /><Relationship Type="http://schemas.openxmlformats.org/officeDocument/2006/relationships/hyperlink" Id="rId72" Target="http://www.caribank.org/uploads/2012/12/Montserrat-2009-vol-1_v7.pdf" TargetMode="External" /><Relationship Type="http://schemas.openxmlformats.org/officeDocument/2006/relationships/hyperlink" Id="rId52" Target="http://www.curoil.com/main/index.aspx" TargetMode="External" /><Relationship Type="http://schemas.openxmlformats.org/officeDocument/2006/relationships/hyperlink" Id="rId53" Target="http://www.doingbusinessdutchcaribbean.com/bonaire/employment/minimum-wages" TargetMode="External" /><Relationship Type="http://schemas.openxmlformats.org/officeDocument/2006/relationships/hyperlink" Id="rId76" Target="http://www.doingbusinessdutchcaribbean.com/saba/employment/minimum-wages" TargetMode="External" /><Relationship Type="http://schemas.openxmlformats.org/officeDocument/2006/relationships/hyperlink" Id="rId81" Target="http://www.doingbusinessdutchcaribbean.com/st-eustatius/employment/minimum-wages" TargetMode="External" /><Relationship Type="http://schemas.openxmlformats.org/officeDocument/2006/relationships/hyperlink" Id="rId83" Target="http://www.doingbusinessdutchcaribbean.com/st-maarten/employment/minimum-wages" TargetMode="External" /><Relationship Type="http://schemas.openxmlformats.org/officeDocument/2006/relationships/hyperlink" Id="rId59" Target="http://www.ecotripsos.com/lowestminimumwage/" TargetMode="External" /><Relationship Type="http://schemas.openxmlformats.org/officeDocument/2006/relationships/hyperlink" Id="rId44" Target="http://www.globalpetrolprices.com/Antigua-and-Barbuda/gasoline_prices/" TargetMode="External" /><Relationship Type="http://schemas.openxmlformats.org/officeDocument/2006/relationships/hyperlink" Id="rId46" Target="http://www.globalpetrolprices.com/Aruba/gasoline_prices/" TargetMode="External" /><Relationship Type="http://schemas.openxmlformats.org/officeDocument/2006/relationships/hyperlink" Id="rId48" Target="http://www.globalpetrolprices.com/Bahamas/gasoline_prices/" TargetMode="External" /><Relationship Type="http://schemas.openxmlformats.org/officeDocument/2006/relationships/hyperlink" Id="rId50" Target="http://www.globalpetrolprices.com/Barbados/gasoline_prices/" TargetMode="External" /><Relationship Type="http://schemas.openxmlformats.org/officeDocument/2006/relationships/hyperlink" Id="rId54" Target="http://www.globalpetrolprices.com/British-Virgin-Islands/gasoline_prices/" TargetMode="External" /><Relationship Type="http://schemas.openxmlformats.org/officeDocument/2006/relationships/hyperlink" Id="rId56" Target="http://www.globalpetrolprices.com/Cayman-Islands/gasoline_prices/" TargetMode="External" /><Relationship Type="http://schemas.openxmlformats.org/officeDocument/2006/relationships/hyperlink" Id="rId60" Target="http://www.globalpetrolprices.com/Cuba/gasoline_prices/" TargetMode="External" /><Relationship Type="http://schemas.openxmlformats.org/officeDocument/2006/relationships/hyperlink" Id="rId64" Target="http://www.globalpetrolprices.com/Dominican-Republic/gasoline_prices/" TargetMode="External" /><Relationship Type="http://schemas.openxmlformats.org/officeDocument/2006/relationships/hyperlink" Id="rId65" Target="http://www.globalpetrolprices.com/Grenada/gasoline_prices/" TargetMode="External" /><Relationship Type="http://schemas.openxmlformats.org/officeDocument/2006/relationships/hyperlink" Id="rId68" Target="http://www.globalpetrolprices.com/Haiti/gasoline_prices/" TargetMode="External" /><Relationship Type="http://schemas.openxmlformats.org/officeDocument/2006/relationships/hyperlink" Id="rId70" Target="http://www.globalpetrolprices.com/Jamaica/gasoline_prices/" TargetMode="External" /><Relationship Type="http://schemas.openxmlformats.org/officeDocument/2006/relationships/hyperlink" Id="rId75" Target="http://www.globalpetrolprices.com/Puerto-Rico/gasoline_prices/" TargetMode="External" /><Relationship Type="http://schemas.openxmlformats.org/officeDocument/2006/relationships/hyperlink" Id="rId78" Target="http://www.globalpetrolprices.com/Saint-Kitts-and-Nevis/gasoline_prices/" TargetMode="External" /><Relationship Type="http://schemas.openxmlformats.org/officeDocument/2006/relationships/hyperlink" Id="rId79" Target="http://www.globalpetrolprices.com/Saint-Lucia/gasoline_prices/" TargetMode="External" /><Relationship Type="http://schemas.openxmlformats.org/officeDocument/2006/relationships/hyperlink" Id="rId80" Target="http://www.globalpetrolprices.com/Saint-Vincent-and-the-Grenadines/gasoline_prices/" TargetMode="External" /><Relationship Type="http://schemas.openxmlformats.org/officeDocument/2006/relationships/hyperlink" Id="rId84" Target="http://www.globalpetrolprices.com/Trinidad-and-Tobago/gasoline_prices/" TargetMode="External" /><Relationship Type="http://schemas.openxmlformats.org/officeDocument/2006/relationships/hyperlink" Id="rId66" Target="http://www.guadeloupe.pref.gouv.fr/Actualites/Revision-des-prix-des-produits-petroliers-en-Guadeloupe-novembre-2016" TargetMode="External" /><Relationship Type="http://schemas.openxmlformats.org/officeDocument/2006/relationships/hyperlink" Id="rId67" Target="http://www.haitilibre.com/en/news-10972-haiti-economy-everything-you-need-to-know-about-the-new-minimum-wage.html" TargetMode="External" /><Relationship Type="http://schemas.openxmlformats.org/officeDocument/2006/relationships/hyperlink" Id="rId49" Target="http://www.jamaicaobserver.com/latestnews/Bahamas-Gov-t-increases-minimum-daily-wages" TargetMode="External" /><Relationship Type="http://schemas.openxmlformats.org/officeDocument/2006/relationships/hyperlink" Id="rId47" Target="http://www.loc.gov/law/foreign-news/article/aruba-increased-minimum-wage-and-wage-limit-for-benefits/" TargetMode="External" /><Relationship Type="http://schemas.openxmlformats.org/officeDocument/2006/relationships/hyperlink" Id="rId85" Target="http://www.newsday.co.tt/news/0,204964.html" TargetMode="External" /><Relationship Type="http://schemas.openxmlformats.org/officeDocument/2006/relationships/hyperlink" Id="rId58" Target="http://www.sint-maarten.net/St-Maarten-IslandInfo/stmaarten_IslandInfo.html" TargetMode="External" /><Relationship Type="http://schemas.openxmlformats.org/officeDocument/2006/relationships/hyperlink" Id="rId86" Target="https://activecaptain.com/fuelLists/fuelIndexROW.php?co=TC&amp;sort=gas" TargetMode="External" /><Relationship Type="http://schemas.openxmlformats.org/officeDocument/2006/relationships/hyperlink" Id="rId43" Target="https://books.google.com/books?id=fsB3DAAAQBAJ&amp;pg=PA27&amp;lpg=PA27&amp;dq=anguilla+minimum+wage&amp;source=bl&amp;ots=6sDxkXKjDB&amp;sig=gsUjbVP0mRBiQng5auLjv4VAqnU&amp;hl=en&amp;sa=X&amp;ved=0ahUKEwjs6sza3uDRAhVH3mMKHfdiCh04ChDoAQgZMAA#v=onepage&amp;q=anguilla%20minimum%20wage&amp;f=false" TargetMode="External" /><Relationship Type="http://schemas.openxmlformats.org/officeDocument/2006/relationships/hyperlink" Id="rId57" Target="https://caymannewsservice.com/2016/02/cabinet-rubber-stamps-minimum-wage/" TargetMode="External" /><Relationship Type="http://schemas.openxmlformats.org/officeDocument/2006/relationships/hyperlink" Id="rId109" Target="https://doi.org/10.1002/9781119154051.ch19" TargetMode="External" /><Relationship Type="http://schemas.openxmlformats.org/officeDocument/2006/relationships/hyperlink" Id="rId102" Target="https://doi.org/10.1002/ece3.2637" TargetMode="External" /><Relationship Type="http://schemas.openxmlformats.org/officeDocument/2006/relationships/hyperlink" Id="rId104" Target="https://doi.org/10.1007/s10499-010-9391-y" TargetMode="External" /><Relationship Type="http://schemas.openxmlformats.org/officeDocument/2006/relationships/hyperlink" Id="rId95" Target="https://doi.org/10.1016/S1546-5098(08)60033-3" TargetMode="External" /><Relationship Type="http://schemas.openxmlformats.org/officeDocument/2006/relationships/hyperlink" Id="rId94" Target="https://doi.org/10.1016/j.aquaculture.2010.02.021" TargetMode="External" /><Relationship Type="http://schemas.openxmlformats.org/officeDocument/2006/relationships/hyperlink" Id="rId91" Target="https://doi.org/10.1016/j.aquaculture.2013.05.020" TargetMode="External" /><Relationship Type="http://schemas.openxmlformats.org/officeDocument/2006/relationships/hyperlink" Id="rId99" Target="https://doi.org/10.1016/j.aquaeng.2004.05.001" TargetMode="External" /><Relationship Type="http://schemas.openxmlformats.org/officeDocument/2006/relationships/hyperlink" Id="rId108" Target="https://doi.org/10.1016/j.gloenvcha.2012.03.003" TargetMode="External" /><Relationship Type="http://schemas.openxmlformats.org/officeDocument/2006/relationships/hyperlink" Id="rId107" Target="https://doi.org/10.1038/s41467-018-03249-1" TargetMode="External" /><Relationship Type="http://schemas.openxmlformats.org/officeDocument/2006/relationships/hyperlink" Id="rId101" Target="https://doi.org/10.1038/s41559-017-0257-9" TargetMode="External" /><Relationship Type="http://schemas.openxmlformats.org/officeDocument/2006/relationships/hyperlink" Id="rId96" Target="https://doi.org/10.1073/pnas.1520420113" TargetMode="External" /><Relationship Type="http://schemas.openxmlformats.org/officeDocument/2006/relationships/hyperlink" Id="rId92" Target="https://doi.org/10.1080/01490410903297766" TargetMode="External" /><Relationship Type="http://schemas.openxmlformats.org/officeDocument/2006/relationships/hyperlink" Id="rId106" Target="https://doi.org/10.1080/13657305.2015.994240" TargetMode="External" /><Relationship Type="http://schemas.openxmlformats.org/officeDocument/2006/relationships/hyperlink" Id="rId110" Target="https://doi.org/10.1080/13657305.2017.1300839" TargetMode="External" /><Relationship Type="http://schemas.openxmlformats.org/officeDocument/2006/relationships/hyperlink" Id="rId98" Target="https://doi.org/10.1080/23308249.2015.1088821" TargetMode="External" /><Relationship Type="http://schemas.openxmlformats.org/officeDocument/2006/relationships/hyperlink" Id="rId105" Target="https://doi.org/10.1098/rspb.2017.0834" TargetMode="External" /><Relationship Type="http://schemas.openxmlformats.org/officeDocument/2006/relationships/hyperlink" Id="rId111" Target="https://doi.org/10.1108/eb013640" TargetMode="External" /><Relationship Type="http://schemas.openxmlformats.org/officeDocument/2006/relationships/hyperlink" Id="rId103" Target="https://doi.org/10.3354/aei00007" TargetMode="External" /><Relationship Type="http://schemas.openxmlformats.org/officeDocument/2006/relationships/hyperlink" Id="rId100" Target="https://doi.org/10.3389/fmars.2017.00154" TargetMode="External" /><Relationship Type="http://schemas.openxmlformats.org/officeDocument/2006/relationships/hyperlink" Id="rId93" Target="https://doi.org/10.4031/MTSJ.44.3.11" TargetMode="External" /><Relationship Type="http://schemas.openxmlformats.org/officeDocument/2006/relationships/hyperlink" Id="rId97" Target="https://doi.org/10.5067/OSCAR-03D01" TargetMode="External" /><Relationship Type="http://schemas.openxmlformats.org/officeDocument/2006/relationships/hyperlink" Id="rId88" Target="https://secure.dlca.vi.gov/license/Asps/NewsSurvey/RenderDoc.aspx?id=%20147&amp;ftype=PDF#toolbar=1&amp;navpanes=1&amp;scrollbar=0" TargetMode="External" /><Relationship Type="http://schemas.openxmlformats.org/officeDocument/2006/relationships/hyperlink" Id="rId42" Target="https://www.expatistan.com/cost-of-living/the-valley-anguilla?currency=USD" TargetMode="External" /><Relationship Type="http://schemas.openxmlformats.org/officeDocument/2006/relationships/hyperlink" Id="rId51" Target="https://www.state.gov/j/drl/rls/hrrpt/humanrightsreport/index.htm#wrapper" TargetMode="External" /><Relationship Type="http://schemas.openxmlformats.org/officeDocument/2006/relationships/hyperlink" Id="rId73" Target="https://www.stlucianewsonline.com/govt-announce-adjustment-in-fuel-prices/" TargetMode="External" /><Relationship Type="http://schemas.openxmlformats.org/officeDocument/2006/relationships/hyperlink" Id="rId77" Target="https://www.stlucianewsonline.com/st-kitts-and-nevis-minimum-wage-highest-in-the-oecs-st-lucia-at-4/" TargetMode="External" /></Relationships>
</file>

<file path=word/_rels/footnotes.xml.rels><?xml version="1.0" encoding="UTF-8"?>
<Relationships xmlns="http://schemas.openxmlformats.org/package/2006/relationships"><Relationship Type="http://schemas.openxmlformats.org/officeDocument/2006/relationships/hyperlink" Id="rId45" Target="http://antiguaobserver.com/minimum-wage-increase-takes-effect-in-november/" TargetMode="External" /><Relationship Type="http://schemas.openxmlformats.org/officeDocument/2006/relationships/hyperlink" Id="rId61" Target="http://curacaochronicle.com/local/minimum-wages-adjusted/" TargetMode="External" /><Relationship Type="http://schemas.openxmlformats.org/officeDocument/2006/relationships/hyperlink" Id="rId62" Target="http://dominicanewsonline.com/news/homepage/news/business/dominicas-minimum-wage-lowest-in-oecs-report/" TargetMode="External" /><Relationship Type="http://schemas.openxmlformats.org/officeDocument/2006/relationships/hyperlink" Id="rId63" Target="http://dominicanewsonline.com/news/homepage/news/business/gasoline-price-drops-below-10-biggest-fuel-price-drop-in-five-years/" TargetMode="External" /><Relationship Type="http://schemas.openxmlformats.org/officeDocument/2006/relationships/hyperlink" Id="rId69" Target="http://jis.gov.jm/minimum-wage-rates-effective-march-1/" TargetMode="External" /><Relationship Type="http://schemas.openxmlformats.org/officeDocument/2006/relationships/hyperlink" Id="rId87" Target="http://magneticmediatv.com/2015/05/minimum-wage-in-effect-for-turks-and-caicos/" TargetMode="External" /><Relationship Type="http://schemas.openxmlformats.org/officeDocument/2006/relationships/hyperlink" Id="rId71" Target="http://martinique.dieccte.gouv.fr/Derniere-revision-mensuelle" TargetMode="External" /><Relationship Type="http://schemas.openxmlformats.org/officeDocument/2006/relationships/hyperlink" Id="rId74" Target="http://money.cnn.com/2016/03/31/investing/puerto-rico-congress-bill/" TargetMode="External" /><Relationship Type="http://schemas.openxmlformats.org/officeDocument/2006/relationships/hyperlink" Id="rId82" Target="http://smn-news.com/st-maarten-st-martin-news/18471-fuel-price-changed.html" TargetMode="External" /><Relationship Type="http://schemas.openxmlformats.org/officeDocument/2006/relationships/hyperlink" Id="rId89" Target="http://viconsortium.com/breaking-news/minimum-wage-increase-8-35-takes-effect-u-s-virgin-islands/" TargetMode="External" /><Relationship Type="http://schemas.openxmlformats.org/officeDocument/2006/relationships/hyperlink" Id="rId55" Target="http://www.bvi.gov.vg/media-centre/minimum-wage-increase-effective-october-1" TargetMode="External" /><Relationship Type="http://schemas.openxmlformats.org/officeDocument/2006/relationships/hyperlink" Id="rId72" Target="http://www.caribank.org/uploads/2012/12/Montserrat-2009-vol-1_v7.pdf" TargetMode="External" /><Relationship Type="http://schemas.openxmlformats.org/officeDocument/2006/relationships/hyperlink" Id="rId52" Target="http://www.curoil.com/main/index.aspx" TargetMode="External" /><Relationship Type="http://schemas.openxmlformats.org/officeDocument/2006/relationships/hyperlink" Id="rId53" Target="http://www.doingbusinessdutchcaribbean.com/bonaire/employment/minimum-wages" TargetMode="External" /><Relationship Type="http://schemas.openxmlformats.org/officeDocument/2006/relationships/hyperlink" Id="rId76" Target="http://www.doingbusinessdutchcaribbean.com/saba/employment/minimum-wages" TargetMode="External" /><Relationship Type="http://schemas.openxmlformats.org/officeDocument/2006/relationships/hyperlink" Id="rId81" Target="http://www.doingbusinessdutchcaribbean.com/st-eustatius/employment/minimum-wages" TargetMode="External" /><Relationship Type="http://schemas.openxmlformats.org/officeDocument/2006/relationships/hyperlink" Id="rId83" Target="http://www.doingbusinessdutchcaribbean.com/st-maarten/employment/minimum-wages" TargetMode="External" /><Relationship Type="http://schemas.openxmlformats.org/officeDocument/2006/relationships/hyperlink" Id="rId59" Target="http://www.ecotripsos.com/lowestminimumwage/" TargetMode="External" /><Relationship Type="http://schemas.openxmlformats.org/officeDocument/2006/relationships/hyperlink" Id="rId44" Target="http://www.globalpetrolprices.com/Antigua-and-Barbuda/gasoline_prices/" TargetMode="External" /><Relationship Type="http://schemas.openxmlformats.org/officeDocument/2006/relationships/hyperlink" Id="rId46" Target="http://www.globalpetrolprices.com/Aruba/gasoline_prices/" TargetMode="External" /><Relationship Type="http://schemas.openxmlformats.org/officeDocument/2006/relationships/hyperlink" Id="rId48" Target="http://www.globalpetrolprices.com/Bahamas/gasoline_prices/" TargetMode="External" /><Relationship Type="http://schemas.openxmlformats.org/officeDocument/2006/relationships/hyperlink" Id="rId50" Target="http://www.globalpetrolprices.com/Barbados/gasoline_prices/" TargetMode="External" /><Relationship Type="http://schemas.openxmlformats.org/officeDocument/2006/relationships/hyperlink" Id="rId54" Target="http://www.globalpetrolprices.com/British-Virgin-Islands/gasoline_prices/" TargetMode="External" /><Relationship Type="http://schemas.openxmlformats.org/officeDocument/2006/relationships/hyperlink" Id="rId56" Target="http://www.globalpetrolprices.com/Cayman-Islands/gasoline_prices/" TargetMode="External" /><Relationship Type="http://schemas.openxmlformats.org/officeDocument/2006/relationships/hyperlink" Id="rId60" Target="http://www.globalpetrolprices.com/Cuba/gasoline_prices/" TargetMode="External" /><Relationship Type="http://schemas.openxmlformats.org/officeDocument/2006/relationships/hyperlink" Id="rId64" Target="http://www.globalpetrolprices.com/Dominican-Republic/gasoline_prices/" TargetMode="External" /><Relationship Type="http://schemas.openxmlformats.org/officeDocument/2006/relationships/hyperlink" Id="rId65" Target="http://www.globalpetrolprices.com/Grenada/gasoline_prices/" TargetMode="External" /><Relationship Type="http://schemas.openxmlformats.org/officeDocument/2006/relationships/hyperlink" Id="rId68" Target="http://www.globalpetrolprices.com/Haiti/gasoline_prices/" TargetMode="External" /><Relationship Type="http://schemas.openxmlformats.org/officeDocument/2006/relationships/hyperlink" Id="rId70" Target="http://www.globalpetrolprices.com/Jamaica/gasoline_prices/" TargetMode="External" /><Relationship Type="http://schemas.openxmlformats.org/officeDocument/2006/relationships/hyperlink" Id="rId75" Target="http://www.globalpetrolprices.com/Puerto-Rico/gasoline_prices/" TargetMode="External" /><Relationship Type="http://schemas.openxmlformats.org/officeDocument/2006/relationships/hyperlink" Id="rId78" Target="http://www.globalpetrolprices.com/Saint-Kitts-and-Nevis/gasoline_prices/" TargetMode="External" /><Relationship Type="http://schemas.openxmlformats.org/officeDocument/2006/relationships/hyperlink" Id="rId79" Target="http://www.globalpetrolprices.com/Saint-Lucia/gasoline_prices/" TargetMode="External" /><Relationship Type="http://schemas.openxmlformats.org/officeDocument/2006/relationships/hyperlink" Id="rId80" Target="http://www.globalpetrolprices.com/Saint-Vincent-and-the-Grenadines/gasoline_prices/" TargetMode="External" /><Relationship Type="http://schemas.openxmlformats.org/officeDocument/2006/relationships/hyperlink" Id="rId84" Target="http://www.globalpetrolprices.com/Trinidad-and-Tobago/gasoline_prices/" TargetMode="External" /><Relationship Type="http://schemas.openxmlformats.org/officeDocument/2006/relationships/hyperlink" Id="rId66" Target="http://www.guadeloupe.pref.gouv.fr/Actualites/Revision-des-prix-des-produits-petroliers-en-Guadeloupe-novembre-2016" TargetMode="External" /><Relationship Type="http://schemas.openxmlformats.org/officeDocument/2006/relationships/hyperlink" Id="rId67" Target="http://www.haitilibre.com/en/news-10972-haiti-economy-everything-you-need-to-know-about-the-new-minimum-wage.html" TargetMode="External" /><Relationship Type="http://schemas.openxmlformats.org/officeDocument/2006/relationships/hyperlink" Id="rId49" Target="http://www.jamaicaobserver.com/latestnews/Bahamas-Gov-t-increases-minimum-daily-wages" TargetMode="External" /><Relationship Type="http://schemas.openxmlformats.org/officeDocument/2006/relationships/hyperlink" Id="rId47" Target="http://www.loc.gov/law/foreign-news/article/aruba-increased-minimum-wage-and-wage-limit-for-benefits/" TargetMode="External" /><Relationship Type="http://schemas.openxmlformats.org/officeDocument/2006/relationships/hyperlink" Id="rId85" Target="http://www.newsday.co.tt/news/0,204964.html" TargetMode="External" /><Relationship Type="http://schemas.openxmlformats.org/officeDocument/2006/relationships/hyperlink" Id="rId58" Target="http://www.sint-maarten.net/St-Maarten-IslandInfo/stmaarten_IslandInfo.html" TargetMode="External" /><Relationship Type="http://schemas.openxmlformats.org/officeDocument/2006/relationships/hyperlink" Id="rId86" Target="https://activecaptain.com/fuelLists/fuelIndexROW.php?co=TC&amp;sort=gas" TargetMode="External" /><Relationship Type="http://schemas.openxmlformats.org/officeDocument/2006/relationships/hyperlink" Id="rId43" Target="https://books.google.com/books?id=fsB3DAAAQBAJ&amp;pg=PA27&amp;lpg=PA27&amp;dq=anguilla+minimum+wage&amp;source=bl&amp;ots=6sDxkXKjDB&amp;sig=gsUjbVP0mRBiQng5auLjv4VAqnU&amp;hl=en&amp;sa=X&amp;ved=0ahUKEwjs6sza3uDRAhVH3mMKHfdiCh04ChDoAQgZMAA#v=onepage&amp;q=anguilla%20minimum%20wage&amp;f=false" TargetMode="External" /><Relationship Type="http://schemas.openxmlformats.org/officeDocument/2006/relationships/hyperlink" Id="rId57" Target="https://caymannewsservice.com/2016/02/cabinet-rubber-stamps-minimum-wage/" TargetMode="External" /><Relationship Type="http://schemas.openxmlformats.org/officeDocument/2006/relationships/hyperlink" Id="rId109" Target="https://doi.org/10.1002/9781119154051.ch19" TargetMode="External" /><Relationship Type="http://schemas.openxmlformats.org/officeDocument/2006/relationships/hyperlink" Id="rId102" Target="https://doi.org/10.1002/ece3.2637" TargetMode="External" /><Relationship Type="http://schemas.openxmlformats.org/officeDocument/2006/relationships/hyperlink" Id="rId104" Target="https://doi.org/10.1007/s10499-010-9391-y" TargetMode="External" /><Relationship Type="http://schemas.openxmlformats.org/officeDocument/2006/relationships/hyperlink" Id="rId95" Target="https://doi.org/10.1016/S1546-5098(08)60033-3" TargetMode="External" /><Relationship Type="http://schemas.openxmlformats.org/officeDocument/2006/relationships/hyperlink" Id="rId94" Target="https://doi.org/10.1016/j.aquaculture.2010.02.021" TargetMode="External" /><Relationship Type="http://schemas.openxmlformats.org/officeDocument/2006/relationships/hyperlink" Id="rId91" Target="https://doi.org/10.1016/j.aquaculture.2013.05.020" TargetMode="External" /><Relationship Type="http://schemas.openxmlformats.org/officeDocument/2006/relationships/hyperlink" Id="rId99" Target="https://doi.org/10.1016/j.aquaeng.2004.05.001" TargetMode="External" /><Relationship Type="http://schemas.openxmlformats.org/officeDocument/2006/relationships/hyperlink" Id="rId108" Target="https://doi.org/10.1016/j.gloenvcha.2012.03.003" TargetMode="External" /><Relationship Type="http://schemas.openxmlformats.org/officeDocument/2006/relationships/hyperlink" Id="rId107" Target="https://doi.org/10.1038/s41467-018-03249-1" TargetMode="External" /><Relationship Type="http://schemas.openxmlformats.org/officeDocument/2006/relationships/hyperlink" Id="rId101" Target="https://doi.org/10.1038/s41559-017-0257-9" TargetMode="External" /><Relationship Type="http://schemas.openxmlformats.org/officeDocument/2006/relationships/hyperlink" Id="rId96" Target="https://doi.org/10.1073/pnas.1520420113" TargetMode="External" /><Relationship Type="http://schemas.openxmlformats.org/officeDocument/2006/relationships/hyperlink" Id="rId92" Target="https://doi.org/10.1080/01490410903297766" TargetMode="External" /><Relationship Type="http://schemas.openxmlformats.org/officeDocument/2006/relationships/hyperlink" Id="rId106" Target="https://doi.org/10.1080/13657305.2015.994240" TargetMode="External" /><Relationship Type="http://schemas.openxmlformats.org/officeDocument/2006/relationships/hyperlink" Id="rId110" Target="https://doi.org/10.1080/13657305.2017.1300839" TargetMode="External" /><Relationship Type="http://schemas.openxmlformats.org/officeDocument/2006/relationships/hyperlink" Id="rId98" Target="https://doi.org/10.1080/23308249.2015.1088821" TargetMode="External" /><Relationship Type="http://schemas.openxmlformats.org/officeDocument/2006/relationships/hyperlink" Id="rId105" Target="https://doi.org/10.1098/rspb.2017.0834" TargetMode="External" /><Relationship Type="http://schemas.openxmlformats.org/officeDocument/2006/relationships/hyperlink" Id="rId111" Target="https://doi.org/10.1108/eb013640" TargetMode="External" /><Relationship Type="http://schemas.openxmlformats.org/officeDocument/2006/relationships/hyperlink" Id="rId103" Target="https://doi.org/10.3354/aei00007" TargetMode="External" /><Relationship Type="http://schemas.openxmlformats.org/officeDocument/2006/relationships/hyperlink" Id="rId100" Target="https://doi.org/10.3389/fmars.2017.00154" TargetMode="External" /><Relationship Type="http://schemas.openxmlformats.org/officeDocument/2006/relationships/hyperlink" Id="rId93" Target="https://doi.org/10.4031/MTSJ.44.3.11" TargetMode="External" /><Relationship Type="http://schemas.openxmlformats.org/officeDocument/2006/relationships/hyperlink" Id="rId97" Target="https://doi.org/10.5067/OSCAR-03D01" TargetMode="External" /><Relationship Type="http://schemas.openxmlformats.org/officeDocument/2006/relationships/hyperlink" Id="rId88" Target="https://secure.dlca.vi.gov/license/Asps/NewsSurvey/RenderDoc.aspx?id=%20147&amp;ftype=PDF#toolbar=1&amp;navpanes=1&amp;scrollbar=0" TargetMode="External" /><Relationship Type="http://schemas.openxmlformats.org/officeDocument/2006/relationships/hyperlink" Id="rId42" Target="https://www.expatistan.com/cost-of-living/the-valley-anguilla?currency=USD" TargetMode="External" /><Relationship Type="http://schemas.openxmlformats.org/officeDocument/2006/relationships/hyperlink" Id="rId51" Target="https://www.state.gov/j/drl/rls/hrrpt/humanrightsreport/index.htm#wrapper" TargetMode="External" /><Relationship Type="http://schemas.openxmlformats.org/officeDocument/2006/relationships/hyperlink" Id="rId73" Target="https://www.stlucianewsonline.com/govt-announce-adjustment-in-fuel-prices/" TargetMode="External" /><Relationship Type="http://schemas.openxmlformats.org/officeDocument/2006/relationships/hyperlink" Id="rId77" Target="https://www.stlucianewsonline.com/st-kitts-and-nevis-minimum-wage-highest-in-the-oecs-st-lucia-at-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2018-04-26T18:16:28Z</dcterms:created>
  <dcterms:modified xsi:type="dcterms:W3CDTF">2018-04-26T18:16:28Z</dcterms:modified>
</cp:coreProperties>
</file>