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development of aquaculture in the Caribbean has been identified as an avenue to stimulate local economies, improve employment opportunities, and increase seafood supply and food security. However, when located close to shore, aquaculture’s environmental impacts can jeopardize valuable habitats (e.g. mangroves, coral reefs, seagrass beds) and competition for coastal space can lead to conflicts with fisheries, tourism, and other users. Farming further offshore is a possible option for alleviating these stresses. Using high-resolution environmental and economic data, we developed a spatial bio-economic model to identify suitable areas for offshore finfish aquaculture, parameterized based on cobia (</w:t>
      </w:r>
      <w:r>
        <w:rPr>
          <w:i/>
        </w:rPr>
        <w:t xml:space="preserve">Rachycentron canadum</w:t>
      </w:r>
      <w:r>
        <w:t xml:space="preserve">), throughout the Caribbean and estimate potential outcomes in terms of yields and profits under different supply and demand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requiring considerable investment and enabling socioeconomic conditions, such as XX and XX, which were found to be factors limiting production in our analysis. The results of this research can be used to help prioritize areas for offshore cobia aquaculture development, and serve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w:t>
      </w:r>
      <w:r>
        <w:t xml:space="preserve"> </w:t>
      </w:r>
      <w:r>
        <w:t xml:space="preserve">(McKindsey et al. 2006)</w:t>
      </w:r>
      <w:r>
        <w:t xml:space="preserve">;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w:t>
      </w:r>
    </w:p>
    <w:p>
      <w:pPr>
        <w:numPr>
          <w:numId w:val="1004"/>
          <w:ilvl w:val="1"/>
        </w:numPr>
      </w:pPr>
      <w:r>
        <w:t xml:space="preserve">Caribbean seafood consumption production, and trade (include information on seafood exports and imports)</w:t>
      </w:r>
    </w:p>
    <w:p>
      <w:pPr>
        <w:numPr>
          <w:numId w:val="1004"/>
          <w:ilvl w:val="1"/>
        </w:numPr>
      </w:pPr>
      <w:r>
        <w:t xml:space="preserve">Describe current aquaculture production occurring in the Caribbean (minimal)</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revenue) of offshore cobia mariculture in the Caribbean region. We examine the spatial distribution of offshore mariculture potential to identify ‘hotspots’ locations (in terms of weight and revenue) for future offshore mariculture farm development. We examine the variation of individual farm profitability between and across EEZs to determine the importance of site selection in mariculture development and to quantify the potential benefits of strategic spatial planning. We explore these results under several scenarios of cobia proudction using a supply and demand curve to set cobia market price. We also run sensitivity analyses on fixed parameters to identify and quantify the effects of factors constrainig our model.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is the area of focus for our study (Figure 1). All analyses were performed at a 1 km</w:t>
      </w:r>
      <w:r>
        <w:rPr>
          <w:vertAlign w:val="superscript"/>
        </w:rPr>
        <w:t xml:space="preserve">2</w:t>
      </w:r>
      <w:r>
        <w:t xml:space="preserve"> </w:t>
      </w:r>
      <w:r>
        <w:t xml:space="preserve">spatial resolution. We did not consider the potential of offshore aquaculture development in the high seas or disputed waters. A shapefile from VLIZ</w:t>
      </w:r>
      <w:r>
        <w:t xml:space="preserve"> </w:t>
      </w:r>
      <w:r>
        <w:t xml:space="preserve">(2014)</w:t>
      </w:r>
      <w:r>
        <w:t xml:space="preserve"> </w:t>
      </w:r>
      <w:r>
        <w:t xml:space="preserve">was used to define the maritime boundaries for all island countries.</w:t>
      </w:r>
    </w:p>
    <w:p>
      <w:pPr>
        <w:pStyle w:val="FigureWithCaption"/>
      </w:pPr>
      <w:r>
        <w:drawing>
          <wp:inline>
            <wp:extent cx="5334000" cy="3465710"/>
            <wp:effectExtent b="0" l="0" r="0" t="0"/>
            <wp:docPr descr="The study area for this project is indicated in blue. EEZ boundary data were obtained from VLIZ (2016)." id="1" name="Picture"/>
            <a:graphic>
              <a:graphicData uri="http://schemas.openxmlformats.org/drawingml/2006/picture">
                <pic:pic>
                  <pic:nvPicPr>
                    <pic:cNvPr descr="carib_methods_files/figure-docx/fig1.Caribbean%20EEZ%20tmap-1.png" id="0" name="Picture"/>
                    <pic:cNvPicPr>
                      <a:picLocks noChangeArrowheads="1" noChangeAspect="1"/>
                    </pic:cNvPicPr>
                  </pic:nvPicPr>
                  <pic:blipFill>
                    <a:blip r:embed="rId25"/>
                    <a:stretch>
                      <a:fillRect/>
                    </a:stretch>
                  </pic:blipFill>
                  <pic:spPr bwMode="auto">
                    <a:xfrm>
                      <a:off x="0" y="0"/>
                      <a:ext cx="5334000" cy="3465710"/>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analyses were to identify 1 km</w:t>
      </w:r>
      <w:r>
        <w:rPr>
          <w:vertAlign w:val="superscript"/>
        </w:rPr>
        <w:t xml:space="preserve">2</w:t>
      </w:r>
      <w:r>
        <w:t xml:space="preserve"> </w:t>
      </w:r>
      <w:r>
        <w:t xml:space="preserve">sites throughout the study region that would be suitable for mariculture development and create a hypothetical farm design for all suitable sites. Next, we apply a temperature performance curve (TPC) to predict temperature-dependent growth of cobia at each farm and establish a supply and demand curve to set global cobia market price according to our regional production estimates. Finally, we use the estimated price and cost parameters derived from the literature to calculate Net Present Value (</w:t>
      </w:r>
      <w:r>
        <w:rPr>
          <w:i/>
        </w:rPr>
        <w:t xml:space="preserve">NPV</w:t>
      </w:r>
      <w:r>
        <w:t xml:space="preserve">) over a 10 year time horizon. We assume that only farms that have a positive NPV after 10 years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was to conduct an assessment to identify areas that are potentially suitable for the development of offshore mariculture. To determine what areas are suitable, we considered 6 factors: depth, current speed, coral reef presence, shipping activity, oil structures, and areas designated for conservation (Table 1).</w:t>
      </w:r>
    </w:p>
    <w:p>
      <w:pPr>
        <w:pStyle w:val="BodyText"/>
      </w:pPr>
      <w:r>
        <w:t xml:space="preserve">Table 1: Description of spatial data layers and criteria used to identify cells suitable for development of offshore aquaculture in the Caribbean</w:t>
      </w:r>
    </w:p>
    <w:tbl>
      <w:tblPr>
        <w:tblStyle w:val="TableNormal"/>
        <w:tblW w:type="pct" w:w="5000.0"/>
        <w:tblLook w:firstRow="1"/>
      </w:tblPr>
      <w:tblGrid>
        <w:gridCol w:w="1069"/>
        <w:gridCol w:w="396"/>
        <w:gridCol w:w="3999"/>
        <w:gridCol w:w="1227"/>
        <w:gridCol w:w="1227"/>
      </w:tblGrid>
      <w:tr>
        <w:trPr>
          <w:cnfStyle w:firstRow="1"/>
        </w:trPr>
        <w:tc>
          <w:tcPr>
            <w:tcBorders>
              <w:bottom w:val="single"/>
            </w:tcBorders>
            <w:vAlign w:val="bottom"/>
          </w:tcPr>
          <w:p>
            <w:pPr>
              <w:pStyle w:val="Compact"/>
              <w:jc w:val="center"/>
            </w:pPr>
            <w:r>
              <w:t xml:space="preserve">Spatial.Data.Layer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Data.and.Analysis.Description</w:t>
            </w:r>
          </w:p>
        </w:tc>
        <w:tc>
          <w:tcPr>
            <w:tcBorders>
              <w:bottom w:val="single"/>
            </w:tcBorders>
            <w:vAlign w:val="bottom"/>
          </w:tcPr>
          <w:p>
            <w:pPr>
              <w:pStyle w:val="Compact"/>
              <w:jc w:val="center"/>
            </w:pPr>
            <w:r>
              <w:t xml:space="preserve">Suitability.Criteria</w:t>
            </w:r>
          </w:p>
        </w:tc>
        <w:tc>
          <w:tcPr>
            <w:tcBorders>
              <w:bottom w:val="single"/>
            </w:tcBorders>
            <w:vAlign w:val="bottom"/>
          </w:tcPr>
          <w:p>
            <w:pPr>
              <w:pStyle w:val="Compact"/>
              <w:jc w:val="center"/>
            </w:pPr>
            <w:r>
              <w:t xml:space="preserve">Data.Source</w:t>
            </w:r>
          </w:p>
        </w:tc>
      </w:tr>
      <w:tr>
        <w:tc>
          <w:p>
            <w:pPr>
              <w:pStyle w:val="Compact"/>
              <w:jc w:val="center"/>
            </w:pPr>
            <w:r>
              <w:t xml:space="preserve">Marine Protected Areas</w:t>
            </w:r>
          </w:p>
        </w:tc>
        <w:tc>
          <w:p>
            <w:pPr>
              <w:pStyle w:val="Compact"/>
              <w:jc w:val="center"/>
            </w:pPr>
            <w:r>
              <w:t xml:space="preserve">2016</w:t>
            </w:r>
          </w:p>
        </w:tc>
        <w:tc>
          <w:p>
            <w:pPr>
              <w:pStyle w:val="Compact"/>
              <w:jc w:val="center"/>
            </w:pPr>
            <w:r>
              <w:t xml:space="preserve">The most comprehensive global database on conservation areas which includes marine protected areas</w:t>
            </w:r>
            <w:r>
              <w:t xml:space="preserve"> </w:t>
            </w:r>
            <w:r>
              <w:t xml:space="preserve">(MPAs) and areas that achieve conservation in the long-term, referred to as other effective</w:t>
            </w:r>
            <w:r>
              <w:t xml:space="preserve"> </w:t>
            </w:r>
            <w:r>
              <w:t xml:space="preserve">area-based conservation measures (OECMs). We filtered this data set to include protected areas that</w:t>
            </w:r>
            <w:r>
              <w:t xml:space="preserve"> </w:t>
            </w:r>
            <w:r>
              <w:t xml:space="preserve">are located partially or completely within the marine environment. Areas classified as designated or</w:t>
            </w:r>
            <w:r>
              <w:t xml:space="preserve"> </w:t>
            </w:r>
            <w:r>
              <w:t xml:space="preserve">proposed, in addition to those already established, were included to be conservative in terms of</w:t>
            </w:r>
            <w:r>
              <w:t xml:space="preserve"> </w:t>
            </w:r>
            <w:r>
              <w:t xml:space="preserve">limiting aquaculture development in areas of high conservation priority.</w:t>
            </w:r>
          </w:p>
        </w:tc>
        <w:tc>
          <w:p>
            <w:pPr>
              <w:pStyle w:val="Compact"/>
              <w:jc w:val="center"/>
            </w:pPr>
            <w:r>
              <w:t xml:space="preserve">Not an established, designated</w:t>
            </w:r>
            <w:r>
              <w:t xml:space="preserve"> </w:t>
            </w:r>
            <w:r>
              <w:t xml:space="preserve">or proposed Marine Protected</w:t>
            </w:r>
            <w:r>
              <w:t xml:space="preserve"> </w:t>
            </w:r>
            <w:r>
              <w:t xml:space="preserve">Area</w:t>
            </w:r>
          </w:p>
        </w:tc>
        <w:tc>
          <w:p>
            <w:pPr>
              <w:pStyle w:val="Compact"/>
              <w:jc w:val="center"/>
            </w:pPr>
            <w:r>
              <w:t xml:space="preserve">IUCN and UNEP-WCMC 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Stable light flares from NOAA's National Geophysical Data Center (NGDC) with ephemeral sources of</w:t>
            </w:r>
            <w:r>
              <w:t xml:space="preserve"> </w:t>
            </w:r>
            <w:r>
              <w:t xml:space="preserve">lights removed were isolated using spectra analysis to identify location of oil rigs in the ocean.</w:t>
            </w:r>
          </w:p>
        </w:tc>
        <w:tc>
          <w:p>
            <w:pPr>
              <w:pStyle w:val="Compact"/>
              <w:jc w:val="center"/>
            </w:pPr>
            <w:r>
              <w:t xml:space="preserve">No existing benthic oil</w:t>
            </w:r>
            <w:r>
              <w:t xml:space="preserve"> </w:t>
            </w:r>
            <w:r>
              <w:t xml:space="preserve">structures</w:t>
            </w:r>
          </w:p>
        </w:tc>
        <w:tc>
          <w:p>
            <w:pPr>
              <w:pStyle w:val="Compact"/>
              <w:jc w:val="center"/>
            </w:pPr>
            <w:r>
              <w:t xml:space="preserve">Halpern et 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Mobile data on 3,374 large (&gt; 1000 gross tonnage) commercial and research vessels at sea in 2005</w:t>
            </w:r>
            <w:r>
              <w:t xml:space="preserve"> </w:t>
            </w:r>
            <w:r>
              <w:t xml:space="preserve">were obtained from the World Meteorological Organization Voluntary Observing Ships Scheme. Ship</w:t>
            </w:r>
            <w:r>
              <w:t xml:space="preserve"> </w:t>
            </w:r>
            <w:r>
              <w:t xml:space="preserve">tracks were then created assuming ships travel in straight lines. Values ranged from 0 to 1,158 and</w:t>
            </w:r>
            <w:r>
              <w:t xml:space="preserve"> </w:t>
            </w:r>
            <w:r>
              <w:t xml:space="preserve">represent the number of ship tracks recorded in a single 1 km2 cell over a one year period</w:t>
            </w:r>
          </w:p>
        </w:tc>
        <w:tc>
          <w:p>
            <w:pPr>
              <w:pStyle w:val="Compact"/>
              <w:jc w:val="center"/>
            </w:pPr>
            <w:r>
              <w:t xml:space="preserve">Not included in the top 10% of</w:t>
            </w:r>
            <w:r>
              <w:t xml:space="preserve"> </w:t>
            </w:r>
            <w:r>
              <w:t xml:space="preserve">relative shipping activity in</w:t>
            </w:r>
            <w:r>
              <w:t xml:space="preserve"> </w:t>
            </w:r>
            <w:r>
              <w:t xml:space="preserve">the Caribbean</w:t>
            </w:r>
          </w:p>
        </w:tc>
        <w:tc>
          <w:p>
            <w:pPr>
              <w:pStyle w:val="Compact"/>
              <w:jc w:val="center"/>
            </w:pPr>
            <w:r>
              <w:t xml:space="preserve">Halpern et 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Dataset on the distribution of coral reefs in tropical and subtropical regions. Data sources include</w:t>
            </w:r>
            <w:r>
              <w:t xml:space="preserve"> </w:t>
            </w:r>
            <w:r>
              <w:t xml:space="preserve">the Millennium coral Reef Mapping Project (2005) and the World Atlas of Coral Reefs (Spaliding</w:t>
            </w:r>
            <w:r>
              <w:t xml:space="preserve"> </w:t>
            </w:r>
            <w:r>
              <w:t xml:space="preserve">2001).</w:t>
            </w:r>
          </w:p>
        </w:tc>
        <w:tc>
          <w:p>
            <w:pPr>
              <w:pStyle w:val="Compact"/>
              <w:jc w:val="center"/>
            </w:pPr>
            <w:r>
              <w:t xml:space="preserve">No coral reefs are present in</w:t>
            </w:r>
            <w:r>
              <w:t xml:space="preserve"> </w:t>
            </w:r>
            <w:r>
              <w:t xml:space="preserve">the 1 km2 area</w:t>
            </w:r>
          </w:p>
        </w:tc>
        <w:tc>
          <w:p>
            <w:pPr>
              <w:pStyle w:val="Compact"/>
              <w:jc w:val="center"/>
            </w:pPr>
            <w:r>
              <w:t xml:space="preserve">UNEP-WCMC, 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Global measured and estimated seafloor topography data from satellite altimetry and ship depth</w:t>
            </w:r>
            <w:r>
              <w:t xml:space="preserve"> </w:t>
            </w:r>
            <w:r>
              <w:t xml:space="preserve">soundings</w:t>
            </w:r>
          </w:p>
        </w:tc>
        <w:tc>
          <w:p>
            <w:pPr>
              <w:pStyle w:val="Compact"/>
              <w:jc w:val="center"/>
            </w:pPr>
            <w:r>
              <w:t xml:space="preserve">Depths &gt;=25 and &lt; = 100</w:t>
            </w:r>
          </w:p>
        </w:tc>
        <w:tc>
          <w:p>
            <w:pPr>
              <w:pStyle w:val="Compact"/>
              <w:jc w:val="center"/>
            </w:pPr>
            <w:r>
              <w:t xml:space="preserve">Kapetsky et al. 2013</w:t>
            </w:r>
          </w:p>
        </w:tc>
      </w:tr>
      <w:tr>
        <w:tc>
          <w:p>
            <w:pPr>
              <w:pStyle w:val="Compact"/>
              <w:jc w:val="center"/>
            </w:pPr>
            <w:r>
              <w:t xml:space="preserve">Current Velocity</w:t>
            </w:r>
          </w:p>
        </w:tc>
        <w:tc>
          <w:p>
            <w:pPr>
              <w:pStyle w:val="Compact"/>
              <w:jc w:val="center"/>
            </w:pPr>
            <w:r>
              <w:t xml:space="preserve">2005-2015</w:t>
            </w:r>
          </w:p>
        </w:tc>
        <w:tc>
          <w:p>
            <w:pPr>
              <w:pStyle w:val="Compact"/>
              <w:jc w:val="center"/>
            </w:pPr>
            <w:r>
              <w:t xml:space="preserve">OSCAR (Ocean Surface Current Analysis Real-time) contains near-surface ocean current estimates,</w:t>
            </w:r>
            <w:r>
              <w:t xml:space="preserve"> </w:t>
            </w:r>
            <w:r>
              <w:t xml:space="preserve">derived using quasi-linear and steady flow momentum equations. The horizontal velocity is directly</w:t>
            </w:r>
            <w:r>
              <w:t xml:space="preserve"> </w:t>
            </w:r>
            <w:r>
              <w:t xml:space="preserve">estimated from sea surface height, surface vector wind and sea surface temperature. These data were</w:t>
            </w:r>
            <w:r>
              <w:t xml:space="preserve"> </w:t>
            </w:r>
            <w:r>
              <w:t xml:space="preserve">collected from the various satellites and in situ instruments. The model formulation combines</w:t>
            </w:r>
            <w:r>
              <w:t xml:space="preserve"> </w:t>
            </w:r>
            <w:r>
              <w:t xml:space="preserve">geostrophic, Ekman and Stommel shear dynamics, and a complementary term from the surface buoyancy</w:t>
            </w:r>
            <w:r>
              <w:t xml:space="preserve"> </w:t>
            </w:r>
            <w:r>
              <w:t xml:space="preserve">gradient. Data are on a one third degree grid with a 5 day resolution. OSCAR is generated by Earth</w:t>
            </w:r>
            <w:r>
              <w:t xml:space="preserve"> </w:t>
            </w:r>
            <w:r>
              <w:t xml:space="preserve">Space Research (ESR).</w:t>
            </w:r>
          </w:p>
        </w:tc>
        <w:tc>
          <w:p>
            <w:pPr>
              <w:pStyle w:val="Compact"/>
              <w:jc w:val="center"/>
            </w:pPr>
            <w:r>
              <w:t xml:space="preserve">Maximum average monthly zonal</w:t>
            </w:r>
            <w:r>
              <w:t xml:space="preserve"> </w:t>
            </w:r>
            <w:r>
              <w:t xml:space="preserve">or meridional current velocity</w:t>
            </w:r>
            <w:r>
              <w:t xml:space="preserve"> </w:t>
            </w:r>
            <w:r>
              <w:t xml:space="preserve">&lt; 1</w:t>
            </w:r>
          </w:p>
        </w:tc>
        <w:tc>
          <w:p>
            <w:pPr>
              <w:pStyle w:val="Compact"/>
              <w:jc w:val="center"/>
            </w:pPr>
            <w:r>
              <w:t xml:space="preserve">ESR 2009</w:t>
            </w:r>
          </w:p>
        </w:tc>
      </w:tr>
      <w:tr>
        <w:tc>
          <w:p>
            <w:pPr>
              <w:pStyle w:val="Compact"/>
              <w:jc w:val="center"/>
            </w:pPr>
            <w:r>
              <w:t xml:space="preserve">Deep sea bed mining claims</w:t>
            </w:r>
          </w:p>
        </w:tc>
        <w:tc>
          <w:p>
            <w:pPr>
              <w:pStyle w:val="Compact"/>
              <w:jc w:val="center"/>
            </w:pPr>
            <w:r>
              <w:t xml:space="preserve">2016</w:t>
            </w:r>
          </w:p>
        </w:tc>
        <w:tc>
          <w:p>
            <w:pPr>
              <w:pStyle w:val="Compact"/>
              <w:jc w:val="center"/>
            </w:pPr>
            <w:r>
              <w:t xml:space="preserve">Worldwide spatial locations of contracts for seabed mining exploration and deep sea mining claims</w:t>
            </w:r>
            <w:r>
              <w:t xml:space="preserve"> </w:t>
            </w:r>
            <w:r>
              <w:t xml:space="preserve">issued by the International Seabed Authority</w:t>
            </w:r>
          </w:p>
        </w:tc>
        <w:tc>
          <w:p>
            <w:pPr>
              <w:pStyle w:val="Compact"/>
              <w:jc w:val="center"/>
            </w:pPr>
            <w:r>
              <w:t xml:space="preserve">No mining claim or contract</w:t>
            </w:r>
            <w:r>
              <w:t xml:space="preserve"> </w:t>
            </w:r>
            <w:r>
              <w:t xml:space="preserve">present</w:t>
            </w:r>
          </w:p>
        </w:tc>
        <w:tc>
          <w:p>
            <w:pPr>
              <w:pStyle w:val="Compact"/>
              <w:jc w:val="center"/>
            </w:pPr>
            <w:r>
              <w:t xml:space="preserve">deepseaminingwatch.ms.ucsb.edu</w:t>
            </w:r>
          </w:p>
        </w:tc>
      </w:tr>
    </w:tbl>
    <w:p>
      <w:pPr>
        <w:pStyle w:val="BodyText"/>
      </w:pPr>
      <w:r>
        <w:t xml:space="preserve">We conducted our suitability assessment assuming the use of SeaStation cages, which are submersible, self-tensioned, single rim cages and are the most widely used offshore aquaculture cages in the U.S. [</w:t>
      </w:r>
      <w:r>
        <w:t xml:space="preserve">Loverich (2010)</w:t>
      </w:r>
      <w:r>
        <w:t xml:space="preserve">; Open Blue 2016].The minimum site depth for installation of a SeaStation cage, listed by the original manufacturer, is 25 m (OceanSpar 2013). The maximum suitable depth for cage installation for this analysis was set at 100 m because in waters deeper than 100 m, cage installation and inspection of mooring and anchoring systems is more difficult and costly</w:t>
      </w:r>
      <w:r>
        <w:t xml:space="preserve"> </w:t>
      </w:r>
      <w:r>
        <w:t xml:space="preserve">(</w:t>
      </w:r>
      <w:r>
        <w:rPr>
          <w:b/>
        </w:rPr>
        <w:t xml:space="preserve">???</w:t>
      </w:r>
      <w:r>
        <w:t xml:space="preserve">; Kapetsky, Aguilar-Manjarrez, and Jenness 2013)</w:t>
      </w:r>
      <w:r>
        <w:t xml:space="preserve">. We obtained spatial bathymetry data for our study region, and areas that fell within a 25 - 100 m depth were scored as suitable for offshore mariculture development. Additionally, SeaStation cages (or fish?) can withstand consistent current velocities up to 1 m/s</w:t>
      </w:r>
      <w:r>
        <w:t xml:space="preserve"> </w:t>
      </w:r>
      <w:r>
        <w:t xml:space="preserve">(Loverich 2010)</w:t>
      </w:r>
      <w:r>
        <w:t xml:space="preserve">. To identify areas with unsuitably high current velocities, we obtained 10 years (2005-2015) of average daily zonal and meridional current velocity. The absolute maximum zonal and meridional average daily velocities that occurred over the 10 year time period were extracted for each cell, and any cell with a maximum zonal or meridional velocity greater than 1 m/s were scored as unsuitable. To minimize the ecological impact of offshore mariculture developement, we also identified any cells with coral reef hatitat present as unsuitable.</w:t>
      </w:r>
    </w:p>
    <w:p>
      <w:pPr>
        <w:pStyle w:val="BodyText"/>
      </w:pPr>
      <w:r>
        <w:t xml:space="preserve">To identify areas currently designated or utilized for purposes that would preclude offshore maruiculture development, we obtained spatial data on: shipping activity, existing benthic oil structures, areas permitted for deep sea bed mining, and areas that have been designated as Marine Protected Areas or conservation priority areas (Table 1). Areas that fell in the 10% of the highest relative shipping activity areas designated for conservation or deep sea bed mining purposes, and areas with existing benthic oil structures were considered unsuitable for offshore mariculture development.</w:t>
      </w:r>
    </w:p>
    <w:p>
      <w:pPr>
        <w:pStyle w:val="BodyText"/>
      </w:pPr>
      <w:r>
        <w:t xml:space="preserve">All spatial data layers listed in Table 1 were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were interpolated to the 1 km</w:t>
      </w:r>
      <w:r>
        <w:rPr>
          <w:vertAlign w:val="superscript"/>
        </w:rPr>
        <w:t xml:space="preserve">2</w:t>
      </w:r>
      <w:r>
        <w:t xml:space="preserve"> </w:t>
      </w:r>
      <w:r>
        <w:t xml:space="preserve">grid using 'nearest neighbor technique' in R's [raster] (</w:t>
      </w:r>
      <w:hyperlink r:id="rId29">
        <w:r>
          <w:rPr>
            <w:rStyle w:val="Hyperlink"/>
          </w:rPr>
          <w:t xml:space="preserve">https://cran.r-project.org/web/packages/raster/index.html</w:t>
        </w:r>
      </w:hyperlink>
      <w:r>
        <w:t xml:space="preserve">) package. All 1 km</w:t>
      </w:r>
      <w:r>
        <w:rPr>
          <w:vertAlign w:val="superscript"/>
        </w:rPr>
        <w:t xml:space="preserve">2</w:t>
      </w:r>
      <w:r>
        <w:t xml:space="preserve"> </w:t>
      </w:r>
      <w:r>
        <w:t xml:space="preserve">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value of 0</w:t>
      </w:r>
    </w:p>
    <w:p>
      <w:pPr>
        <w:pStyle w:val="Heading2"/>
      </w:pPr>
      <w:bookmarkStart w:id="30" w:name="farm-design"/>
      <w:bookmarkEnd w:id="30"/>
      <w:r>
        <w:t xml:space="preserve">Farm Design</w:t>
      </w:r>
    </w:p>
    <w:p>
      <w:pPr>
        <w:pStyle w:val="FirstParagraph"/>
      </w:pPr>
      <w:r>
        <w:t xml:space="preserve">To estimate production, we assumed a fixed farm design, per 1 km</w:t>
      </w:r>
      <w:r>
        <w:rPr>
          <w:vertAlign w:val="superscript"/>
        </w:rPr>
        <w:t xml:space="preserve">2</w:t>
      </w:r>
      <w:r>
        <w:t xml:space="preserve"> </w:t>
      </w:r>
      <w:r>
        <w:t xml:space="preserve">sites, across our study region. SeaStation cages are typically configured using a grid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developed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w:t>
      </w:r>
    </w:p>
    <w:p>
      <w:pPr>
        <w:pStyle w:val="BodyText"/>
      </w:pPr>
      <w:r>
        <w:t xml:space="preserve">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2017)</w:t>
      </w:r>
      <w:r>
        <w:t xml:space="preserve">. The total cage volume per unit of total farm area for our hypothetical farm design falls within the range of total cage volume per unit area of farm area for the Kona farm</w:t>
      </w:r>
      <w:r>
        <w:t xml:space="preserve"> </w:t>
      </w:r>
      <w:r>
        <w:t xml:space="preserve">(Sims 2017)</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w:t>
      </w:r>
      <w:r>
        <w:t xml:space="preserve"> </w:t>
      </w:r>
      <w:r>
        <w:t xml:space="preserve">the total mariculture farm area should be twice the size of the total area occupied by farm infrastructure.</w:t>
      </w:r>
    </w:p>
    <w:p>
      <w:pPr>
        <w:pStyle w:val="BodyText"/>
      </w:pPr>
      <w:r>
        <w:t xml:space="preserve">To maintain a steady supply of product, commercial mariculture farms typically stage the stocking of cages so that fish of a harvestable size are available year round (ref).Cobia take twelve months on average to grow from fingerling (~XX kg) to a harvestable size of 5 - 6 kg</w:t>
      </w:r>
      <w:r>
        <w:t xml:space="preserve"> </w:t>
      </w:r>
      <w:r>
        <w:t xml:space="preserve">(Holland, n.d.)</w:t>
      </w:r>
      <w:r>
        <w:t xml:space="preserve"> </w:t>
      </w:r>
      <w:r>
        <w:t xml:space="preserve">. For our cobia farms, we assume that between 1 and 5 cages at each farm are stocked with cobia fingerlings each month. The number of fingerlings stocked in each cage remained constant, and was calculated assuming constant natural mortality (</w:t>
      </w:r>
      <w:r>
        <w:rPr>
          <w:i/>
        </w:rPr>
        <w:t xml:space="preserve">M</w:t>
      </w:r>
      <w:r>
        <w:rPr>
          <w:vertAlign w:val="superscript"/>
          <w:i/>
        </w:rPr>
        <w:t xml:space="preserve">1</w:t>
      </w:r>
      <w:r>
        <w:t xml:space="preserve">)of XX (ref) and a conservative harvest density of 15</w:t>
      </w:r>
      <w:r>
        <w:t xml:space="preserve"> </w:t>
      </w:r>
      <m:oMath>
        <m:f>
          <m:fPr>
            <m:type m:val="bar"/>
          </m:fPr>
          <m:num>
            <m:r>
              <m:t>k</m:t>
            </m:r>
            <m:r>
              <m:t>g</m:t>
            </m:r>
          </m:num>
          <m:den>
            <m:sSup>
              <m:e>
                <m:r>
                  <m:t>m</m:t>
                </m:r>
              </m:e>
              <m:sup>
                <m:r>
                  <m:t>3</m:t>
                </m:r>
              </m:sup>
            </m:sSup>
          </m:den>
        </m:f>
      </m:oMath>
      <w:r>
        <w:t xml:space="preserve"> </w:t>
      </w:r>
      <w:r>
        <w:t xml:space="preserve">), (or 16,000 individual fish per cage). This means that it take between 1 and 1.5 years for the cobia farms to reach their operational capacity (reach production potential), which is a reasonable assumption because most commercial farms scale production gradually [REF].</w:t>
      </w:r>
    </w:p>
    <w:p>
      <w:pPr>
        <w:pStyle w:val="BodyText"/>
      </w:pPr>
      <w:r>
        <w:t xml:space="preserve">Table 3:</w:t>
      </w:r>
    </w:p>
    <w:tbl>
      <w:tblPr>
        <w:tblStyle w:val="TableNormal"/>
        <w:tblW w:type="pct" w:w="1597.2222222222222"/>
        <w:tblLook w:firstRow="1"/>
      </w:tblPr>
      <w:tblGrid>
        <w:gridCol w:w="1760"/>
        <w:gridCol w:w="770"/>
      </w:tblGrid>
      <w:tr>
        <w:trPr>
          <w:cnfStyle w:firstRow="1"/>
        </w:trPr>
        <w:tc>
          <w:tcPr>
            <w:tcBorders>
              <w:bottom w:val="single"/>
            </w:tcBorders>
            <w:vAlign w:val="bottom"/>
          </w:tcPr>
          <w:p>
            <w:pPr>
              <w:pStyle w:val="Compact"/>
              <w:jc w:val="center"/>
            </w:pPr>
            <w:r>
              <w:t xml:space="preserve">Farm</w:t>
            </w:r>
            <w:r>
              <w:t xml:space="preserve"> </w:t>
            </w:r>
            <w:r>
              <w:t xml:space="preserve">Specification</w:t>
            </w:r>
          </w:p>
        </w:tc>
        <w:tc>
          <w:tcPr>
            <w:tcBorders>
              <w:bottom w:val="single"/>
            </w:tcBorders>
            <w:vAlign w:val="bottom"/>
          </w:tcPr>
          <w:p>
            <w:pPr>
              <w:pStyle w:val="Compact"/>
              <w:jc w:val="center"/>
            </w:pPr>
            <w:r>
              <w:t xml:space="preserve">Value</w:t>
            </w:r>
          </w:p>
        </w:tc>
      </w:tr>
      <w:tr>
        <w:tc>
          <w:p>
            <w:pPr>
              <w:pStyle w:val="Compact"/>
              <w:jc w:val="center"/>
            </w:pPr>
            <w:r>
              <w:t xml:space="preserve">Cage</w:t>
            </w:r>
            <w:r>
              <w:t xml:space="preserve"> </w:t>
            </w:r>
            <w:r>
              <w:t xml:space="preserve">volume</w:t>
            </w:r>
            <w:r>
              <w:t xml:space="preserve"> </w:t>
            </w:r>
            <w:r>
              <w:t xml:space="preserve">(m3)</w:t>
            </w:r>
          </w:p>
        </w:tc>
        <w:tc>
          <w:p>
            <w:pPr>
              <w:pStyle w:val="Compact"/>
              <w:jc w:val="center"/>
            </w:pPr>
            <w:r>
              <w:t xml:space="preserve">6,400</w:t>
            </w:r>
          </w:p>
        </w:tc>
      </w:tr>
      <w:tr>
        <w:tc>
          <w:p>
            <w:pPr>
              <w:pStyle w:val="Compact"/>
              <w:jc w:val="center"/>
            </w:pPr>
            <w:r>
              <w:t xml:space="preserve">Number of</w:t>
            </w:r>
            <w:r>
              <w:t xml:space="preserve"> </w:t>
            </w:r>
            <w:r>
              <w:t xml:space="preserve">cages</w:t>
            </w:r>
          </w:p>
        </w:tc>
        <w:tc>
          <w:p>
            <w:pPr>
              <w:pStyle w:val="Compact"/>
              <w:jc w:val="center"/>
            </w:pPr>
            <w:r>
              <w:t xml:space="preserve">16</w:t>
            </w:r>
          </w:p>
        </w:tc>
      </w:tr>
      <w:tr>
        <w:tc>
          <w:p>
            <w:pPr>
              <w:pStyle w:val="Compact"/>
              <w:jc w:val="center"/>
            </w:pPr>
            <w:r>
              <w:t xml:space="preserve">Harvest</w:t>
            </w:r>
            <w:r>
              <w:t xml:space="preserve"> </w:t>
            </w:r>
            <w:r>
              <w:t xml:space="preserve">size (kg)</w:t>
            </w:r>
          </w:p>
        </w:tc>
        <w:tc>
          <w:p>
            <w:pPr>
              <w:pStyle w:val="Compact"/>
              <w:jc w:val="center"/>
            </w:pPr>
            <w:r>
              <w:t xml:space="preserve">5</w:t>
            </w:r>
          </w:p>
        </w:tc>
      </w:tr>
      <w:tr>
        <w:tc>
          <w:p>
            <w:pPr>
              <w:pStyle w:val="Compact"/>
              <w:jc w:val="center"/>
            </w:pPr>
            <w:r>
              <w:t xml:space="preserve">Harvest</w:t>
            </w:r>
            <w:r>
              <w:t xml:space="preserve"> </w:t>
            </w:r>
            <w:r>
              <w:t xml:space="preserve">density</w:t>
            </w:r>
            <w:r>
              <w:t xml:space="preserve"> </w:t>
            </w:r>
            <w:r>
              <w:t xml:space="preserve">(kg/m3)</w:t>
            </w:r>
          </w:p>
        </w:tc>
        <w:tc>
          <w:p>
            <w:pPr>
              <w:pStyle w:val="Compact"/>
              <w:jc w:val="center"/>
            </w:pPr>
            <w:r>
              <w:t xml:space="preserve">15</w:t>
            </w:r>
          </w:p>
        </w:tc>
      </w:tr>
      <w:tr>
        <w:tc>
          <w:p>
            <w:pPr>
              <w:pStyle w:val="Compact"/>
              <w:jc w:val="center"/>
            </w:pPr>
            <w:r>
              <w:t xml:space="preserve">Harvest</w:t>
            </w:r>
            <w:r>
              <w:t xml:space="preserve"> </w:t>
            </w:r>
            <w:r>
              <w:t xml:space="preserve">desnity (#</w:t>
            </w:r>
            <w:r>
              <w:t xml:space="preserve"> </w:t>
            </w:r>
            <w:r>
              <w:t xml:space="preserve">of</w:t>
            </w:r>
            <w:r>
              <w:t xml:space="preserve"> </w:t>
            </w:r>
            <w:r>
              <w:t xml:space="preserve">individiuals</w:t>
            </w:r>
            <w:r>
              <w:t xml:space="preserve"> </w:t>
            </w:r>
            <w:r>
              <w:t xml:space="preserve">per cage)</w:t>
            </w:r>
          </w:p>
        </w:tc>
        <w:tc>
          <w:p>
            <w:pPr>
              <w:pStyle w:val="Compact"/>
              <w:jc w:val="center"/>
            </w:pPr>
            <w:r>
              <w:t xml:space="preserve">16,000</w:t>
            </w:r>
          </w:p>
        </w:tc>
      </w:tr>
      <w:tr>
        <w:tc>
          <w:p>
            <w:pPr>
              <w:pStyle w:val="Compact"/>
              <w:jc w:val="center"/>
            </w:pPr>
            <w:r>
              <w:t xml:space="preserve">Natural</w:t>
            </w:r>
            <w:r>
              <w:t xml:space="preserve"> </w:t>
            </w:r>
            <w:r>
              <w:t xml:space="preserve">mortality</w:t>
            </w:r>
            <w:r>
              <w:t xml:space="preserve"> </w:t>
            </w:r>
            <w:r>
              <w:t xml:space="preserve">rate (M)</w:t>
            </w:r>
          </w:p>
        </w:tc>
        <w:tc>
          <w:p>
            <w:pStyle w:val="Compact"/>
          </w:p>
        </w:tc>
      </w:tr>
      <w:tr>
        <w:tc>
          <w:p>
            <w:pPr>
              <w:pStyle w:val="Compact"/>
              <w:jc w:val="center"/>
            </w:pPr>
            <w:r>
              <w:t xml:space="preserve">Stocking</w:t>
            </w:r>
            <w:r>
              <w:t xml:space="preserve"> </w:t>
            </w:r>
            <w:r>
              <w:t xml:space="preserve">density (#</w:t>
            </w:r>
            <w:r>
              <w:t xml:space="preserve"> </w:t>
            </w:r>
            <w:r>
              <w:t xml:space="preserve">of</w:t>
            </w:r>
            <w:r>
              <w:t xml:space="preserve"> </w:t>
            </w:r>
            <w:r>
              <w:t xml:space="preserve">individuals</w:t>
            </w:r>
            <w:r>
              <w:t xml:space="preserve"> </w:t>
            </w:r>
            <w:r>
              <w:t xml:space="preserve">per cage)</w:t>
            </w:r>
          </w:p>
        </w:tc>
        <w:tc>
          <w:p>
            <w:pStyle w:val="Compact"/>
          </w:p>
        </w:tc>
      </w:tr>
    </w:tbl>
    <w:p>
      <w:pPr>
        <w:pStyle w:val="Heading2"/>
      </w:pPr>
      <w:bookmarkStart w:id="31" w:name="bioeconomic-model"/>
      <w:bookmarkEnd w:id="31"/>
      <w:r>
        <w:t xml:space="preserve">Bioeconomic Model</w:t>
      </w:r>
    </w:p>
    <w:p>
      <w:pPr>
        <w:pStyle w:val="Heading3"/>
      </w:pPr>
      <w:bookmarkStart w:id="32" w:name="temperature-perfomance-curve"/>
      <w:bookmarkEnd w:id="32"/>
      <w:r>
        <w:t xml:space="preserve">Temperature Perfomance Curve</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used a thermal performance curve (TPC) to model temperature dependent individual growth of cobia (Dane ref). We used 10 years of satellite-based sea surface temperature (SST) data (NASA 2014) to calculate 1 km</w:t>
      </w:r>
      <w:r>
        <w:rPr>
          <w:vertAlign w:val="superscript"/>
        </w:rPr>
        <w:t xml:space="preserve">2</w:t>
      </w:r>
      <w:r>
        <w:t xml:space="preserve"> </w:t>
      </w:r>
      <w:r>
        <w:t xml:space="preserve">resolution spatial data layers of average monthly SST. Monthly biomass (</w:t>
      </w:r>
      <m:oMath>
        <m:sSub>
          <m:e>
            <m:r>
              <m:t>B</m:t>
            </m:r>
          </m:e>
          <m:sub>
            <m:r>
              <m:t>m</m:t>
            </m:r>
          </m:sub>
        </m:sSub>
      </m:oMath>
      <w:r>
        <w:t xml:space="preserve">)for each cage was then calculated as:</w:t>
      </w:r>
    </w:p>
    <w:p>
      <w:pPr>
        <w:pStyle w:val="BodyText"/>
      </w:pPr>
      <w:r>
        <w:t xml:space="preserve">where t_</w:t>
      </w:r>
      <w:r>
        <w:rPr>
          <w:i/>
        </w:rPr>
        <w:t xml:space="preserve">min</w:t>
      </w:r>
      <w:r>
        <w:t xml:space="preserve"> </w:t>
      </w:r>
      <w:r>
        <w:t xml:space="preserve">is XX, t_</w:t>
      </w:r>
      <w:r>
        <w:rPr>
          <w:i/>
        </w:rPr>
        <w:t xml:space="preserve">max</w:t>
      </w:r>
      <w:r>
        <w:t xml:space="preserve"> </w:t>
      </w:r>
      <w:r>
        <w:t xml:space="preserve">is XX, and max growth occurs at t_</w:t>
      </w:r>
      <w:r>
        <w:rPr>
          <w:i/>
        </w:rPr>
        <w:t xml:space="preserve">opt</w:t>
      </w:r>
      <w:r>
        <w:t xml:space="preserve">, and SST is the average monthly SST over the last 10 years for locations,</w:t>
      </w:r>
      <w:r>
        <w:t xml:space="preserve"> </w:t>
      </w:r>
      <m:oMath>
        <m:r>
          <m:t>D</m:t>
        </m:r>
      </m:oMath>
      <w:r>
        <w:t xml:space="preserve">, is the initial stocking density of each cage, and</w:t>
      </w:r>
      <w:r>
        <w:t xml:space="preserve"> </w:t>
      </w:r>
      <m:oMath>
        <m:r>
          <m:t>S</m:t>
        </m:r>
      </m:oMath>
      <w:r>
        <w:t xml:space="preserve">, the total survival rate is assumed to be 95%</w:t>
      </w:r>
      <w:r>
        <w:t xml:space="preserve"> </w:t>
      </w:r>
      <w:r>
        <w:t xml:space="preserve">(Benetti et al. 2008)</w:t>
      </w:r>
      <w:r>
        <w:t xml:space="preserve">. (Table XX)</w:t>
      </w:r>
    </w:p>
    <w:p>
      <w:pPr>
        <w:pStyle w:val="BodyText"/>
      </w:pPr>
      <w:r>
        <w:t xml:space="preserve">Annual production (</w:t>
      </w:r>
      <m:oMath>
        <m:sSub>
          <m:e>
            <m:r>
              <m:t>B</m:t>
            </m:r>
          </m:e>
          <m:sub>
            <m:r>
              <m:t>t</m:t>
            </m:r>
          </m:sub>
        </m:sSub>
      </m:oMath>
      <w:r>
        <w:t xml:space="preserve">) at each farm is then calculated as:</w:t>
      </w:r>
    </w:p>
    <w:p>
      <w:pPr>
        <w:pStyle w:val="BodyText"/>
      </w:pPr>
      <m:oMath>
        <m:sSub>
          <m:e>
            <m:r>
              <m:t>B</m:t>
            </m:r>
          </m:e>
          <m:sub>
            <m:r>
              <m:t>t</m:t>
            </m:r>
          </m:sub>
        </m:sSub>
        <m:r>
          <m:t>=</m:t>
        </m:r>
        <m:r>
          <m:t>c</m:t>
        </m:r>
        <m:r>
          <m:t>a</m:t>
        </m:r>
        <m:r>
          <m:t>g</m:t>
        </m:r>
        <m:r>
          <m:t>e</m:t>
        </m:r>
        <m:r>
          <m:t>s</m:t>
        </m:r>
        <m:r>
          <m:t>*</m:t>
        </m:r>
        <m:nary>
          <m:naryPr>
            <m:chr m:val="∑"/>
            <m:limLoc m:val="undOvr"/>
            <m:subHide m:val="0"/>
            <m:supHide m:val="0"/>
          </m:naryPr>
          <m:sub>
            <m:r>
              <m:t>m</m:t>
            </m:r>
            <m:r>
              <m:t>=</m:t>
            </m:r>
            <m:r>
              <m:t>1</m:t>
            </m:r>
          </m:sub>
          <m:sup>
            <m:r>
              <m:t>12</m:t>
            </m:r>
          </m:sup>
          <m:e>
            <m:r>
              <m:t>*</m:t>
            </m:r>
          </m:e>
        </m:nary>
        <m:sSub>
          <m:e>
            <m:r>
              <m:t>B</m:t>
            </m:r>
          </m:e>
          <m:sub>
            <m:r>
              <m:t>m</m:t>
            </m:r>
          </m:sub>
        </m:sSub>
      </m:oMath>
    </w:p>
    <w:p>
      <w:pPr>
        <w:pStyle w:val="BodyText"/>
      </w:pPr>
      <w:r>
        <w:t xml:space="preserve">Where</w:t>
      </w:r>
      <w:r>
        <w:t xml:space="preserve"> </w:t>
      </w:r>
      <w:r>
        <w:rPr>
          <w:i/>
        </w:rPr>
        <w:t xml:space="preserve">cages</w:t>
      </w:r>
      <w:r>
        <w:t xml:space="preserve"> </w:t>
      </w:r>
      <w:r>
        <w:t xml:space="preserve">is the number of cages per farm and</w:t>
      </w:r>
      <w:r>
        <w:t xml:space="preserve"> </w:t>
      </w:r>
      <m:oMath>
        <m:sSub>
          <m:e>
            <m:r>
              <m:t>B</m:t>
            </m:r>
          </m:e>
          <m:sub>
            <m:r>
              <m:t>m</m:t>
            </m:r>
          </m:sub>
        </m:sSub>
      </m:oMath>
      <w:r>
        <w:t xml:space="preserve"> </w:t>
      </w:r>
      <w:r>
        <w:t xml:space="preserve">is the monthly total biomass per cage.</w:t>
      </w:r>
    </w:p>
    <w:p>
      <w:pPr>
        <w:pStyle w:val="Heading3"/>
      </w:pPr>
      <w:bookmarkStart w:id="33" w:name="economic-model"/>
      <w:bookmarkEnd w:id="33"/>
      <w:r>
        <w:t xml:space="preserve">Economic Model</w:t>
      </w:r>
    </w:p>
    <w:p>
      <w:pPr>
        <w:pStyle w:val="Heading4"/>
      </w:pPr>
      <w:bookmarkStart w:id="34" w:name="costs"/>
      <w:bookmarkEnd w:id="34"/>
      <w:r>
        <w:t xml:space="preserve">Costs</w:t>
      </w:r>
    </w:p>
    <w:p>
      <w:pPr>
        <w:pStyle w:val="FirstParagraph"/>
      </w:pPr>
      <w:r>
        <w:t xml:space="preserve">Using cost parameters we derived from the literature for each EEZ and parameters that were fixed across all sites (Table 4), the economic model estimates total operating costs (</w:t>
      </w:r>
      <m:oMath>
        <m:r>
          <m:t>T</m:t>
        </m:r>
        <m:r>
          <m:t>C</m:t>
        </m:r>
      </m:oMath>
      <w:r>
        <w:t xml:space="preserve">) for each farm</w:t>
      </w:r>
      <w:r>
        <w:t xml:space="preserve"> </w:t>
      </w:r>
      <m:oMath>
        <m:r>
          <m:t>i</m:t>
        </m:r>
      </m:oMath>
      <w:r>
        <w:t xml:space="preserve"> </w:t>
      </w:r>
      <w:r>
        <w:t xml:space="preserve">at</w:t>
      </w:r>
      <w:r>
        <w:t xml:space="preserve"> </w:t>
      </w:r>
      <m:oMath>
        <m:r>
          <m:t>t</m:t>
        </m:r>
        <m:r>
          <m:t>=</m:t>
        </m:r>
        <m:r>
          <m:t>1</m:t>
        </m:r>
      </m:oMath>
      <w:r>
        <w:t xml:space="preserve"> </w:t>
      </w:r>
      <w:r>
        <w:t xml:space="preserve">year as:</w:t>
      </w:r>
    </w:p>
    <w:p>
      <w:pPr>
        <w:pStyle w:val="BodyText"/>
      </w:pPr>
      <m:oMath>
        <m:r>
          <m:t>T</m:t>
        </m:r>
        <m:sSub>
          <m:e>
            <m:r>
              <m:t>C</m:t>
            </m:r>
          </m:e>
          <m:sub>
            <m:r>
              <m:t>i</m:t>
            </m:r>
            <m:r>
              <m:t>,</m:t>
            </m:r>
            <m:r>
              <m:t>t</m:t>
            </m:r>
            <m:r>
              <m:t>=</m:t>
            </m:r>
            <m:r>
              <m:t>1</m:t>
            </m:r>
          </m:sub>
        </m:sSub>
        <m:r>
          <m:t>=</m:t>
        </m:r>
        <m:r>
          <m:t>S</m:t>
        </m:r>
        <m:sSub>
          <m:e>
            <m:r>
              <m:t>C</m:t>
            </m:r>
          </m:e>
          <m:sub>
            <m:r>
              <m:t>i</m:t>
            </m:r>
            <m:r>
              <m:t>,</m:t>
            </m:r>
            <m:r>
              <m:t>t</m:t>
            </m:r>
            <m:r>
              <m:t>=</m:t>
            </m:r>
            <m:r>
              <m:t>1</m:t>
            </m:r>
          </m:sub>
        </m:sSub>
        <m:r>
          <m:t>+</m:t>
        </m:r>
        <m:r>
          <m:t>O</m:t>
        </m:r>
        <m:sSub>
          <m:e>
            <m:r>
              <m:t>C</m:t>
            </m:r>
          </m:e>
          <m:sub>
            <m:r>
              <m:t>i</m:t>
            </m:r>
            <m:r>
              <m:t>,</m:t>
            </m:r>
            <m:r>
              <m:t>t</m:t>
            </m:r>
            <m:r>
              <m:t>=</m:t>
            </m:r>
            <m:r>
              <m:t>1</m:t>
            </m:r>
          </m:sub>
        </m:sSub>
      </m:oMath>
    </w:p>
    <w:p>
      <w:pPr>
        <w:pStyle w:val="BodyText"/>
      </w:pPr>
      <w:r>
        <w:t xml:space="preserve">and</w:t>
      </w:r>
      <w:r>
        <w:t xml:space="preserve"> </w:t>
      </w:r>
      <m:oMath>
        <m:r>
          <m:t>T</m:t>
        </m:r>
        <m:r>
          <m:t>C</m:t>
        </m:r>
      </m:oMath>
      <w:r>
        <w:t xml:space="preserve"> </w:t>
      </w:r>
      <w:r>
        <w:t xml:space="preserve">for all subsequent years (</w:t>
      </w:r>
      <m:oMath>
        <m:r>
          <m:t>t</m:t>
        </m:r>
        <m:r>
          <m:t>&gt;</m:t>
        </m:r>
        <m:r>
          <m:t>1</m:t>
        </m:r>
      </m:oMath>
      <w:r>
        <w:t xml:space="preserve"> </w:t>
      </w:r>
      <w:r>
        <w:t xml:space="preserve">as) at each site</w:t>
      </w:r>
      <w:r>
        <w:t xml:space="preserve"> </w:t>
      </w:r>
      <m:oMath>
        <m:r>
          <m:t>i</m:t>
        </m:r>
      </m:oMath>
      <w:r>
        <w:t xml:space="preserve">:</w:t>
      </w:r>
    </w:p>
    <w:p>
      <w:pPr>
        <w:pStyle w:val="BodyText"/>
      </w:pPr>
      <m:oMath>
        <m:r>
          <m:t>T</m:t>
        </m:r>
        <m:sSub>
          <m:e>
            <m:r>
              <m:t>C</m:t>
            </m:r>
          </m:e>
          <m:sub>
            <m:r>
              <m:t>t</m:t>
            </m:r>
            <m:r>
              <m:t>&gt;</m:t>
            </m:r>
            <m:r>
              <m:t>1</m:t>
            </m:r>
            <m:r>
              <m:t>,</m:t>
            </m:r>
            <m:r>
              <m:t>i</m:t>
            </m:r>
          </m:sub>
        </m:sSub>
        <m:r>
          <m:t>=</m:t>
        </m:r>
        <m:r>
          <m:t>O</m:t>
        </m:r>
        <m:sSub>
          <m:e>
            <m:r>
              <m:t>C</m:t>
            </m:r>
          </m:e>
          <m:sub>
            <m:r>
              <m:t>t</m:t>
            </m:r>
            <m:r>
              <m:t>&gt;</m:t>
            </m:r>
            <m:r>
              <m:t>1</m:t>
            </m:r>
            <m:r>
              <m:t>,</m:t>
            </m:r>
            <m:r>
              <m:t>i</m:t>
            </m:r>
          </m:sub>
        </m:sSub>
      </m:oMath>
    </w:p>
    <w:p>
      <w:pPr>
        <w:pStyle w:val="BodyText"/>
      </w:pPr>
      <w:r>
        <w:t xml:space="preserve">where</w:t>
      </w:r>
      <w:r>
        <w:t xml:space="preserve"> </w:t>
      </w:r>
      <m:oMath>
        <m:r>
          <m:t>S</m:t>
        </m:r>
        <m:r>
          <m:t>C</m:t>
        </m:r>
      </m:oMath>
      <w:r>
        <w:t xml:space="preserve"> </w:t>
      </w:r>
      <w:r>
        <w:t xml:space="preserve">represents capital expenditure (start up costs) at each site</w:t>
      </w:r>
      <w:r>
        <w:t xml:space="preserve"> </w:t>
      </w:r>
      <m:oMath>
        <m:r>
          <m:t>i</m:t>
        </m:r>
      </m:oMath>
      <w:r>
        <w:t xml:space="preserve"> </w:t>
      </w:r>
      <w:r>
        <w:t xml:space="preserve">as a function of average site depth (</w:t>
      </w:r>
      <m:oMath>
        <m:r>
          <m:t>d</m:t>
        </m:r>
        <m:r>
          <m:t>e</m:t>
        </m:r>
        <m:r>
          <m:t>p</m:t>
        </m:r>
        <m:r>
          <m:t>t</m:t>
        </m:r>
        <m:r>
          <m:t>h</m:t>
        </m:r>
      </m:oMath>
      <w:r>
        <w:t xml:space="preserve">), distance from port (</w:t>
      </w:r>
      <m:oMath>
        <m:r>
          <m:t>d</m:t>
        </m:r>
        <m:r>
          <m:t>i</m:t>
        </m:r>
        <m:r>
          <m:t>s</m:t>
        </m:r>
        <m:r>
          <m:t>t</m:t>
        </m:r>
        <m:r>
          <m:t>a</m:t>
        </m:r>
        <m:r>
          <m:t>n</m:t>
        </m:r>
        <m:r>
          <m:t>c</m:t>
        </m:r>
        <m:r>
          <m:t>e</m:t>
        </m:r>
      </m:oMath>
      <w:r>
        <w:t xml:space="preserve">), and</w:t>
      </w:r>
      <w:r>
        <w:t xml:space="preserve"> </w:t>
      </w:r>
      <m:oMath>
        <m:r>
          <m:t>E</m:t>
        </m:r>
        <m:r>
          <m:t>E</m:t>
        </m:r>
        <m:r>
          <m:t>Z</m:t>
        </m:r>
      </m:oMath>
      <w:r>
        <w:t xml:space="preserve">:</w:t>
      </w:r>
    </w:p>
    <w:p>
      <w:pPr>
        <w:pStyle w:val="BodyText"/>
      </w:pPr>
      <m:oMath>
        <m:r>
          <m:t>S</m:t>
        </m:r>
        <m:sSub>
          <m:e>
            <m:r>
              <m:t>C</m:t>
            </m:r>
          </m:e>
          <m:sub>
            <m:r>
              <m:t>i</m:t>
            </m:r>
            <m:r>
              <m:t>,</m:t>
            </m:r>
            <m:r>
              <m:t>t</m:t>
            </m:r>
            <m:r>
              <m:t>=</m:t>
            </m:r>
            <m:r>
              <m:t>1</m:t>
            </m:r>
          </m:sub>
        </m:sSub>
        <m:r>
          <m:t>=</m:t>
        </m:r>
        <m:sSub>
          <m:e>
            <m:r>
              <m:t>E</m:t>
            </m:r>
          </m:e>
          <m:sub>
            <m:r>
              <m:t>d</m:t>
            </m:r>
            <m:r>
              <m:t>e</m:t>
            </m:r>
            <m:r>
              <m:t>p</m:t>
            </m:r>
            <m:r>
              <m:t>t</m:t>
            </m:r>
            <m:r>
              <m:t>h</m:t>
            </m:r>
          </m:sub>
        </m:sSub>
        <m:r>
          <m:t>+</m:t>
        </m:r>
        <m:sSub>
          <m:e>
            <m:r>
              <m:t>I</m:t>
            </m:r>
          </m:e>
          <m:sub>
            <m:r>
              <m:t>d</m:t>
            </m:r>
            <m:r>
              <m:t>i</m:t>
            </m:r>
            <m:r>
              <m:t>s</m:t>
            </m:r>
            <m:r>
              <m:t>t</m:t>
            </m:r>
            <m:r>
              <m:t>a</m:t>
            </m:r>
            <m:r>
              <m:t>n</m:t>
            </m:r>
            <m:r>
              <m:t>c</m:t>
            </m:r>
            <m:r>
              <m:t>e</m:t>
            </m:r>
            <m:r>
              <m:t>,</m:t>
            </m:r>
            <m:r>
              <m:t>E</m:t>
            </m:r>
            <m:r>
              <m:t>E</m:t>
            </m:r>
            <m:r>
              <m:t>Z</m:t>
            </m:r>
          </m:sub>
        </m:sSub>
        <m:r>
          <m:t>+</m:t>
        </m:r>
        <m:sSub>
          <m:e>
            <m:r>
              <m:t>P</m:t>
            </m:r>
          </m:e>
          <m:sub>
            <m:r>
              <m:t>E</m:t>
            </m:r>
            <m:r>
              <m:t>E</m:t>
            </m:r>
            <m:r>
              <m:t>Z</m:t>
            </m:r>
          </m:sub>
        </m:sSub>
      </m:oMath>
    </w:p>
    <w:p>
      <w:pPr>
        <w:pStyle w:val="BodyText"/>
      </w:pPr>
      <w:r>
        <w:t xml:space="preserve">where</w:t>
      </w:r>
      <w:r>
        <w:t xml:space="preserve"> </w:t>
      </w:r>
      <m:oMath>
        <m:r>
          <m:t>E</m:t>
        </m:r>
      </m:oMath>
      <w:r>
        <w:t xml:space="preserve"> </w:t>
      </w:r>
      <w:r>
        <w:t xml:space="preserve">represents materials and equipment costs as a function of depth,</w:t>
      </w:r>
      <w:r>
        <w:t xml:space="preserve"> </w:t>
      </w:r>
      <m:oMath>
        <m:r>
          <m:t>I</m:t>
        </m:r>
      </m:oMath>
      <w:r>
        <w:t xml:space="preserve"> </w:t>
      </w:r>
      <w:r>
        <w:t xml:space="preserve">represent installation costs as a function of the farm's distance from shore and, base installation costs that vary by EEZ, and</w:t>
      </w:r>
      <w:r>
        <w:t xml:space="preserve"> </w:t>
      </w:r>
      <m:oMath>
        <m:r>
          <m:t>P</m:t>
        </m:r>
      </m:oMath>
      <w:r>
        <w:t xml:space="preserve"> </w:t>
      </w:r>
      <w:r>
        <w:t xml:space="preserve">represents the cost of an aquaculture permit or lease as a function of EEZ (Table 4).</w:t>
      </w:r>
    </w:p>
    <w:p>
      <w:pPr>
        <w:pStyle w:val="BodyText"/>
      </w:pPr>
      <m:oMath>
        <m:r>
          <m:t>O</m:t>
        </m:r>
        <m:sSub>
          <m:e>
            <m:r>
              <m:t>C</m:t>
            </m:r>
          </m:e>
          <m:sub>
            <m:r>
              <m:t>i</m:t>
            </m:r>
            <m:r>
              <m:t>,</m:t>
            </m:r>
            <m:r>
              <m:t>t</m:t>
            </m:r>
          </m:sub>
        </m:sSub>
      </m:oMath>
      <w:r>
        <w:t xml:space="preserve"> </w:t>
      </w:r>
      <w:r>
        <w:t xml:space="preserve">represents annual operating costs at each site</w:t>
      </w:r>
      <w:r>
        <w:t xml:space="preserve"> </w:t>
      </w:r>
      <m:oMath>
        <m:r>
          <m:t>i</m:t>
        </m:r>
      </m:oMath>
      <w:r>
        <w:t xml:space="preserve"> </w:t>
      </w:r>
      <w:r>
        <w:t xml:space="preserve">for each year</w:t>
      </w:r>
      <w:r>
        <w:t xml:space="preserve"> </w:t>
      </w:r>
      <m:oMath>
        <m:r>
          <m:t>t</m:t>
        </m:r>
      </m:oMath>
      <w:r>
        <w:t xml:space="preserve">:</w:t>
      </w:r>
    </w:p>
    <w:p>
      <w:pPr>
        <w:pStyle w:val="BodyText"/>
      </w:pPr>
      <m:oMath>
        <m:r>
          <m:t>O</m:t>
        </m:r>
        <m:sSub>
          <m:e>
            <m:r>
              <m:t>C</m:t>
            </m:r>
          </m:e>
          <m:sub>
            <m:r>
              <m:t>i</m:t>
            </m:r>
            <m:r>
              <m:t>,</m:t>
            </m:r>
            <m:r>
              <m:t>t</m:t>
            </m:r>
          </m:sub>
        </m:sSub>
        <m:r>
          <m:t>=</m:t>
        </m:r>
        <m:r>
          <m:t>(</m:t>
        </m:r>
        <m:sSub>
          <m:e>
            <m:r>
              <m:t>u</m:t>
            </m:r>
          </m:e>
          <m:sub>
            <m:r>
              <m:t>w</m:t>
            </m:r>
            <m:r>
              <m:t>a</m:t>
            </m:r>
            <m:r>
              <m:t>v</m:t>
            </m:r>
            <m:sSub>
              <m:e>
                <m:r>
                  <m:t>e</m:t>
                </m:r>
              </m:e>
              <m:sub>
                <m:r>
                  <m:t>e</m:t>
                </m:r>
              </m:sub>
            </m:sSub>
            <m:r>
              <m:t>x</m:t>
            </m:r>
            <m:r>
              <m:t>p</m:t>
            </m:r>
            <m:r>
              <m:t>o</m:t>
            </m:r>
            <m:r>
              <m:t>s</m:t>
            </m:r>
            <m:r>
              <m:t>u</m:t>
            </m:r>
            <m:r>
              <m:t>r</m:t>
            </m:r>
            <m:r>
              <m:t>e</m:t>
            </m:r>
          </m:sub>
        </m:sSub>
        <m:r>
          <m:t>*</m:t>
        </m:r>
        <m:r>
          <m:t>w</m:t>
        </m:r>
        <m:r>
          <m:t>*</m:t>
        </m:r>
        <m:sSub>
          <m:e>
            <m:r>
              <m:t>d</m:t>
            </m:r>
          </m:e>
          <m:sub>
            <m:r>
              <m:t>E</m:t>
            </m:r>
            <m:r>
              <m:t>E</m:t>
            </m:r>
            <m:r>
              <m:t>Z</m:t>
            </m:r>
          </m:sub>
        </m:sSub>
        <m:r>
          <m:t>)</m:t>
        </m:r>
        <m:r>
          <m:t>+</m:t>
        </m:r>
        <m:r>
          <m:t>(</m:t>
        </m:r>
        <m:f>
          <m:fPr>
            <m:type m:val="bar"/>
          </m:fPr>
          <m:num>
            <m:r>
              <m:t>d</m:t>
            </m:r>
            <m:r>
              <m:t>i</m:t>
            </m:r>
            <m:r>
              <m:t>s</m:t>
            </m:r>
            <m:r>
              <m:t>t</m:t>
            </m:r>
            <m:r>
              <m:t>a</m:t>
            </m:r>
            <m:r>
              <m:t>n</m:t>
            </m:r>
            <m:r>
              <m:t>c</m:t>
            </m:r>
            <m:r>
              <m:t>e</m:t>
            </m:r>
          </m:num>
          <m:den>
            <m:r>
              <m:t>b</m:t>
            </m:r>
          </m:den>
        </m:f>
        <m:r>
          <m:t>*</m:t>
        </m:r>
        <m:r>
          <m:t>w</m:t>
        </m:r>
        <m:r>
          <m:t>*</m:t>
        </m:r>
        <m:sSub>
          <m:e>
            <m:r>
              <m:t>d</m:t>
            </m:r>
          </m:e>
          <m:sub>
            <m:r>
              <m:t>E</m:t>
            </m:r>
            <m:r>
              <m:t>E</m:t>
            </m:r>
            <m:r>
              <m:t>Z</m:t>
            </m:r>
          </m:sub>
        </m:sSub>
        <m:r>
          <m:t>*</m:t>
        </m:r>
        <m:r>
          <m:t>r</m:t>
        </m:r>
        <m:r>
          <m:t>)</m:t>
        </m:r>
        <m:r>
          <m:t>+</m:t>
        </m:r>
        <m:r>
          <m:t>(</m:t>
        </m:r>
        <m:r>
          <m:t>d</m:t>
        </m:r>
        <m:r>
          <m:t>i</m:t>
        </m:r>
        <m:r>
          <m:t>s</m:t>
        </m:r>
        <m:r>
          <m:t>t</m:t>
        </m:r>
        <m:r>
          <m:t>a</m:t>
        </m:r>
        <m:r>
          <m:t>n</m:t>
        </m:r>
        <m:r>
          <m:t>c</m:t>
        </m:r>
        <m:r>
          <m:t>e</m:t>
        </m:r>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r>
          <m:t>u</m:t>
        </m:r>
      </m:oMath>
      <w:r>
        <w:t xml:space="preserve"> </w:t>
      </w:r>
      <w:r>
        <w:t xml:space="preserve">is the hours required at each site as a function of wave exposure,</w:t>
      </w:r>
      <w:r>
        <w:t xml:space="preserve"> </w:t>
      </w:r>
      <m:oMath>
        <m:r>
          <m:t>w</m:t>
        </m:r>
      </m:oMath>
      <w:r>
        <w:t xml:space="preserve"> </w:t>
      </w:r>
      <w:r>
        <w:t xml:space="preserve">is the number of workers required to service a farm, and</w:t>
      </w:r>
      <w:r>
        <w:t xml:space="preserve"> </w:t>
      </w:r>
      <m:oMath>
        <m:r>
          <m:t>d</m:t>
        </m:r>
      </m:oMath>
      <w:r>
        <w:t xml:space="preserve"> </w:t>
      </w:r>
      <w:r>
        <w:t xml:space="preserve">is the hourly wage per worker as a function of EEZ,</w:t>
      </w:r>
      <w:r>
        <w:t xml:space="preserve"> </w:t>
      </w:r>
      <m:oMath>
        <m:r>
          <m:t>d</m:t>
        </m:r>
        <m:r>
          <m:t>i</m:t>
        </m:r>
        <m:r>
          <m:t>s</m:t>
        </m:r>
        <m:r>
          <m:t>t</m:t>
        </m:r>
        <m:r>
          <m:t>a</m:t>
        </m:r>
        <m:r>
          <m:t>n</m:t>
        </m:r>
        <m:r>
          <m:t>c</m:t>
        </m:r>
        <m:r>
          <m:t>e</m:t>
        </m:r>
      </m:oMath>
      <w:r>
        <w:t xml:space="preserve"> </w:t>
      </w:r>
      <w:r>
        <w:t xml:space="preserve">is distance from shore (km),</w:t>
      </w:r>
      <w:r>
        <w:t xml:space="preserve"> </w:t>
      </w:r>
      <m:oMath>
        <m:r>
          <m:t>b</m:t>
        </m:r>
      </m:oMath>
      <w:r>
        <w:t xml:space="preserve"> </w:t>
      </w:r>
      <w:r>
        <w:t xml:space="preserve">is average boat speed to farm sites,</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a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fixed cost of fingerlings in year</w:t>
      </w:r>
      <w:r>
        <w:t xml:space="preserve"> </w:t>
      </w:r>
      <m:oMath>
        <m:r>
          <m:t>t</m:t>
        </m:r>
      </m:oMath>
      <w:r>
        <w:t xml:space="preserve"> </w:t>
      </w:r>
      <w:r>
        <w:t xml:space="preserve">for a individual farm, and</w:t>
      </w:r>
      <w:r>
        <w:t xml:space="preserve"> </w:t>
      </w:r>
      <m:oMath>
        <m:r>
          <m:t>h</m:t>
        </m:r>
      </m:oMath>
      <w:r>
        <w:t xml:space="preserve"> </w:t>
      </w:r>
      <w:r>
        <w:t xml:space="preserve">is the fixed cost of feed in year</w:t>
      </w:r>
      <w:r>
        <w:t xml:space="preserve"> </w:t>
      </w:r>
      <m:oMath>
        <m:r>
          <m:t>t</m:t>
        </m:r>
      </m:oMath>
      <w:r>
        <w:t xml:space="preserve"> </w:t>
      </w:r>
      <w:r>
        <w:t xml:space="preserve">for a individual farm.</w:t>
      </w:r>
    </w:p>
    <w:p>
      <w:pPr>
        <w:pStyle w:val="Heading4"/>
      </w:pPr>
      <w:bookmarkStart w:id="35" w:name="discount-rate"/>
      <w:bookmarkEnd w:id="35"/>
      <w:r>
        <w:t xml:space="preserve">Discount Rate</w:t>
      </w:r>
    </w:p>
    <w:p>
      <w:pPr>
        <w:pStyle w:val="FirstParagraph"/>
      </w:pPr>
      <w:r>
        <w:t xml:space="preserve">Barriers to the development of aquaculture in the Caribbean are lack of infrastructure, and political and economic stability, factors that deter private sector investors</w:t>
      </w:r>
      <w:r>
        <w:t xml:space="preserve"> </w:t>
      </w:r>
      <w:r>
        <w:t xml:space="preserve">(</w:t>
      </w:r>
      <w:r>
        <w:rPr>
          <w:b/>
        </w:rPr>
        <w:t xml:space="preserve">???</w:t>
      </w:r>
      <w:r>
        <w:t xml:space="preserve">)</w:t>
      </w:r>
      <w:r>
        <w:t xml:space="preserve">. We incorporate the foreign investment risk associated with a country into the discount rate.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 Here, we modify previously published methodologies for quantifying country investment risk to quantify a country’s relative investment risk in the Caribbean, where limited data on economic and political conditions are available.</w:t>
      </w:r>
    </w:p>
    <w:p>
      <w:pPr>
        <w:pStyle w:val="BodyText"/>
      </w:pPr>
      <w:r>
        <w:t xml:space="preserve">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XX). Political and economic risk scores are calculated by taking the sum of final scores for all three variable, and the total risk score is calculated by multiplying the political and economic risk scores by the specified weight and then summing the values. The weights shown in Table 1 were arbitrarily chosen by McGowan and Moeller</w:t>
      </w:r>
      <w:r>
        <w:t xml:space="preserve"> </w:t>
      </w:r>
      <w:r>
        <w:t xml:space="preserve">(2009)</w:t>
      </w:r>
      <w:r>
        <w:t xml:space="preserve">. In practice, they recommend weighting variables according to relevance and importance to the particular project that is being assessed.</w:t>
      </w:r>
    </w:p>
    <w:p>
      <w:pPr>
        <w:pStyle w:val="BodyText"/>
      </w:pPr>
      <w:r>
        <w:t xml:space="preserve">Limited data was available for the risk variables decried by McGowan and Moeller</w:t>
      </w:r>
      <w:r>
        <w:t xml:space="preserve"> </w:t>
      </w:r>
      <w:r>
        <w:t xml:space="preserve">(2009)</w:t>
      </w:r>
      <w:r>
        <w:t xml:space="preserve">for Caribbean island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t>
      </w:r>
    </w:p>
    <w:p>
      <w:pPr>
        <w:pStyle w:val="BodyText"/>
      </w:pPr>
      <w:r>
        <w:t xml:space="preserve">We calculated the total summed biomass (mt) over a ten year period, and the 10 year Net Present Value (NPV), and only farms that generate positive revenue are considered feasible for development. Feasible farms within each EEZ were then ranked according to: yield and profit (highest to lowest). We then examined the range of estimated yields and profits generated by farms within an EEZ, and compared the highest and lowest yield and revenue generating farms across EEZs.</w:t>
      </w:r>
    </w:p>
    <w:p>
      <w:pPr>
        <w:pStyle w:val="Heading4"/>
      </w:pPr>
      <w:bookmarkStart w:id="36" w:name="national-supply-curves"/>
      <w:bookmarkEnd w:id="36"/>
      <w:r>
        <w:t xml:space="preserve">National Supply Curves</w:t>
      </w:r>
    </w:p>
    <w:p>
      <w:pPr>
        <w:pStyle w:val="FirstParagraph"/>
      </w:pPr>
      <w:r>
        <w:t xml:space="preserve">Using the discount rate, costs, and annual cobia biomass produced at each farm, we construct a supply curve of cobia for each EEZ by summing biomass (</w:t>
      </w:r>
      <m:oMath>
        <m:r>
          <m:t>B</m:t>
        </m:r>
      </m:oMath>
      <w:r>
        <w:t xml:space="preserve">) of all profitable farms in an EEZ at every price $0.01 to xx at</w:t>
      </w:r>
      <w:r>
        <w:t xml:space="preserve"> </w:t>
      </w:r>
      <m:oMath>
        <m:r>
          <m:t>0.05</m:t>
        </m:r>
        <m:r>
          <m:t>i</m:t>
        </m:r>
        <m:r>
          <m:t>n</m:t>
        </m:r>
        <m:r>
          <m:t>c</m:t>
        </m:r>
        <m:r>
          <m:t>r</m:t>
        </m:r>
        <m:r>
          <m:t>e</m:t>
        </m:r>
        <m:r>
          <m:t>m</m:t>
        </m:r>
        <m:r>
          <m:t>e</m:t>
        </m:r>
        <m:r>
          <m:t>n</m:t>
        </m:r>
        <m:r>
          <m:t>t</m:t>
        </m:r>
        <m:r>
          <m:t>s</m:t>
        </m:r>
        <m:r>
          <m:t>.</m:t>
        </m:r>
        <m:r>
          <m:t>T</m:t>
        </m:r>
        <m:r>
          <m:t>o</m:t>
        </m:r>
        <m:r>
          <m:t>t</m:t>
        </m:r>
        <m:r>
          <m:t>a</m:t>
        </m:r>
        <m:r>
          <m:t>l</m:t>
        </m:r>
        <m:r>
          <m:t>r</m:t>
        </m:r>
        <m:r>
          <m:t>e</m:t>
        </m:r>
        <m:r>
          <m:t>v</m:t>
        </m:r>
        <m:r>
          <m:t>e</m:t>
        </m:r>
        <m:r>
          <m:t>n</m:t>
        </m:r>
        <m:r>
          <m:t>e</m:t>
        </m:r>
        <m:r>
          <m:t>(</m:t>
        </m:r>
      </m:oMath>
      <w:r>
        <w:t xml:space="preserve">TR$) of each farm is calculated as:</w:t>
      </w:r>
    </w:p>
    <w:p>
      <w:pPr>
        <w:pStyle w:val="BodyText"/>
      </w:pPr>
      <m:oMath>
        <m:r>
          <m:t>T</m:t>
        </m:r>
        <m:sSub>
          <m:e>
            <m:r>
              <m:t>R</m:t>
            </m:r>
          </m:e>
          <m:sub>
            <m:r>
              <m:t>i</m:t>
            </m:r>
            <m:r>
              <m:t>,</m:t>
            </m:r>
            <m:r>
              <m:t>t</m:t>
            </m:r>
          </m:sub>
        </m:sSub>
        <m:r>
          <m:t>=</m:t>
        </m:r>
        <m:r>
          <m:t>(</m:t>
        </m:r>
        <m:nary>
          <m:naryPr>
            <m:chr m:val="∑"/>
            <m:limLoc m:val="undOvr"/>
            <m:subHide m:val="0"/>
            <m:supHide m:val="0"/>
          </m:naryPr>
          <m:sub>
            <m:r>
              <m:t>t</m:t>
            </m:r>
          </m:sub>
          <m:sup>
            <m:r>
              <m:t>10</m:t>
            </m:r>
          </m:sup>
          <m:e>
            <m:sSub>
              <m:e>
                <m:r>
                  <m:t>B</m:t>
                </m:r>
              </m:e>
              <m:sub>
                <m:r>
                  <m:t>t</m:t>
                </m:r>
              </m:sub>
            </m:sSub>
          </m:e>
        </m:nary>
        <m:r>
          <m:t>*</m:t>
        </m:r>
        <m:sSub>
          <m:e>
            <m:r>
              <m:t>c</m:t>
            </m:r>
          </m:e>
          <m:sub>
            <m:r>
              <m:t>t</m:t>
            </m:r>
          </m:sub>
        </m:sSub>
        <m:r>
          <m:t>)</m:t>
        </m:r>
        <m:r>
          <m:t>–</m:t>
        </m:r>
        <m:r>
          <m:t>(</m:t>
        </m:r>
        <m:nary>
          <m:naryPr>
            <m:chr m:val="∑"/>
            <m:limLoc m:val="undOvr"/>
            <m:subHide m:val="0"/>
            <m:supHide m:val="0"/>
          </m:naryPr>
          <m:sub>
            <m:r>
              <m:t>t</m:t>
            </m:r>
          </m:sub>
          <m:sup>
            <m:r>
              <m:t>10</m:t>
            </m:r>
          </m:sup>
          <m:e>
            <m:sSub>
              <m:e>
                <m:r>
                  <m:t>B</m:t>
                </m:r>
              </m:e>
              <m:sub>
                <m:r>
                  <m:t>t</m:t>
                </m:r>
              </m:sub>
            </m:sSub>
          </m:e>
        </m:nary>
        <m:r>
          <m:t>*</m:t>
        </m:r>
        <m:sSub>
          <m:e>
            <m:r>
              <m:t>c</m:t>
            </m:r>
          </m:e>
          <m:sub>
            <m:r>
              <m:t>t</m:t>
            </m:r>
          </m:sub>
        </m:sSub>
        <m:r>
          <m:t>*</m:t>
        </m:r>
        <m:sSub>
          <m:e>
            <m:r>
              <m:t>k</m:t>
            </m:r>
          </m:e>
          <m:sub>
            <m:r>
              <m:t>E</m:t>
            </m:r>
            <m:r>
              <m:t>E</m:t>
            </m:r>
            <m:r>
              <m:t>Z</m:t>
            </m:r>
          </m:sub>
        </m:sSub>
        <m:r>
          <m:t>)</m:t>
        </m:r>
      </m:oMath>
    </w:p>
    <w:p>
      <w:pPr>
        <w:pStyle w:val="BodyText"/>
      </w:pPr>
      <w:r>
        <w:t xml:space="preserve">Where</w:t>
      </w:r>
      <w:r>
        <w:t xml:space="preserve"> </w:t>
      </w:r>
      <m:oMath>
        <m:r>
          <m:t>c</m:t>
        </m:r>
      </m:oMath>
      <w:r>
        <w:t xml:space="preserve"> </w:t>
      </w:r>
      <w:r>
        <w:t xml:space="preserve">is the price of cobia and</w:t>
      </w:r>
      <w:r>
        <w:t xml:space="preserve"> </w:t>
      </w:r>
      <m:oMath>
        <m:r>
          <m:t>k</m:t>
        </m:r>
      </m:oMath>
      <w:r>
        <w:t xml:space="preserve"> </w:t>
      </w:r>
      <w:r>
        <w:t xml:space="preserve">is the export tax as a function of EEZ.</w:t>
      </w:r>
    </w:p>
    <w:p>
      <w:pPr>
        <w:pStyle w:val="BodyText"/>
      </w:pPr>
      <w:r>
        <w:t xml:space="preserve">Annual total farm profit (</w:t>
      </w:r>
      <m:oMath>
        <m:r>
          <m:t>π</m:t>
        </m:r>
      </m:oMath>
      <w:r>
        <w:t xml:space="preserve">) for each farm</w:t>
      </w:r>
      <w:r>
        <w:t xml:space="preserve"> </w:t>
      </w:r>
      <m:oMath>
        <m:r>
          <m:t>i</m:t>
        </m:r>
      </m:oMath>
      <w:r>
        <w:t xml:space="preserve"> </w:t>
      </w:r>
      <w:r>
        <w:t xml:space="preserve">at year</w:t>
      </w:r>
      <w:r>
        <w:t xml:space="preserve"> </w:t>
      </w:r>
      <m:oMath>
        <m:r>
          <m:t>t</m:t>
        </m:r>
      </m:oMath>
      <w:r>
        <w:t xml:space="preserve"> </w:t>
      </w:r>
      <w:r>
        <w:t xml:space="preserve">are calculated as:</w:t>
      </w:r>
    </w:p>
    <w:p>
      <w:pPr>
        <w:pStyle w:val="BodyText"/>
      </w:pPr>
      <m:oMath>
        <m:r>
          <m:t>π</m:t>
        </m:r>
        <m:r>
          <m:t>=</m:t>
        </m:r>
        <m:nary>
          <m:naryPr>
            <m:chr m:val="∑"/>
            <m:limLoc m:val="undOvr"/>
            <m:subHide m:val="0"/>
            <m:supHide m:val="0"/>
          </m:naryPr>
          <m:sub>
            <m:r>
              <m:t>t</m:t>
            </m:r>
          </m:sub>
          <m:sup>
            <m:r>
              <m:t>10</m:t>
            </m:r>
          </m:sup>
          <m:e>
            <m:r>
              <m:t>T</m:t>
            </m:r>
          </m:e>
        </m:nary>
        <m:sSub>
          <m:e>
            <m:r>
              <m:t>R</m:t>
            </m:r>
          </m:e>
          <m:sub>
            <m:r>
              <m:t>t</m:t>
            </m:r>
          </m:sub>
        </m:sSub>
        <m:r>
          <m:t>−</m:t>
        </m:r>
        <m:r>
          <m:t>[</m:t>
        </m:r>
        <m:nary>
          <m:naryPr>
            <m:chr m:val="∑"/>
            <m:limLoc m:val="undOvr"/>
            <m:subHide m:val="0"/>
            <m:supHide m:val="0"/>
          </m:naryPr>
          <m:sub>
            <m:r>
              <m:t>t</m:t>
            </m:r>
          </m:sub>
          <m:sup>
            <m:r>
              <m:t>10</m:t>
            </m:r>
          </m:sup>
          <m:e>
            <m:r>
              <m:t>S</m:t>
            </m:r>
          </m:e>
        </m:nary>
        <m:sSub>
          <m:e>
            <m:r>
              <m:t>C</m:t>
            </m:r>
          </m:e>
          <m:sub>
            <m:r>
              <m:t>t</m:t>
            </m:r>
          </m:sub>
        </m:sSub>
        <m:r>
          <m:t>+</m:t>
        </m:r>
        <m:nary>
          <m:naryPr>
            <m:chr m:val="∑"/>
            <m:limLoc m:val="undOvr"/>
            <m:subHide m:val="0"/>
            <m:supHide m:val="0"/>
          </m:naryPr>
          <m:sub>
            <m:r>
              <m:t>t</m:t>
            </m:r>
          </m:sub>
          <m:sup>
            <m:r>
              <m:t>10</m:t>
            </m:r>
          </m:sup>
          <m:e>
            <m:r>
              <m:t>O</m:t>
            </m:r>
          </m:e>
        </m:nary>
        <m:sSub>
          <m:e>
            <m:r>
              <m:t>C</m:t>
            </m:r>
          </m:e>
          <m:sub>
            <m:r>
              <m:t>t</m:t>
            </m:r>
          </m:sub>
        </m:sSub>
        <m:r>
          <m:t>]</m:t>
        </m:r>
      </m:oMath>
    </w:p>
    <w:p>
      <w:pPr>
        <w:pStyle w:val="BodyText"/>
      </w:pPr>
      <w:r>
        <w:t xml:space="preserve">The National supply curves allow us to determine the cobia production level for each EEZ for any given price.</w:t>
      </w:r>
    </w:p>
    <w:p>
      <w:pPr>
        <w:pStyle w:val="BodyText"/>
      </w:pPr>
      <w:r>
        <w:t xml:space="preserve">We then amortized annual profit at each site</w:t>
      </w:r>
      <w:r>
        <w:t xml:space="preserve"> </w:t>
      </w:r>
      <m:oMath>
        <m:r>
          <m:t>i</m:t>
        </m:r>
      </m:oMath>
      <w:r>
        <w:t xml:space="preserve"> </w:t>
      </w:r>
      <w:r>
        <w:t xml:space="preserve">in relation to an economic discount rate (</w:t>
      </w:r>
      <m:oMath>
        <m:r>
          <m:t>δ</m:t>
        </m:r>
      </m:oMath>
      <w:r>
        <w:t xml:space="preserve">) (Table 5) as a function of</w:t>
      </w:r>
      <w:r>
        <w:t xml:space="preserve"> </w:t>
      </w:r>
      <w:r>
        <w:rPr>
          <w:i/>
        </w:rPr>
        <w:t xml:space="preserve">EEZ</w:t>
      </w:r>
      <w:r>
        <w:t xml:space="preserve">:</w:t>
      </w:r>
    </w:p>
    <w:p>
      <w:pPr>
        <w:pStyle w:val="BodyText"/>
      </w:pPr>
      <m:oMath>
        <m:r>
          <m:t>N</m:t>
        </m:r>
        <m:r>
          <m:t>P</m:t>
        </m:r>
        <m:sSub>
          <m:e>
            <m:r>
              <m:t>V</m:t>
            </m:r>
          </m:e>
          <m:sub>
            <m:r>
              <m:t>i</m:t>
            </m:r>
          </m:sub>
        </m:sSub>
        <m:r>
          <m:t>=</m:t>
        </m:r>
        <m:nary>
          <m:naryPr>
            <m:chr m:val="∑"/>
            <m:limLoc m:val="undOvr"/>
            <m:subHide m:val="0"/>
            <m:supHide m:val="0"/>
          </m:naryPr>
          <m:sub>
            <m:r>
              <m:t>t</m:t>
            </m:r>
            <m:r>
              <m:t>=</m:t>
            </m:r>
            <m:r>
              <m:t>0</m:t>
            </m:r>
          </m:sub>
          <m:sup>
            <m:r>
              <m:t>t</m:t>
            </m:r>
            <m:r>
              <m:t>=</m:t>
            </m:r>
            <m:r>
              <m:t>10</m:t>
            </m:r>
          </m:sup>
          <m:e>
            <m:f>
              <m:fPr>
                <m:type m:val="bar"/>
              </m:fPr>
              <m:num>
                <m:sSubSup>
                  <m:e>
                    <m:r>
                      <m:t>π</m:t>
                    </m:r>
                  </m:e>
                  <m:sub>
                    <m:r>
                      <m:t>t</m:t>
                    </m:r>
                  </m:sub>
                  <m:sup>
                    <m:r>
                      <m:t>i</m:t>
                    </m:r>
                  </m:sup>
                </m:sSubSup>
              </m:num>
              <m:den>
                <m:r>
                  <m:t>(</m:t>
                </m:r>
                <m:r>
                  <m:t>1</m:t>
                </m:r>
                <m:r>
                  <m:t>+</m:t>
                </m:r>
                <m:r>
                  <m:t>δ</m:t>
                </m:r>
                <m:sSup>
                  <m:e>
                    <m:r>
                      <m:t>)</m:t>
                    </m:r>
                  </m:e>
                  <m:sup>
                    <m:r>
                      <m:t>t</m:t>
                    </m:r>
                  </m:sup>
                </m:sSup>
              </m:den>
            </m:f>
          </m:e>
        </m:nary>
      </m:oMath>
    </w:p>
    <w:p>
      <w:pPr>
        <w:pStyle w:val="BodyText"/>
      </w:pPr>
      <w:r>
        <w:t xml:space="preserve">We also estimated the equivalent annual annuity (</w:t>
      </w:r>
      <m:oMath>
        <m:r>
          <m:t>A</m:t>
        </m:r>
      </m:oMath>
      <w:r>
        <w:t xml:space="preserve">) of each farm's NPV over a 10 year time horizon for each site</w:t>
      </w:r>
      <w:r>
        <w:t xml:space="preserve"> </w:t>
      </w:r>
      <m:oMath>
        <m:r>
          <m:t>i</m:t>
        </m:r>
      </m:oMath>
      <w:r>
        <w:t xml:space="preserve">:</w:t>
      </w:r>
    </w:p>
    <w:p>
      <w:pPr>
        <w:pStyle w:val="BodyText"/>
      </w:pPr>
      <m:oMath>
        <m:r>
          <m:t>A</m:t>
        </m:r>
        <m:r>
          <m:t>=</m:t>
        </m:r>
        <m:f>
          <m:fPr>
            <m:type m:val="bar"/>
          </m:fPr>
          <m:num>
            <m:r>
              <m:t>δ</m:t>
            </m:r>
            <m:r>
              <m:t>(</m:t>
            </m:r>
            <m:r>
              <m:t>N</m:t>
            </m:r>
            <m:r>
              <m:t>P</m:t>
            </m:r>
            <m:sSup>
              <m:e>
                <m:r>
                  <m:t>V</m:t>
                </m:r>
              </m:e>
              <m:sup>
                <m:r>
                  <m:t>i</m:t>
                </m:r>
              </m:sup>
            </m:sSup>
            <m:r>
              <m:t>)</m:t>
            </m:r>
          </m:num>
          <m:den>
            <m:r>
              <m:t>1</m:t>
            </m:r>
            <m:r>
              <m:t>−</m:t>
            </m:r>
            <m:r>
              <m:t>(</m:t>
            </m:r>
            <m:r>
              <m:t>1</m:t>
            </m:r>
            <m:r>
              <m:t>+</m:t>
            </m:r>
            <m:r>
              <m:t>δ</m:t>
            </m:r>
            <m:sSup>
              <m:e>
                <m:r>
                  <m:t>)</m:t>
                </m:r>
              </m:e>
              <m:sup>
                <m:r>
                  <m:t>−</m:t>
                </m:r>
                <m:r>
                  <m:t>t</m:t>
                </m:r>
              </m:sup>
            </m:sSup>
          </m:den>
        </m:f>
      </m:oMath>
    </w:p>
    <w:p>
      <w:pPr>
        <w:pStyle w:val="Heading4"/>
      </w:pPr>
      <w:bookmarkStart w:id="37" w:name="caribbean-supply-curve"/>
      <w:bookmarkEnd w:id="37"/>
      <w:r>
        <w:t xml:space="preserve">Caribbean Supply Curve</w:t>
      </w:r>
    </w:p>
    <w:p>
      <w:pPr>
        <w:pStyle w:val="FirstParagraph"/>
      </w:pPr>
      <w:r>
        <w:t xml:space="preserve">The National supply curves are summed(?) into a single Caribbean-wide supply curve to estimate total cobia production potential for the Caribbean at any given price. For any price scenario, farms are developed in order of highest NPV.</w:t>
      </w:r>
    </w:p>
    <w:p>
      <w:pPr>
        <w:pStyle w:val="Heading2"/>
      </w:pPr>
      <w:bookmarkStart w:id="38" w:name="production-scenarios"/>
      <w:bookmarkEnd w:id="38"/>
      <w:r>
        <w:t xml:space="preserve">Production Scenarios</w:t>
      </w:r>
    </w:p>
    <w:p>
      <w:pPr>
        <w:pStyle w:val="FirstParagraph"/>
      </w:pPr>
      <w:r>
        <w:t xml:space="preserve">We estimate EEZ level and Caribbean wide cobia production under serveral scenarios:</w:t>
      </w:r>
      <w:r>
        <w:t xml:space="preserve"> </w:t>
      </w:r>
      <w:r>
        <w:t xml:space="preserve">* Maximum production scenario: All suitable cells are developed (what would the price have to be)</w:t>
      </w:r>
      <w:r>
        <w:t xml:space="preserve"> </w:t>
      </w:r>
      <w:r>
        <w:t xml:space="preserve">* Current market production scenario: Total production assuming current market price of cobia</w:t>
      </w:r>
      <w:r>
        <w:t xml:space="preserve"> </w:t>
      </w:r>
      <w:r>
        <w:t xml:space="preserve">* Price fluctuation scenarios: We estimate total production assuming an 20% (?) increase and decrease of current market price</w:t>
      </w:r>
    </w:p>
    <w:p>
      <w:pPr>
        <w:pStyle w:val="BodyText"/>
      </w:pPr>
      <w:r>
        <w:t xml:space="preserve">We then examined and compared the following under each production scenario:</w:t>
      </w:r>
    </w:p>
    <w:p>
      <w:pPr>
        <w:pStyle w:val="Compact"/>
        <w:numPr>
          <w:numId w:val="1007"/>
          <w:ilvl w:val="0"/>
        </w:numPr>
      </w:pPr>
      <w:r>
        <w:t xml:space="preserve">Total production (in terms of profit and weight) for the entire study (Caribbean) region (does this economic contratint restrict things to below ecological limits (see below).... if its below then economic constraints will keep it below ecological capacity)</w:t>
      </w:r>
    </w:p>
    <w:p>
      <w:pPr>
        <w:pStyle w:val="Compact"/>
        <w:numPr>
          <w:numId w:val="1007"/>
          <w:ilvl w:val="0"/>
        </w:numPr>
      </w:pPr>
      <w:r>
        <w:t xml:space="preserve">Total production (in terms of profit and weight) for each EEZ</w:t>
      </w:r>
    </w:p>
    <w:p>
      <w:pPr>
        <w:pStyle w:val="Compact"/>
        <w:numPr>
          <w:numId w:val="1007"/>
          <w:ilvl w:val="0"/>
        </w:numPr>
      </w:pPr>
      <w:r>
        <w:t xml:space="preserve">Range of individual farm production within EEZs (to the see potential gains of strategic spatial planning) and across EEZs (to determine the island countries with the greatest potential for offshore aquaculture development)</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[REF], currently, limited empirical evidence exists to estimate the ecological carrying capacity for aquaculture production at a regional scale.</w:t>
      </w:r>
    </w:p>
    <w:p>
      <w:pPr>
        <w:pStyle w:val="BodyText"/>
      </w:pPr>
      <w:r>
        <w:t xml:space="preserve">We examine the production estimates from the scenarios described above and determine how they compare to two within two proxies we haved defined as ecological capacity limits:</w:t>
      </w:r>
    </w:p>
    <w:p>
      <w:pPr>
        <w:pStyle w:val="Compact"/>
        <w:numPr>
          <w:numId w:val="1008"/>
          <w:ilvl w:val="0"/>
        </w:numPr>
      </w:pPr>
      <w:r>
        <w:t xml:space="preserve">High ecological capacity limit- Ecological production limit is determined by identifying the highest aquaculture per unit area of EEZ worldwide e)</w:t>
      </w:r>
    </w:p>
    <w:p>
      <w:pPr>
        <w:pStyle w:val="Compact"/>
        <w:numPr>
          <w:numId w:val="1008"/>
          <w:ilvl w:val="0"/>
        </w:numPr>
      </w:pPr>
      <w:r>
        <w:t xml:space="preserve">Precautionary ecologoical capacity limit- Aquaculture production per unit area allowed in the Gulf of Mexico by the current NOAA Fishery Management Plan (FMP) for offshore aquaculture development in the region.</w:t>
      </w:r>
    </w:p>
    <w:p>
      <w:pPr>
        <w:pStyle w:val="Heading2"/>
      </w:pPr>
      <w:bookmarkStart w:id="39" w:name="sensitivity-analyses"/>
      <w:bookmarkEnd w:id="39"/>
      <w:r>
        <w:t xml:space="preserve">Sensitivity analyses</w:t>
      </w:r>
    </w:p>
    <w:p>
      <w:pPr>
        <w:pStyle w:val="FirstParagraph"/>
      </w:pPr>
      <w:r>
        <w:t xml:space="preserve">Finally, to identify the current major hurdles to the development of offshore aquaculture in the Caribbean, we determined the main factors contributing to variability of farm and EEZ level aquaculture production by performing a suite of sensitivity analyses.</w:t>
      </w:r>
    </w:p>
    <w:p>
      <w:pPr>
        <w:pStyle w:val="BodyText"/>
      </w:pPr>
      <w:r>
        <w:t xml:space="preserve">Specifically, we compared the output at both the individual farm, EEZ, and regional level by running the model under a range of values for the following parameters:</w:t>
      </w:r>
    </w:p>
    <w:p>
      <w:pPr>
        <w:pStyle w:val="Compact"/>
        <w:numPr>
          <w:numId w:val="1009"/>
          <w:ilvl w:val="0"/>
        </w:numPr>
      </w:pPr>
      <w:r>
        <w:t xml:space="preserve">Range of suitable depths</w:t>
      </w:r>
    </w:p>
    <w:p>
      <w:pPr>
        <w:pStyle w:val="Compact"/>
        <w:numPr>
          <w:numId w:val="1009"/>
          <w:ilvl w:val="0"/>
        </w:numPr>
      </w:pPr>
      <w:r>
        <w:t xml:space="preserve">Costs fingerling and feed</w:t>
      </w:r>
    </w:p>
    <w:p>
      <w:pPr>
        <w:pStyle w:val="Compact"/>
        <w:numPr>
          <w:numId w:val="1009"/>
          <w:ilvl w:val="0"/>
        </w:numPr>
      </w:pPr>
      <w:r>
        <w:t xml:space="preserve">Cobia price</w:t>
      </w:r>
    </w:p>
    <w:p>
      <w:pPr>
        <w:pStyle w:val="Compact"/>
        <w:numPr>
          <w:numId w:val="1009"/>
          <w:ilvl w:val="0"/>
        </w:numPr>
      </w:pPr>
      <w:r>
        <w:t xml:space="preserve">shift in demand curve</w:t>
      </w:r>
    </w:p>
    <w:p>
      <w:pPr>
        <w:pStyle w:val="Compact"/>
        <w:numPr>
          <w:numId w:val="1009"/>
          <w:ilvl w:val="0"/>
        </w:numPr>
      </w:pPr>
      <w:r>
        <w:t xml:space="preserve">Risk parameters</w:t>
      </w:r>
    </w:p>
    <w:p>
      <w:pPr>
        <w:pStyle w:val="Heading1"/>
      </w:pPr>
      <w:bookmarkStart w:id="40" w:name="results"/>
      <w:bookmarkEnd w:id="40"/>
      <w:r>
        <w:t xml:space="preserve">Results</w:t>
      </w:r>
    </w:p>
    <w:p>
      <w:pPr>
        <w:pStyle w:val="Heading2"/>
      </w:pPr>
      <w:bookmarkStart w:id="41" w:name="suitability-assessment-1"/>
      <w:bookmarkEnd w:id="41"/>
      <w:r>
        <w:t xml:space="preserve">Suitability Assessment</w:t>
      </w:r>
    </w:p>
    <w:p>
      <w:pPr>
        <w:pStyle w:val="FirstParagraph"/>
      </w:pPr>
      <w:r>
        <w:t xml:space="preserve">Based on the factors and criteria described in Table 1, we found a total of r prettyNum(final_suitable_area,big.mark=",") km</w:t>
      </w:r>
      <w:r>
        <w:rPr>
          <w:vertAlign w:val="superscript"/>
        </w:rPr>
        <w:t xml:space="preserve">2</w:t>
      </w:r>
      <w:r>
        <w:t xml:space="preserve">, or r prettyNum(percent_total,big.mark.=",")% of EEZ area in the Caribbean, suitable for offshore aquaculture development (Figure 2).</w:t>
      </w:r>
    </w:p>
    <w:p>
      <w:pPr>
        <w:pStyle w:val="FigureWithCaption"/>
      </w:pPr>
      <w:r>
        <w:drawing>
          <wp:inline>
            <wp:extent cx="5334000" cy="3461971"/>
            <wp:effectExtent b="0" l="0" r="0" t="0"/>
            <wp:docPr descr="Areas identified as suitable for the development of offshore aquaculture within each EEZ are indicated in dark red" id="1" name="Picture"/>
            <a:graphic>
              <a:graphicData uri="http://schemas.openxmlformats.org/drawingml/2006/picture">
                <pic:pic>
                  <pic:nvPicPr>
                    <pic:cNvPr descr="carib_methods_files/figure-docx/Fig.%204%20Caribbean%20EEZ%20suitablility%20tmap-1.png" id="0" name="Picture"/>
                    <pic:cNvPicPr>
                      <a:picLocks noChangeArrowheads="1" noChangeAspect="1"/>
                    </pic:cNvPicPr>
                  </pic:nvPicPr>
                  <pic:blipFill>
                    <a:blip r:embed="rId42"/>
                    <a:stretch>
                      <a:fillRect/>
                    </a:stretch>
                  </pic:blipFill>
                  <pic:spPr bwMode="auto">
                    <a:xfrm>
                      <a:off x="0" y="0"/>
                      <a:ext cx="5334000" cy="3461971"/>
                    </a:xfrm>
                    <a:prstGeom prst="rect">
                      <a:avLst/>
                    </a:prstGeom>
                    <a:noFill/>
                    <a:ln w="9525">
                      <a:noFill/>
                      <a:headEnd/>
                      <a:tailEnd/>
                    </a:ln>
                  </pic:spPr>
                </pic:pic>
              </a:graphicData>
            </a:graphic>
          </wp:inline>
        </w:drawing>
      </w:r>
    </w:p>
    <w:p>
      <w:pPr>
        <w:pStyle w:val="ImageCaption"/>
      </w:pPr>
      <w:r>
        <w:t xml:space="preserve">Areas identified as suitable for the development of offshore aquaculture within each EEZ are indicated in dark red</w:t>
      </w:r>
    </w:p>
    <w:p>
      <w:pPr>
        <w:pStyle w:val="BodyText"/>
      </w:pPr>
      <w:r>
        <w:t xml:space="preserve">The total area identified as suitable based on each of the factors considered in our analysis are listed in Table 4.</w:t>
      </w:r>
    </w:p>
    <w:p>
      <w:pPr>
        <w:pStyle w:val="BodyText"/>
      </w:pPr>
      <w:r>
        <w:t xml:space="preserve">Depth was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BodyText"/>
      </w:pPr>
      <w:r>
        <w:t xml:space="preserve">The identified suitable areas were not distributed evenly across EEZs (Table 5). The Bahamas EEZ contained the largest amount of suitable area and Trinidad and Tobago and Saba's EEZs included the highest percentages of suitable area (&gt;10%), while no suitable areas were identified in the EEZ's of Guadeloupe, Saint Martin or Martinque.</w:t>
      </w:r>
    </w:p>
    <w:p>
      <w:pPr>
        <w:pStyle w:val="Heading2"/>
      </w:pPr>
      <w:bookmarkStart w:id="43" w:name="bioecnomic-model"/>
      <w:bookmarkEnd w:id="43"/>
      <w:r>
        <w:t xml:space="preserve">Bioecnomic Model</w:t>
      </w:r>
    </w:p>
    <w:p>
      <w:pPr>
        <w:pStyle w:val="FirstParagraph"/>
      </w:pPr>
      <w:r>
        <w:t xml:space="preserve">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pPr>
        <w:pStyle w:val="BodyText"/>
      </w:pPr>
      <w:r>
        <w:t xml:space="preserve">Averages of political and economic variables were calculated by removing any variables for which data were not available for that country. In some cases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w:t>
      </w:r>
      <w:r>
        <w:t xml:space="preserve"> </w:t>
      </w:r>
      <w:r>
        <w:rPr>
          <w:i/>
        </w:rPr>
        <w:t xml:space="preserve">p</w:t>
      </w:r>
      <w:r>
        <w:t xml:space="preserve">-value = &lt; 0.001) predictor of the final risk score, providing further support for this approach (Figure 1).</w:t>
      </w:r>
    </w:p>
    <w:p>
      <w:pPr>
        <w:pStyle w:val="Heading1"/>
      </w:pPr>
      <w:bookmarkStart w:id="44" w:name="discussion"/>
      <w:bookmarkEnd w:id="44"/>
      <w:r>
        <w:t xml:space="preserve">Discussion</w:t>
      </w:r>
    </w:p>
    <w:p>
      <w:pPr>
        <w:pStyle w:val="Heading1"/>
      </w:pPr>
      <w:bookmarkStart w:id="45" w:name="references"/>
      <w:bookmarkEnd w:id="45"/>
      <w:r>
        <w:t xml:space="preserve">References</w:t>
      </w:r>
    </w:p>
    <w:p>
      <w:pPr>
        <w:pStyle w:val="FirstParagraph"/>
      </w:pPr>
      <w:r>
        <w:t xml:space="preserve">NASA Goddard Space Flight Center, Ocean Ecology Laboratory, Ocean Biology Processing Group; (2014): MODIS-Terra Daily 4 km Sea Surface Temperature Data;</w:t>
      </w:r>
      <w:r>
        <w:t xml:space="preserve"> </w:t>
      </w:r>
      <w:hyperlink r:id="rId46">
        <w:r>
          <w:rPr>
            <w:rStyle w:val="Hyperlink"/>
          </w:rPr>
          <w:t xml:space="preserve">http://doi.org/{DOI}</w:t>
        </w:r>
      </w:hyperlink>
      <w:r>
        <w:t xml:space="preserve"> </w:t>
      </w:r>
      <w:r>
        <w:t xml:space="preserve">Accessed on January 3, 2016.</w:t>
      </w:r>
    </w:p>
    <w:p>
      <w:pPr>
        <w:pStyle w:val="BodyText"/>
      </w:pPr>
      <w:r>
        <w:t xml:space="preserve">GMFMC (Gulf of Mexico Fishery Management Council)and NOAA (National Oceanic and Atmospheric Administration)(2009) Fishery management plan for regulating</w:t>
      </w:r>
      <w:r>
        <w:t xml:space="preserve"> </w:t>
      </w:r>
      <w:r>
        <w:t xml:space="preserve">offshore marine aquaculture in the Gulf of Mexico. GMFMC, Tampa, FL.</w:t>
      </w:r>
      <w:hyperlink r:id="rId47">
        <w:r>
          <w:rPr>
            <w:rStyle w:val="Hyperlink"/>
          </w:rPr>
          <w:t xml:space="preserve">http://gulfcouncil.org/Beta/GMFMCWeb/Aquaculture/Aquaculture%20FMP%20PEIS%20Final%202-24-09.pdf</w:t>
        </w:r>
      </w:hyperlink>
    </w:p>
    <w:p>
      <w:pPr>
        <w:pStyle w:val="BodyText"/>
      </w:pPr>
      <w:r>
        <w:t xml:space="preserve">IUCN and UNEP-WCMC (2017), The World Database on Protected Areas (WDPA) [On-line], [January 2017], Cambridge, UK: UNEP-WCMC. Available at: www.protectedplanet.net.</w:t>
      </w:r>
    </w:p>
    <w:p>
      <w:pPr>
        <w:pStyle w:val="BodyText"/>
      </w:pPr>
      <w:r>
        <w:t xml:space="preserve">WDPA Updates</w:t>
      </w:r>
    </w:p>
    <w:p>
      <w:pPr>
        <w:pStyle w:val="BodyText"/>
      </w:pPr>
      <w:r>
        <w:t xml:space="preserve">OceanSpar 2013.</w:t>
      </w:r>
    </w:p>
    <w:p>
      <w:pPr>
        <w:pStyle w:val="BodyText"/>
      </w:pPr>
      <w:r>
        <w:t xml:space="preserve">UNEP-WCMC, WorldFish Centre, WRI, TNC (2010). Global distribution of warm-water coral reefs, compiled from multiple sources including the Millennium Coral Reef Mapping Project. Version 1.3. Includes contributions from IMaRS-USF and IRD (2005), IMaRS-USF (2005) and Spalding et al. (2001). Cambridge (UK): UNEP World Conservation Monitoring Centre. URL:</w:t>
      </w:r>
      <w:r>
        <w:t xml:space="preserve"> </w:t>
      </w:r>
      <w:hyperlink r:id="rId48">
        <w:r>
          <w:rPr>
            <w:rStyle w:val="Hyperlink"/>
          </w:rPr>
          <w:t xml:space="preserve">http://data.unep-wcmc.org/datasets/1</w:t>
        </w:r>
      </w:hyperlink>
    </w:p>
    <w:p>
      <w:pPr>
        <w:pStyle w:val="Heading1"/>
      </w:pPr>
      <w:bookmarkStart w:id="49" w:name="appendix"/>
      <w:bookmarkEnd w:id="49"/>
      <w:r>
        <w:t xml:space="preserve">Appendix</w:t>
      </w:r>
    </w:p>
    <w:p>
      <w:pPr>
        <w:pStyle w:val="Heading2"/>
      </w:pPr>
      <w:bookmarkStart w:id="50" w:name="removed-text-just-in-case-we-need-later"/>
      <w:bookmarkEnd w:id="50"/>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29,000 mt for a total area of 35,643 km</w:t>
      </w:r>
      <w:r>
        <w:rPr>
          <w:vertAlign w:val="superscript"/>
        </w:rPr>
        <w:t xml:space="preserve">2</w:t>
      </w:r>
      <w:r>
        <w:t xml:space="preserve"> </w:t>
      </w:r>
      <w:r>
        <w:t xml:space="preserve">identified for aquaculture developement, or 0.813624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modelled in our study, it provides another regional production level benchmark for comparison.</w:t>
      </w:r>
    </w:p>
    <w:p>
      <w:pPr>
        <w:pStyle w:val="Bibliography"/>
      </w:pPr>
      <w:r>
        <w:t xml:space="preserve">Benetti, Daniel D, Mehmet R Orhun, Bruno Sardenberg, Brian O’Hanlon, Aaron Welch, Ronald Hoenig, Ian Zink, et al. 2008. “Advances in Hatchery and Grow-Out Technology of Cobia Rachycentron Canadum (Linnaeus).”</w:t>
      </w:r>
      <w:r>
        <w:t xml:space="preserve"> </w:t>
      </w:r>
      <w:r>
        <w:rPr>
          <w:i/>
        </w:rPr>
        <w:t xml:space="preserve">Aquaculture Research</w:t>
      </w:r>
      <w:r>
        <w:t xml:space="preserve"> </w:t>
      </w:r>
      <w:r>
        <w:t xml:space="preserve">39 (7): 701–11. doi:</w:t>
      </w:r>
      <w:hyperlink r:id="rId51">
        <w:r>
          <w:rPr>
            <w:rStyle w:val="Hyperlink"/>
          </w:rPr>
          <w:t xml:space="preserve">10.1111/j.1365-2109.2008.01922.x</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52">
        <w:r>
          <w:rPr>
            <w:rStyle w:val="Hyperlink"/>
          </w:rPr>
          <w:t xml:space="preserve">10.1016/S1546-5098(08)60033-3</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53">
        <w:r>
          <w:rPr>
            <w:rStyle w:val="Hyperlink"/>
          </w:rPr>
          <w:t xml:space="preserve">10.1109/OCEANS.2010.5664025</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54">
        <w:r>
          <w:rPr>
            <w:rStyle w:val="Hyperlink"/>
          </w:rPr>
          <w:t xml:space="preserve">10.1016/j.aquaeng.2004.05.001</w:t>
        </w:r>
      </w:hyperlink>
      <w:r>
        <w:t xml:space="preserve">.</w:t>
      </w:r>
    </w:p>
    <w:p>
      <w:pPr>
        <w:pStyle w:val="Bibliography"/>
      </w:pPr>
      <w:r>
        <w:t xml:space="preserve">Holland, Jason. n.d. “Aquaculture on Deck: Cobia Primed for Pan-European Foodservice Launch - See More at: Https://Www.seafoodsource.com/Commentary/Aquaculture-on-Deck-Cobia-Primed-for-Pan-European-Foodservice-Launch#sthash.N9QseUoG.dpuf.”</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McKindsey, Christopher W., Helmut Thetmeyer, Thomas Landry, and William Silvert. 2006. “Review of Recent Carrying Capacity Models for Bivalve Culture and Recommendations for Research and Management.”</w:t>
      </w:r>
      <w:r>
        <w:t xml:space="preserve"> </w:t>
      </w:r>
      <w:r>
        <w:rPr>
          <w:i/>
        </w:rPr>
        <w:t xml:space="preserve">Aquaculture</w:t>
      </w:r>
      <w:r>
        <w:t xml:space="preserve"> </w:t>
      </w:r>
      <w:r>
        <w:t xml:space="preserve">261 (2): 451–62. doi:</w:t>
      </w:r>
      <w:hyperlink r:id="rId55">
        <w:r>
          <w:rPr>
            <w:rStyle w:val="Hyperlink"/>
          </w:rPr>
          <w:t xml:space="preserve">10.1016/j.aquaculture.2006.06.044</w:t>
        </w:r>
      </w:hyperlink>
      <w:r>
        <w:t xml:space="preserve">.</w:t>
      </w:r>
    </w:p>
    <w:p>
      <w:pPr>
        <w:pStyle w:val="Bibliography"/>
      </w:pPr>
      <w:r>
        <w:t xml:space="preserve">Sims, Neil Anthony. 2017. “Kona Blue Water Farms Case Study: Permiting, Operations, Marketing, Environmental Impacts, and Impediments to Expansion of Global Open Ocean Mariculture.” Accessed January 4.</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66dc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af187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ec709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48" Target="http://data.unep-wcmc.org/datasets/1" TargetMode="External" /><Relationship Type="http://schemas.openxmlformats.org/officeDocument/2006/relationships/hyperlink" Id="rId46" Target="http://doi.org/%7BDOI%7D" TargetMode="External" /><Relationship Type="http://schemas.openxmlformats.org/officeDocument/2006/relationships/hyperlink" Id="rId47" Target="http://gulfcouncil.org/Beta/GMFMCWeb/Aquaculture/Aquaculture%20FMP%20PEIS%20Final%202-24-09.pdf" TargetMode="External" /><Relationship Type="http://schemas.openxmlformats.org/officeDocument/2006/relationships/hyperlink" Id="rId29" Target="https://cran.r-project.org/web/packages/raster/index.html" TargetMode="External" /><Relationship Type="http://schemas.openxmlformats.org/officeDocument/2006/relationships/hyperlink" Id="rId52" Target="https://doi.org/10.1016/S1546-5098(08)60033-3" TargetMode="External" /><Relationship Type="http://schemas.openxmlformats.org/officeDocument/2006/relationships/hyperlink" Id="rId55" Target="https://doi.org/10.1016/j.aquaculture.2006.06.044" TargetMode="External" /><Relationship Type="http://schemas.openxmlformats.org/officeDocument/2006/relationships/hyperlink" Id="rId54" Target="https://doi.org/10.1016/j.aquaeng.2004.05.001" TargetMode="External" /><Relationship Type="http://schemas.openxmlformats.org/officeDocument/2006/relationships/hyperlink" Id="rId53" Target="https://doi.org/10.1109/OCEANS.2010.5664025" TargetMode="External" /><Relationship Type="http://schemas.openxmlformats.org/officeDocument/2006/relationships/hyperlink" Id="rId51" Target="https://doi.org/10.1111/j.1365-2109.2008.01922.x" TargetMode="External" /></Relationships>
</file>

<file path=word/_rels/footnotes.xml.rels><?xml version="1.0" encoding="UTF-8"?>
<Relationships xmlns="http://schemas.openxmlformats.org/package/2006/relationships"><Relationship Type="http://schemas.openxmlformats.org/officeDocument/2006/relationships/hyperlink" Id="rId48" Target="http://data.unep-wcmc.org/datasets/1" TargetMode="External" /><Relationship Type="http://schemas.openxmlformats.org/officeDocument/2006/relationships/hyperlink" Id="rId46" Target="http://doi.org/%7BDOI%7D" TargetMode="External" /><Relationship Type="http://schemas.openxmlformats.org/officeDocument/2006/relationships/hyperlink" Id="rId47" Target="http://gulfcouncil.org/Beta/GMFMCWeb/Aquaculture/Aquaculture%20FMP%20PEIS%20Final%202-24-09.pdf" TargetMode="External" /><Relationship Type="http://schemas.openxmlformats.org/officeDocument/2006/relationships/hyperlink" Id="rId29" Target="https://cran.r-project.org/web/packages/raster/index.html" TargetMode="External" /><Relationship Type="http://schemas.openxmlformats.org/officeDocument/2006/relationships/hyperlink" Id="rId52" Target="https://doi.org/10.1016/S1546-5098(08)60033-3" TargetMode="External" /><Relationship Type="http://schemas.openxmlformats.org/officeDocument/2006/relationships/hyperlink" Id="rId55" Target="https://doi.org/10.1016/j.aquaculture.2006.06.044" TargetMode="External" /><Relationship Type="http://schemas.openxmlformats.org/officeDocument/2006/relationships/hyperlink" Id="rId54" Target="https://doi.org/10.1016/j.aquaeng.2004.05.001" TargetMode="External" /><Relationship Type="http://schemas.openxmlformats.org/officeDocument/2006/relationships/hyperlink" Id="rId53" Target="https://doi.org/10.1109/OCEANS.2010.5664025" TargetMode="External" /><Relationship Type="http://schemas.openxmlformats.org/officeDocument/2006/relationships/hyperlink" Id="rId51" Target="https://doi.org/10.1111/j.1365-2109.2008.019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2017-05-20T00:16:10Z</dcterms:created>
  <dcterms:modified xsi:type="dcterms:W3CDTF">2017-05-20T00:16:10Z</dcterms:modified>
</cp:coreProperties>
</file>