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51.png" ContentType="image/png"/>
  <Override PartName="/word/media/rId45.png" ContentType="image/png"/>
  <Override PartName="/word/media/rId44.png" ContentType="image/png"/>
  <Override PartName="/word/media/rId43.png" ContentType="image/png"/>
  <Override PartName="/word/media/rId40.png" ContentType="image/png"/>
  <Override PartName="/word/media/rId52.jpg" ContentType="image/jpeg"/>
  <Override PartName="/word/media/rId54.png" ContentType="image/png"/>
  <Override PartName="/word/media/rId42.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10</w:t>
      </w:r>
      <w:r>
        <w:t xml:space="preserve"> </w:t>
      </w:r>
      <w:r>
        <w:t xml:space="preserve">March,</w:t>
      </w:r>
      <w:r>
        <w:t xml:space="preserve"> </w:t>
      </w:r>
      <w:r>
        <w:t xml:space="preserve">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cobia (</w:t>
      </w:r>
      <w:r>
        <w:rPr>
          <w:i/>
        </w:rPr>
        <w:t xml:space="preserve">Rachycentron canadum</w:t>
      </w:r>
      <w:r>
        <w:t xml:space="preserve">), and to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Of this area, 24,046 km</w:t>
      </w:r>
      <w:r>
        <w:rPr>
          <w:vertAlign w:val="superscript"/>
        </w:rPr>
        <w:t xml:space="preserve">2</w:t>
      </w:r>
      <w:r>
        <w:t xml:space="preserve"> </w:t>
      </w:r>
      <w:r>
        <w:t xml:space="preserve">(0.81%) is economically viable and capabale of producing 78.7 million metric tons (MMT) of seafood annually, an amount roughly equal to the total global production from capture fisheries (~80 MMT). Even accounting for spatial differences in cobia growth and production costs, we estimate the Caribbean could produce 40.7 MMT of cobia annualy. Areas associated with the highest relative economic potential were Jamaica, Trinidad and Tobago, and Haiti. The variability of farm-scale production and NPV differed across EEZs, suggesting the importance of site selection depends on EEZ. Offshore aquaculture is a capital intensive activity mediated by socioeconomic conditions, such as foreign investment risk and XX. Accounting for these risk factors considerably lowered production in our analysis and may help explain the current lack of commercial offshore aquaculture in the Caribbean despite the favorable conditions demonstrated in this analysis. The results of this research can be used to help prioritize areas for offshore cobia aquaculture development and serve as a framework for identifying priority areas for offshore aquaculture of other species. Additionally, we discuss the future potential of the development of offshore aquaculture in the Caribbean.</w:t>
      </w:r>
    </w:p>
    <w:p>
      <w:pPr>
        <w:pStyle w:val="Heading1"/>
      </w:pPr>
      <w:bookmarkStart w:id="22" w:name="introduction"/>
      <w:bookmarkEnd w:id="22"/>
      <w:r>
        <w:t xml:space="preserve">Introduction</w:t>
      </w:r>
    </w:p>
    <w:p>
      <w:pPr>
        <w:pStyle w:val="FirstParagraph"/>
      </w:pPr>
      <w:r>
        <w:t xml:space="preserve">Global fish production is expected to exceed 151 million tons by 2030 to meet growing demands, a 10% increase over current levels</w:t>
      </w:r>
      <w:r>
        <w:t xml:space="preserve"> </w:t>
      </w:r>
      <w:r>
        <w:t xml:space="preserve">(Kobayashi et al. 2015; FAO 2016)</w:t>
      </w:r>
      <w:r>
        <w:t xml:space="preserve">, and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and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can and should be realized requires an understanding of the sustainable and economically-viable production potential at the regional level, along with an identification of hurdles impeding development.</w:t>
      </w:r>
    </w:p>
    <w:p>
      <w:pPr>
        <w:pStyle w:val="BodyText"/>
      </w:pPr>
      <w:r>
        <w:t xml:space="preserve">In recent years, there has been a growing interest in aquaculture development in the Caribbean to increase food security and economic development</w:t>
      </w:r>
      <w:r>
        <w:t xml:space="preserve"> </w:t>
      </w:r>
      <w:r>
        <w:t xml:space="preserve">(Van Wyk and Davis 2006; Creswell 5AD–2007; CRFM 2014; Pérez-Ramírez 2017)</w:t>
      </w:r>
      <w:r>
        <w:t xml:space="preserve">. In 2014, the Caribbean produced 330,704 MT of seafood, 89.95% of which came from capture fisheries. In contrast, only 33,226.79 MT was produced from aquaculture, accounting for &lt; 0.1 % of the global total.</w:t>
      </w:r>
    </w:p>
    <w:p>
      <w:pPr>
        <w:pStyle w:val="BodyText"/>
      </w:pPr>
      <w:r>
        <w:t xml:space="preserve">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(22%) over the next decade</w:t>
      </w:r>
      <w:r>
        <w:t xml:space="preserve"> </w:t>
      </w:r>
      <w:r>
        <w:t xml:space="preserve">(FAO 2016)</w:t>
      </w:r>
      <w:r>
        <w:t xml:space="preserve">. Wild fisheries production in the region is unlikely to play a meaningful role in decreasing exports and/or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to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land space, freshwater, and energy resources</w:t>
      </w:r>
      <w:r>
        <w:t xml:space="preserve"> </w:t>
      </w:r>
      <w:r>
        <w:t xml:space="preserve">(Alvarez-Lajonchère and Ibarra-Castro 2013)</w:t>
      </w:r>
      <w:r>
        <w:t xml:space="preserve">. Similarly, expanded development of coastal aquaculture in the region is likely not 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depth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w:t>
      </w:r>
      <w:r>
        <w:t xml:space="preserve"> </w:t>
      </w:r>
      <w:r>
        <w:t xml:space="preserve">(</w:t>
      </w:r>
      <w:r>
        <w:rPr>
          <w:b/>
        </w:rPr>
        <w:t xml:space="preserve">???</w:t>
      </w:r>
      <w:r>
        <w:t xml:space="preserve">)</w:t>
      </w:r>
      <w:r>
        <w:t xml:space="preserve">.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 (Benetti et al. 2010).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aquaculture potential for aquaculutre is large in terms of suitable area</w:t>
      </w:r>
      <w:r>
        <w:t xml:space="preserve"> </w:t>
      </w:r>
      <w:r>
        <w:t xml:space="preserve">(Gentry, Froehlich, et al. 2017)</w:t>
      </w:r>
      <w:r>
        <w:t xml:space="preserve"> </w:t>
      </w:r>
      <w:r>
        <w:t xml:space="preserve">and careful marine spaital planning that incoporates the location of aquaculture sites can improve outcomes across multiple economic and environmental objectives</w:t>
      </w:r>
      <w:r>
        <w:t xml:space="preserve"> </w:t>
      </w:r>
      <w:r>
        <w:t xml:space="preserve">(</w:t>
      </w:r>
      <w:r>
        <w:rPr>
          <w:b/>
        </w:rPr>
        <w:t xml:space="preserve">???</w:t>
      </w:r>
      <w:r>
        <w:t xml:space="preserve">)</w:t>
      </w:r>
      <w:r>
        <w:t xml:space="preserve">. Here, we present a framework that incorporates socioeconoomic, biololgical, and environemtnal factors to estimate potential of offshore aquaculture at a reiongal scale using the Caribbean, a politically and economically diverse region. Using high resolution spatial data, we develop a bioeconomic model to : 1) estimate the bioeconomic offshore mariculture production capacity of the Caribbean region (CRFM 2015), 2) examine the impact of farm site selection both across EEZs and withing EEZ on economic outcomes, and 3) identify factors are currently most likely limiting offshore mariculture development (e.g., biophysical conditions, regulatory environment, capital investment, expertise, etc.). estimate the total production potential (in terms of weight and revenue) of offshore cobia aquaculture in the Caribbean. We examine the spatial distribution of offshore aquaculture potential to identify</w:t>
      </w:r>
      <w:r>
        <w:t xml:space="preserve"> </w:t>
      </w:r>
      <w:r>
        <w:t xml:space="preserve">‘</w:t>
      </w:r>
      <w:r>
        <w:t xml:space="preserve">hotspot</w:t>
      </w:r>
      <w:r>
        <w:t xml:space="preserve">’</w:t>
      </w:r>
      <w:r>
        <w:t xml:space="preserve"> </w:t>
      </w:r>
      <w:r>
        <w:t xml:space="preserve">locations for future development. We examine the variation of individual farm profitability between and across EEZs to determine the importance of site selection in aquaculture development and to quantify the potential benefits of strategic spatial planning. We explore these results under several scenarios to identify limiting factors.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description-of-study-region"/>
      <w:bookmarkEnd w:id="24"/>
      <w:r>
        <w:t xml:space="preserve">Description of Study Region</w:t>
      </w:r>
    </w:p>
    <w:p>
      <w:pPr>
        <w:pStyle w:val="FirstParagraph"/>
      </w:pPr>
      <w:r>
        <w:t xml:space="preserve">Our study domain includes the territorial waters and Exclusive Economic Zones (EEZs) surrounding the 28 island countries that comprise the Greater and Lesser Antilles of the Caribbean Sea (Figure 1). All analyses are performed at a 1 km</w:t>
      </w:r>
      <w:r>
        <w:rPr>
          <w:vertAlign w:val="superscript"/>
        </w:rPr>
        <w:t xml:space="preserve">2</w:t>
      </w:r>
      <w:r>
        <w:t xml:space="preserve"> </w:t>
      </w:r>
      <w:r>
        <w:t xml:space="preserve">spatial resolution. We do not consider the potential of offshore aquaculture development in the high seas or disputed waters. A shapefile from VLIZ</w:t>
      </w:r>
      <w:r>
        <w:t xml:space="preserve"> </w:t>
      </w:r>
      <w:r>
        <w:t xml:space="preserve">(</w:t>
      </w:r>
      <w:r>
        <w:rPr>
          <w:b/>
        </w:rPr>
        <w:t xml:space="preserve">???</w:t>
      </w:r>
      <w:r>
        <w:t xml:space="preserve">)</w:t>
      </w:r>
      <w:r>
        <w:t xml:space="preserve"> </w:t>
      </w:r>
      <w:r>
        <w:t xml:space="preserve">is used to define the maritime boundaries for all island countries.</w:t>
      </w:r>
    </w:p>
    <w:p>
      <w:pPr>
        <w:pStyle w:val="Heading2"/>
      </w:pPr>
      <w:bookmarkStart w:id="25" w:name="overview"/>
      <w:bookmarkEnd w:id="25"/>
      <w:r>
        <w:t xml:space="preserve">Overview</w:t>
      </w:r>
    </w:p>
    <w:p>
      <w:pPr>
        <w:pStyle w:val="FirstParagraph"/>
      </w:pPr>
      <w:r>
        <w:t xml:space="preserve">We develop a spatial bioeconomic model to estimate the production potential (in terms of biomass (</w:t>
      </w:r>
      <w:r>
        <w:rPr>
          <w:i/>
        </w:rPr>
        <w:t xml:space="preserve">t</w:t>
      </w:r>
      <w:r>
        <w:t xml:space="preserve">) and Net Present Value (NPV)) for offshore cobia mariculture in the Caribbean region (Figure 1). The first steps of our analysis are to identify 1 km</w:t>
      </w:r>
      <w:r>
        <w:rPr>
          <w:vertAlign w:val="superscript"/>
        </w:rPr>
        <w:t xml:space="preserve">2</w:t>
      </w:r>
      <w:r>
        <w:t xml:space="preserve"> </w:t>
      </w:r>
      <w:r>
        <w:t xml:space="preserve">sites throughout the study region that would be suitable for mariculture development and create a hypothetical farm design to apply to all suitable sites. Next, we apply a temperature performance curve (TPC) to predict temperature-dependent growth of cobia at each farm and we establish supply curves to determine national and Caribbean-wide cobia production that would be achieved under several scenarios of cobia price and production costs. We also consider a scenario where Caribbean production affects the global price of cobia. Finally, we use our production model and estimated economic parameters to calculate NPV over a 10 year time horizon. We assume that only farms that have a positive NPV will be developed.</w:t>
      </w:r>
    </w:p>
    <w:p>
      <w:pPr>
        <w:pStyle w:val="Heading2"/>
      </w:pPr>
      <w:bookmarkStart w:id="26" w:name="suitability-assessment"/>
      <w:bookmarkEnd w:id="26"/>
      <w:r>
        <w:t xml:space="preserve">Suitability Assessment</w:t>
      </w:r>
    </w:p>
    <w:p>
      <w:pPr>
        <w:pStyle w:val="FirstParagraph"/>
      </w:pPr>
      <w:r>
        <w:t xml:space="preserve">The first step in our analysis identifies areas that are potentially suitable for the development of offshore mariculture in the Caribbean by considering factors related to technical feasibility, enviornmental impacts, and current ocean use, Suitable thresholds are defined for each factor and hiigh resolution spatial data are used in a Boolean overlay using all data layers to identify areas 1 km</w:t>
      </w:r>
      <w:r>
        <w:rPr>
          <w:vertAlign w:val="superscript"/>
        </w:rPr>
        <w:t xml:space="preserve">2</w:t>
      </w:r>
      <w:r>
        <w:t xml:space="preserve"> </w:t>
      </w:r>
      <w:r>
        <w:t xml:space="preserve">areas in our stury region that are poteniially suitable for offshore maricuutlure developmetn given our defined thresholds.</w:t>
      </w:r>
    </w:p>
    <w:p>
      <w:pPr>
        <w:pStyle w:val="BodyText"/>
      </w:pPr>
      <w:r>
        <w:t xml:space="preserve">We use physical specifications listed by the manufactor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Open Blue 2016).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rPr>
          <w:b/>
        </w:rPr>
        <w:t xml:space="preserve">scott_offshore_2000</w:t>
      </w:r>
      <w:r>
        <w:t xml:space="preserve">;</w:t>
      </w:r>
      <w:r>
        <w:t xml:space="preserve"> </w:t>
      </w:r>
      <w:r>
        <w:t xml:space="preserve">(Kapetsky, Aguilar-Manjarrez, and Jenness 2013)</w:t>
      </w:r>
      <w:r>
        <w:t xml:space="preserve">. We use spatial bathymetry data from XX and determine the absolute maximum zonal and meridional current velcocity using data on daily averages over a 10 year period (2005 - 2015) from XX to identify areas that are techinically feasible for offshore maricuture development in our study area.</w:t>
      </w:r>
    </w:p>
    <w:p>
      <w:pPr>
        <w:pStyle w:val="BodyText"/>
      </w:pPr>
      <w:r>
        <w:t xml:space="preserve">Offshore mariculture farms can be associated with increased nutrient levels in the water column from fish waste in the vicinity of the cages (REF). Increased nutrient levels are associated with increased algal production, which can grow over and damage coral reef habitat that are essential components to marine ecosystems in the Caribbean (Ref). Data from XX on location of coral reef habitat to represent areas to exclude from offshore mariciulture development to migitage any potential negative ecosystem impacts. Additionally, we excluded any areas that fall within designatied MPAs and conservation priority areas as suitable for offshore mariculture developement.</w:t>
      </w:r>
    </w:p>
    <w:p>
      <w:pPr>
        <w:pStyle w:val="BodyText"/>
      </w:pPr>
      <w:r>
        <w:t xml:space="preserve">A large advantage of offshore mariculture is that it can be developed away from coastal areas that are often heavily used for other purposes especially in the Caribbean, where many island economies rely heavily on coastal areas tos upport activities that attract tourists (REF_). However, there is some ocean use of waters offshore, which will likely only increase with time. We consider shipping, stuctures used for oil drilling and areas licesnced for deep sea mining exploration as potential offshore activities that may conflict with aquaculture development. We exclude areas that fall within 10% of the highest relative shipping activity, areas with benthic oil structures, and areas permitted for deep sea bed mining exploration as suitabile for offshore mariculture development.</w:t>
      </w:r>
    </w:p>
    <w:p>
      <w:pPr>
        <w:pStyle w:val="Heading2"/>
      </w:pPr>
      <w:bookmarkStart w:id="27" w:name="growth-potential"/>
      <w:bookmarkEnd w:id="27"/>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is a factor that cannot be easily controlled in offshore mariculture grow-out settings</w:t>
      </w:r>
      <w:r>
        <w:t xml:space="preserve"> </w:t>
      </w:r>
      <w:r>
        <w:t xml:space="preserve">(Tidwell 2012)</w:t>
      </w:r>
      <w:r>
        <w:t xml:space="preserve">. To reflect spatial differences in productivity across farms attributed to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r>
        <w:t xml:space="preserve"> </w:t>
      </w:r>
      <w:r>
        <w:t xml:space="preserve">(</w:t>
      </w:r>
      <w:r>
        <w:rPr>
          <w:b/>
        </w:rPr>
        <w:t xml:space="preserve">???</w:t>
      </w:r>
      <w:r>
        <w:t xml:space="preserve">)</w:t>
      </w:r>
      <w:r>
        <w:t xml:space="preserve">.</w:t>
      </w:r>
    </w:p>
    <w:p>
      <w:pPr>
        <w:pStyle w:val="Heading3"/>
      </w:pPr>
      <w:bookmarkStart w:id="28" w:name="thermal-performance-curve"/>
      <w:bookmarkEnd w:id="28"/>
      <w:r>
        <w:t xml:space="preserve">Thermal Performance Curve</w:t>
      </w:r>
    </w:p>
    <w:p>
      <w:pPr>
        <w:pStyle w:val="FirstParagraph"/>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in</w:t>
      </w:r>
      <w:r>
        <w:t xml:space="preserve"> </w:t>
      </w:r>
      <m:oMath>
        <m:sSup>
          <m:e>
            <m:r>
              <m:t/>
            </m:r>
          </m:e>
          <m:sup>
            <m:r>
              <m:t>∘</m:t>
            </m:r>
          </m:sup>
        </m:sSup>
      </m:oMath>
      <w:r>
        <w:t xml:space="preserve">C,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components of cobia are presented in Table S2 and were adopted from Klinger, Levin, and Watson (2017),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timeseries. The 10 year (</w:t>
      </w:r>
      <m:oMath>
        <m:r>
          <m:t>y</m:t>
        </m:r>
      </m:oMath>
      <w:r>
        <w:t xml:space="preserve">) average individual growth ($</w:t>
      </w:r>
      <w:r>
        <w:t xml:space="preserve">{G}_{i,t} $)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29" w:name="bioeconomic-model"/>
      <w:bookmarkEnd w:id="29"/>
      <w:r>
        <w:t xml:space="preserve">Bioeconomic Model</w:t>
      </w:r>
    </w:p>
    <w:p>
      <w:pPr>
        <w:pStyle w:val="FirstParagraph"/>
      </w:pPr>
      <w:r>
        <w:t xml:space="preserve">We model future offshore aquaculture potential in the Caribbean by coupling site specific estimates of average monthly cobia growth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(cells) with a positive NPV under the assumption that only profitable farm locations would be developed.</w:t>
      </w:r>
    </w:p>
    <w:p>
      <w:pPr>
        <w:pStyle w:val="Heading3"/>
      </w:pPr>
      <w:bookmarkStart w:id="30" w:name="farm-design"/>
      <w:bookmarkEnd w:id="30"/>
      <w:r>
        <w:t xml:space="preserve">Farm Design</w:t>
      </w:r>
    </w:p>
    <w:p>
      <w:pPr>
        <w:pStyle w:val="FirstParagraph"/>
      </w:pPr>
      <w:r>
        <w:t xml:space="preserve">To estimate production, we assume a conservative fixed farm design, per 1 km</w:t>
      </w:r>
      <w:r>
        <w:rPr>
          <w:vertAlign w:val="superscript"/>
        </w:rPr>
        <w:t xml:space="preserve">2</w:t>
      </w:r>
      <w:r>
        <w:t xml:space="preserve"> </w:t>
      </w:r>
      <w:r>
        <w:t xml:space="preserve">site, across our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 The cages are held in position by the mooring system at depths of 15-20 m below the surface</w:t>
      </w:r>
      <w:r>
        <w:t xml:space="preserve">(Loverich 2010)</w:t>
      </w:r>
      <w:r>
        <w:t xml:space="preserve">. We develop a hypothetical farm design for a 1 km</w:t>
      </w:r>
      <w:r>
        <w:rPr>
          <w:vertAlign w:val="superscript"/>
        </w:rPr>
        <w:t xml:space="preserve">2</w:t>
      </w:r>
      <w:r>
        <w:t xml:space="preserve"> </w:t>
      </w:r>
      <w:r>
        <w:t xml:space="preserve">cell using the total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w:t>
      </w:r>
      <w:r>
        <w:rPr>
          <w:b/>
        </w:rPr>
        <w:t xml:space="preserve">???</w:t>
      </w:r>
      <w:r>
        <w:t xml:space="preserve">)</w:t>
      </w:r>
      <w:r>
        <w:t xml:space="preserve">. Our hypothetical farm has 16 SeaStation cages (each 6,400 m</w:t>
      </w:r>
      <w:r>
        <w:rPr>
          <w:vertAlign w:val="superscript"/>
        </w:rPr>
        <w:t xml:space="preserve">3</w:t>
      </w:r>
      <w:r>
        <w:t xml:space="preserve">) configured in two eight-cell grid mooring systems, a total cage volume of 102,400 m</w:t>
      </w:r>
      <w:r>
        <w:rPr>
          <w:vertAlign w:val="superscript"/>
        </w:rPr>
        <w:t xml:space="preserve">3</w:t>
      </w:r>
      <w:r>
        <w:t xml:space="preserve"> </w:t>
      </w:r>
      <w:r>
        <w:t xml:space="preserve">per individual farm. The infrastructure of the farm has a footprint of ~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31" w:name="growth-model"/>
      <w:bookmarkEnd w:id="31"/>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w:r>
        <w:t xml:space="preserve">{G}_{i,t} $)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Heading4"/>
      </w:pPr>
      <w:bookmarkStart w:id="32" w:name="stocking-density"/>
      <w:bookmarkEnd w:id="32"/>
      <w:r>
        <w:t xml:space="preserve">Stocking Density</w:t>
      </w:r>
    </w:p>
    <w:p>
      <w:pPr>
        <w:pStyle w:val="FirstParagraph"/>
      </w:pPr>
      <w:r>
        <w:t xml:space="preserve">Benetti et al. 2010 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For a farm with a 12 month average harvest cycle (</w:t>
      </w:r>
      <m:oMath>
        <m:sSub>
          <m:e>
            <m:bar>
              <m:barPr>
                <m:pos m:val="top"/>
              </m:barPr>
              <m:e>
                <m:r>
                  <m:t>t</m:t>
                </m:r>
              </m:e>
            </m:bar>
          </m:e>
          <m:sub>
            <m:r>
              <m:t>i</m:t>
            </m:r>
          </m:sub>
        </m:sSub>
        <m:r>
          <m:t>=</m:t>
        </m:r>
        <m:r>
          <m:t>12</m:t>
        </m:r>
      </m:oMath>
      <w:r>
        <w:t xml:space="preserve">),</w:t>
      </w:r>
      <w:r>
        <w:t xml:space="preserve"> </w:t>
      </w:r>
      <m:oMath>
        <m:sSup>
          <m:e>
            <m:r>
              <m:t>n</m:t>
            </m:r>
          </m:e>
          <m:sup>
            <m:r>
              <m:t>*</m:t>
            </m:r>
          </m:sup>
        </m:sSup>
      </m:oMath>
      <w:r>
        <w:t xml:space="preserve"> </w:t>
      </w:r>
      <w:r>
        <w:t xml:space="preserve">is 25,600.</w:t>
      </w:r>
    </w:p>
    <w:p>
      <w:pPr>
        <w:pStyle w:val="Heading4"/>
      </w:pPr>
      <w:bookmarkStart w:id="33" w:name="total-biomass"/>
      <w:bookmarkEnd w:id="33"/>
      <w:r>
        <w:t xml:space="preserve">Total Biomass</w:t>
      </w:r>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instantenous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Heading3"/>
      </w:pPr>
      <w:bookmarkStart w:id="34" w:name="economic-model"/>
      <w:bookmarkEnd w:id="34"/>
      <w:r>
        <w:t xml:space="preserve">Economic Model</w:t>
      </w:r>
    </w:p>
    <w:p>
      <w:pPr>
        <w:pStyle w:val="Heading4"/>
      </w:pPr>
      <w:bookmarkStart w:id="35" w:name="costs"/>
      <w:bookmarkEnd w:id="35"/>
      <w:r>
        <w:t xml:space="preserve">Costs</w:t>
      </w:r>
    </w:p>
    <w:p>
      <w:pPr>
        <w:pStyle w:val="FirstParagraph"/>
      </w:pPr>
      <w:r>
        <w:t xml:space="preserve">The total cost</w:t>
      </w:r>
      <w:r>
        <w:t xml:space="preserve"> </w:t>
      </w:r>
      <m:oMath>
        <m:r>
          <m:t>T</m:t>
        </m:r>
        <m:r>
          <m:t>C</m:t>
        </m:r>
      </m:oMath>
      <w:r>
        <w:t xml:space="preserve"> </w:t>
      </w:r>
      <w:r>
        <w:t xml:space="preserve">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 Some parameters were fixed across our study region (Table S3a) while others are a function of EEZ (Table S3b).</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Costs of aquaculture infrastructure and installation increase with depth and distance from shore</w:t>
      </w:r>
      <w:r>
        <w:t xml:space="preserve"> </w:t>
      </w:r>
      <w:r>
        <w:t xml:space="preserve">(</w:t>
      </w:r>
      <w:r>
        <w:rPr>
          <w:b/>
        </w:rPr>
        <w:t xml:space="preserve">???</w:t>
      </w:r>
      <w:r>
        <w:t xml:space="preserve">)</w:t>
      </w:r>
      <w:r>
        <w:t xml:space="preserve">. Start-up costs are therefore include initial capital expenditures (</w:t>
      </w:r>
      <m:oMath>
        <m:r>
          <m:t>E</m:t>
        </m:r>
      </m:oMath>
      <w:r>
        <w:t xml:space="preserve">) and installation costs (</w:t>
      </w:r>
      <m:oMath>
        <m:r>
          <m:t>I</m:t>
        </m:r>
      </m:oMath>
      <w:r>
        <w:t xml:space="preserve">), both as a function of average site depth in meters</w:t>
      </w:r>
      <w:r>
        <w:t xml:space="preserve"> </w:t>
      </w:r>
      <m:oMath>
        <m:r>
          <m:t>m</m:t>
        </m:r>
      </m:oMath>
      <w:r>
        <w:t xml:space="preserve">, and EEZ-specific permit and/or lease cost</w:t>
      </w:r>
      <w:r>
        <w:t xml:space="preserve">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include the labor costs for installation of the culture system. A 10% increase in cage and installation costs are assinged to sites with depths greater than 50 m</w:t>
      </w:r>
      <w:r>
        <w:t xml:space="preserve"> </w:t>
      </w:r>
      <w:r>
        <w:t xml:space="preserve">(</w:t>
      </w:r>
      <w:r>
        <w:rPr>
          <w:b/>
        </w:rPr>
        <w:t xml:space="preserve">???</w:t>
      </w:r>
      <w:r>
        <w:t xml:space="preserve">)</w:t>
      </w:r>
      <w:r>
        <w:t xml:space="preserve">. Operating costs are organized in two main categories; farm labor and maintenance costs as a function of site depth and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r>
        <w:t xml:space="preserve">.</w:t>
      </w:r>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Heading4"/>
      </w:pPr>
      <w:bookmarkStart w:id="36" w:name="production-revenue"/>
      <w:bookmarkEnd w:id="36"/>
      <w:r>
        <w:t xml:space="preserve">Production &amp; Revenue</w:t>
      </w:r>
    </w:p>
    <w:p>
      <w:pPr>
        <w:pStyle w:val="FirstParagraph"/>
      </w:pPr>
      <w:r>
        <w:t xml:space="preserve">Farms earn revenue by harvesting market weight (5 kg) cobia. Thus, farms only earn revenue in months where individual fish weight (</w:t>
      </w:r>
      <m:oMath>
        <m:r>
          <m:t>w</m:t>
        </m:r>
      </m:oMath>
      <w:r>
        <w:t xml:space="preserve">) reaches 5 kg. In these harvest months, farm revenue is simply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simply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is calculated for each farm across a range of prices ($1-$12 per kg).</w:t>
      </w:r>
    </w:p>
    <w:p>
      <w:pPr>
        <w:pStyle w:val="Heading3"/>
      </w:pPr>
      <w:bookmarkStart w:id="37" w:name="net-present-value"/>
      <w:bookmarkEnd w:id="37"/>
      <w:r>
        <w:t xml:space="preserve">Net Present Value</w:t>
      </w:r>
    </w:p>
    <w:p>
      <w:pPr>
        <w:pStyle w:val="FirstParagraph"/>
      </w:pPr>
      <w:r>
        <w:t xml:space="preserve">Net present value (NPV) is the generally accepted measure of a long-term investment’s economic validity and accounts for the time value of money by discounting future cashflows. Central to the NPV caluclation is the discount rate, which controls how valuable future cashflows are relative to today. Defining appropriate discount rates in economic models is often difficult and depends on many factors, namely the cost of capital and project risk [REF]. As a result, we run our bioeconomic model under two different discount rate assumptions. In the first scenario, we assume a fixed disocunt rate of 10% across all farms, which is based on the average discount rate of 10.6% found in a meta-analysis of literature on bioeconomic modelling in aquaculture from the last 25 years</w:t>
      </w:r>
      <w:r>
        <w:t xml:space="preserve"> </w:t>
      </w:r>
      <w:r>
        <w:t xml:space="preserve">(</w:t>
      </w:r>
      <w:r>
        <w:rPr>
          <w:b/>
        </w:rPr>
        <w:t xml:space="preserve">???</w:t>
      </w:r>
      <w:r>
        <w:t xml:space="preserve">)</w:t>
      </w:r>
      <w:r>
        <w:t xml:space="preserve">. However, lack of foreign investment due to financial risk has been identfied as a major barrier to aquaculture development in the Caribbean. Risk of investment is often factored into the decision of selecting an appropariate discount rate when estimating returns on an investment. Therefore, our second scenario attempts to capture the financial risk of investing in offshore aquaculture by estimating EEZ-specific discount rates.</w:t>
      </w:r>
    </w:p>
    <w:p>
      <w:pPr>
        <w:pStyle w:val="BodyText"/>
      </w:pPr>
      <w:r>
        <w:t xml:space="preserve">Foreign investment is an artifact of both political and economic risk in a country, which can be calculated into a single risk score using economic and socioeconomic indicators</w:t>
      </w:r>
      <w:r>
        <w:t xml:space="preserve"> </w:t>
      </w:r>
      <w:r>
        <w:t xml:space="preserve">(</w:t>
      </w:r>
      <w:r>
        <w:rPr>
          <w:b/>
        </w:rPr>
        <w:t xml:space="preserve">???</w:t>
      </w:r>
      <w:r>
        <w:t xml:space="preserve">)</w:t>
      </w:r>
      <w:r>
        <w:t xml:space="preserve">.</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 We adopt this framework to calculate a score representing the investment risk for each country (Table X). Risk scores are then scaled to EEZ-specific discount rates (Table X)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TableCaption"/>
      </w:pPr>
      <w:r>
        <w:t xml:space="preserve">Table 1. Investment risk scores and discount rates by country. A risk score of 1.5 (US Virgin Islands) is used as a baseline for scaling discount rates between 10%-20%</w:t>
      </w:r>
    </w:p>
    <w:tbl>
      <w:tblPr>
        <w:tblStyle w:val="TableNormal"/>
        <w:tblW w:type="pct" w:w="4375.0"/>
        <w:tblLook w:firstRow="1"/>
        <w:tblCaption w:val="Table 1. Investment risk scores and discount rates by country. A risk score of 1.5 (US Virgin Islands) is used as a baseline for scaling discount rates between 10%-20%"/>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BodyText"/>
      </w:pPr>
      <w:r>
        <w:t xml:space="preserve">For both discount rate scenarios, we calculate the 10-year net present value (NPV) for each farm:</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(10% or EEZ-specific). Lastly, only farms with a positive 10-year NPV are considered feasible for development.</w:t>
      </w:r>
    </w:p>
    <w:p>
      <w:pPr>
        <w:pStyle w:val="Heading1"/>
      </w:pPr>
      <w:bookmarkStart w:id="38" w:name="results"/>
      <w:bookmarkEnd w:id="38"/>
      <w:r>
        <w:t xml:space="preserve">Results</w:t>
      </w:r>
    </w:p>
    <w:p>
      <w:pPr>
        <w:pStyle w:val="Heading2"/>
      </w:pPr>
      <w:bookmarkStart w:id="39" w:name="suitability"/>
      <w:bookmarkEnd w:id="39"/>
      <w:r>
        <w:t xml:space="preserve">Suitability</w:t>
      </w:r>
    </w:p>
    <w:p>
      <w:pPr>
        <w:pStyle w:val="FirstParagraph"/>
      </w:pPr>
      <w:r>
        <w:t xml:space="preserve">Based on the factors we considered and thresholds we defined, there is 50,373.35 km</w:t>
      </w:r>
      <w:r>
        <w:rPr>
          <w:vertAlign w:val="superscript"/>
        </w:rPr>
        <w:t xml:space="preserve">2</w:t>
      </w:r>
      <w:r>
        <w:t xml:space="preserve"> </w:t>
      </w:r>
      <w:r>
        <w:t xml:space="preserve">(1.7% our study region) potentially suitable for the development of offshore mariculture. Depth was the largest constraining factor in the suitability analysis, XX% of our study area fell outside the depth range (25 - 100 m) considered techinically feasible for offshore mariculture farm infrastructure. By comparison, our second largest constriaining factor in the suitability analysiswas shipping activity, which only excluded XX% of our study area as suitable for offshore mariculture development (Table S4).</w:t>
      </w:r>
    </w:p>
    <w:p>
      <w:pPr>
        <w:pStyle w:val="BodyText"/>
      </w:pPr>
      <w:r>
        <w:t xml:space="preserve">There is considerable variability in the amount and distribution of suitable area for offshore mariculture in the Caribbean (Table 1). The Bahamas, Trinidad and Tobago, and Jamaica are the top three countries in terms of suitable area, and the spatial distribution of suitable areas differs considerable between them (Figure 1; see Figure SX for the full Caribbean suitability map).</w:t>
      </w:r>
    </w:p>
    <w:p>
      <w:pPr>
        <w:pStyle w:val="FigureWithCaption"/>
      </w:pPr>
      <w:r>
        <w:drawing>
          <wp:inline>
            <wp:extent cx="5334000" cy="1778000"/>
            <wp:effectExtent b="0" l="0" r="0" t="0"/>
            <wp:docPr descr="Figure 1. Results of our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Box%20Sync/Carib_aqua_16/results/2018-02-27_est/Figures/eez_suitable_map_zoom.png" id="0" name="Picture"/>
                    <pic:cNvPicPr>
                      <a:picLocks noChangeArrowheads="1" noChangeAspect="1"/>
                    </pic:cNvPicPr>
                  </pic:nvPicPr>
                  <pic:blipFill>
                    <a:blip r:embed="rId4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our suitability analysis for the Bahamas, Jamaica, and Trinidad and Tobago. The orange areas represent areas that are potentially suitable for offshore mariculture</w:t>
      </w:r>
    </w:p>
    <w:p>
      <w:pPr>
        <w:pStyle w:val="BodyText"/>
      </w:pPr>
      <w:r>
        <w:t xml:space="preserve">Both the Bahamas and Trinadad and Tobago have more than twice the suitable area of the country with the next largest amount of suitable area (Jamaica; Table 1). No suitable areas were found in Martinque, St. Martin, and Guadeloupe because of the conservation status of waters falling within their EEZs. The large suitable area in the Bahamas can be attributed to its relatively large EEZ (Table 1; Figure 1). Overall, Trinidad and Tobago had the largest percentage of their EEZ identified as suitable (13.31%), followed by Saba (11.07%). Suitable areas acoounted for &lt; 5% of total EEZ area for all other Caribbean islands (Table 1).</w:t>
      </w:r>
    </w:p>
    <w:p>
      <w:pPr>
        <w:pStyle w:val="TableCaption"/>
      </w:pPr>
      <w:r>
        <w:t xml:space="preserve">Estimated suitable area (km</w:t>
      </w:r>
      <w:r>
        <w:rPr>
          <w:vertAlign w:val="superscript"/>
        </w:rPr>
        <w:t xml:space="preserve">2</w:t>
      </w:r>
      <w:r>
        <w:t xml:space="preserve"> </w:t>
      </w:r>
      <w:r>
        <w:t xml:space="preserve">by EEZ)</w:t>
      </w:r>
    </w:p>
    <w:tbl>
      <w:tblPr>
        <w:tblStyle w:val="TableNormal"/>
        <w:tblW w:type="pct" w:w="5000.0"/>
        <w:tblLook w:firstRow="1"/>
        <w:tblCaption w:val="Estimated suitable area (km2 by EEZ)"/>
      </w:tblPr>
      <w:tblGrid>
        <w:gridCol w:w="2728"/>
        <w:gridCol w:w="2112"/>
        <w:gridCol w:w="2023"/>
        <w:gridCol w:w="105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Total 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r>
    </w:tbl>
    <w:p>
      <w:pPr>
        <w:pStyle w:val="Heading3"/>
      </w:pPr>
      <w:bookmarkStart w:id="41" w:name="production-and-net-present-value"/>
      <w:bookmarkEnd w:id="41"/>
      <w:r>
        <w:t xml:space="preserve">Production and Net Present Value</w:t>
      </w:r>
    </w:p>
    <w:p>
      <w:pPr>
        <w:pStyle w:val="FirstParagraph"/>
      </w:pPr>
      <w:r>
        <w:t xml:space="preserve">Ignoring economic constraints, the Caribbean’s potential to produce cobia from mariculture is extremely large, with an approximate annual production of 78.7 MT. This total is two orders of magnitude larger than total current seafood production in the Caribbean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w:t>
      </w:r>
    </w:p>
    <w:p>
      <w:pPr>
        <w:pStyle w:val="FigureWithCaption"/>
      </w:pPr>
      <w:r>
        <w:drawing>
          <wp:inline>
            <wp:extent cx="5334000" cy="4445000"/>
            <wp:effectExtent b="0" l="0" r="0" t="0"/>
            <wp:docPr descr="Figure 2. Estimated total production of cobia (mt) using if all suitable areas are developed as offshore mariculture farms" title="" id="1" name="Picture"/>
            <a:graphic>
              <a:graphicData uri="http://schemas.openxmlformats.org/drawingml/2006/picture">
                <pic:pic>
                  <pic:nvPicPr>
                    <pic:cNvPr descr="../../../Box%20Sync/Carib_aqua_16/results/2018-02-27_est/Figures/total_prod_map.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2. Estimated total production of cobia (mt) using if all suitable areas are developed as offshore mariculture farms</w:t>
      </w:r>
    </w:p>
    <w:p>
      <w:pPr>
        <w:pStyle w:val="BodyText"/>
      </w:pPr>
      <w:r>
        <w:t xml:space="preserve">Variability between average annual production of EEZs is largely driven by the amount of area that was identified as suitable within each EEZ (Table 2; Figure 2). Cobia growth is a function of temperature and, in addition to the amount of suitable area avaialable, is a major factor for cobia production. Not surprisingly then, average cobia growth (kg/month) shows a clear seasonal trend, which varies across EEZs (Figure SX).</w:t>
      </w:r>
    </w:p>
    <w:p>
      <w:pPr>
        <w:pStyle w:val="BodyText"/>
      </w:pPr>
      <w:r>
        <w:t xml:space="preserve">When economics are considered, the Caribbean’s potential for offshore cobia mariculture is considerably reduced relative to when only suitability and temperature-depenedent growth are considered (Figure 2). Under the current prices and costs associated with cobia production and assuming a 10% discount rate, none of the suitable farming area is profitable in numerous countries, including Aruba, the Turks and Caicos Islands, the US Virgin Islands, Montserrat, and the Cayman Islands (Figure 3A). In The Bahamas, which has the largest suitable area, average annual production declines from 19.1 MMT to just 16,379 MMT. The number of countries with economically viable farming areas is further reduced if the country-specific risk of investment is considered, with profitable farms remaining in only Trinidad and Tobago, Jamaica, the Dominican Republic, Haiti, and Anguilla (Figure 3B).</w:t>
      </w:r>
    </w:p>
    <w:p>
      <w:pPr>
        <w:pStyle w:val="FigureWithCaption"/>
      </w:pPr>
      <w:r>
        <w:drawing>
          <wp:inline>
            <wp:extent cx="5334000" cy="4445000"/>
            <wp:effectExtent b="0" l="0" r="0" t="0"/>
            <wp:docPr descr="Figure 3. Cobia production from profitable farms under two discount rate scenarios (10% and EEZ-specific)" title="" id="1" name="Picture"/>
            <a:graphic>
              <a:graphicData uri="http://schemas.openxmlformats.org/drawingml/2006/picture">
                <pic:pic>
                  <pic:nvPicPr>
                    <pic:cNvPr descr="../../../Box%20Sync/Carib_aqua_16/results/2018-02-27_est/Figures/disc_scenario_prod_map.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Cobia production from profitable farms under two discount rate scenarios (10% and EEZ-specific)</w:t>
      </w:r>
    </w:p>
    <w:p>
      <w:pPr>
        <w:pStyle w:val="BodyText"/>
      </w:pPr>
      <w:r>
        <w:t xml:space="preserve">At the farm level, the median cobia farm in the Caribbean yields an annual supply and NPV of 13,941.79 MT and $972,992.4, respectively. Production and NPV are highly variable across farms in Jamaica, Haiti, and the Dominican Republic, but relatively constant elsewhere (Figure 4).</w:t>
      </w:r>
    </w:p>
    <w:p>
      <w:pPr>
        <w:pStyle w:val="FigureWithCaption"/>
      </w:pPr>
      <w:r>
        <w:drawing>
          <wp:inline>
            <wp:extent cx="5334000" cy="6667500"/>
            <wp:effectExtent b="0" l="0" r="0" t="0"/>
            <wp:docPr descr="Figure 4: NPV of cobia aquaculture per farm by Caribbean EEZ" title="" id="1" name="Picture"/>
            <a:graphic>
              <a:graphicData uri="http://schemas.openxmlformats.org/drawingml/2006/picture">
                <pic:pic>
                  <pic:nvPicPr>
                    <pic:cNvPr descr="../../../Box%20Sync/Carib_aqua_16/results/2018-02-27_est/Figures/cntry_boxplot.png" id="0" name="Picture"/>
                    <pic:cNvPicPr>
                      <a:picLocks noChangeArrowheads="1" noChangeAspect="1"/>
                    </pic:cNvPicPr>
                  </pic:nvPicPr>
                  <pic:blipFill>
                    <a:blip r:embed="rId4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NPV of cobia aquaculture per farm by Caribbean EEZ</w:t>
      </w:r>
    </w:p>
    <w:p>
      <w:pPr>
        <w:pStyle w:val="BodyText"/>
      </w:pPr>
      <w:r>
        <w:t xml:space="preserve">Farms vary in the length of time required to raise cobia to a market size of 5 kg, with the median farm completing a harvest cycle in X months. The variablity in average annual production and NPV across EEZs is subsequently driven by the interaction between these temperature driven growth rates and feed costs. This is especially illustrated in the Bahamas, which has a large area suitable for aquaculture but a long average harvest cycle across farms in the EEZ due to cooler waters, making the majority of suitable farms unprofitable (Figures 2 and 3). Feed is well known to account for the largest portion of operating costs in aquaculture (REF). Our findings support this conclusion, with the median farm spending 90.1% of operating costs on feed. However, given that economic forces are driving promising advances in feed technology, we chose to explore results where current feed costs ($1.65/kg) are reduced by 10% (Figure 5).</w:t>
      </w:r>
    </w:p>
    <w:p>
      <w:pPr>
        <w:pStyle w:val="FigureWithCaption"/>
      </w:pPr>
      <w:r>
        <w:drawing>
          <wp:inline>
            <wp:extent cx="5334000" cy="4267200"/>
            <wp:effectExtent b="0" l="0" r="0" t="0"/>
            <wp:docPr descr="Figure 3. Cobia supply curves under current feed cost (feed price index = 1) and a 10% reduction in feed cost (feed price index = 0.9)." title="" id="1" name="Picture"/>
            <a:graphic>
              <a:graphicData uri="http://schemas.openxmlformats.org/drawingml/2006/picture">
                <pic:pic>
                  <pic:nvPicPr>
                    <pic:cNvPr descr="../../../Box%20Sync/Carib_aqua_16/results/2018-02-27_est/Figures/carib_supply_curves.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Cobia supply curves under current feed cost (feed price index = 1) and a 10% reduction in feed cost (feed price index = 0.9).</w:t>
      </w:r>
    </w:p>
    <w:p>
      <w:pPr>
        <w:pStyle w:val="BodyText"/>
      </w:pPr>
      <w:r>
        <w:t xml:space="preserve">A reduction in feed costs by 10% could increase cobia supply by 35%. This change, along with increasing profitability, would be enough for farms in Aruba, the Turks and Caicos Islands, the US Virgin Islands, Montserrat, and the Cayman Islands to become profitable. Whether or not feed costs decline, no farms in the Caribbean will be profitable if the price for cobia drops below $8/kg.</w:t>
      </w:r>
    </w:p>
    <w:p>
      <w:pPr>
        <w:pStyle w:val="BodyText"/>
      </w:pPr>
      <w:r>
        <w:rPr>
          <w:b/>
        </w:rPr>
        <w:t xml:space="preserve">INSERT SUMMARY TABLE OF ALL THREE SCENARIO RESULTS</w:t>
      </w:r>
    </w:p>
    <w:p>
      <w:pPr>
        <w:pStyle w:val="Heading1"/>
      </w:pPr>
      <w:bookmarkStart w:id="46" w:name="discussion"/>
      <w:bookmarkEnd w:id="46"/>
      <w:r>
        <w:t xml:space="preserve">Discussion</w:t>
      </w:r>
    </w:p>
    <w:p>
      <w:pPr>
        <w:pStyle w:val="Heading1"/>
      </w:pPr>
      <w:bookmarkStart w:id="47" w:name="references"/>
      <w:bookmarkEnd w:id="47"/>
      <w:r>
        <w:t xml:space="preserve">References</w:t>
      </w:r>
    </w:p>
    <w:p>
      <w:pPr>
        <w:pStyle w:val="Heading1"/>
      </w:pPr>
      <w:bookmarkStart w:id="48" w:name="supplementary-information"/>
      <w:bookmarkEnd w:id="48"/>
      <w:r>
        <w:t xml:space="preserve">Supplementary Information</w:t>
      </w:r>
    </w:p>
    <w:p>
      <w:pPr>
        <w:pStyle w:val="Heading4"/>
      </w:pPr>
      <w:bookmarkStart w:id="49" w:name="discount-rate"/>
      <w:bookmarkEnd w:id="49"/>
      <w:r>
        <w:t xml:space="preserve">Discount Rate</w:t>
      </w:r>
    </w:p>
    <w:p>
      <w:pPr>
        <w:pStyle w:val="FirstParagraph"/>
      </w:pPr>
      <w:r>
        <w:t xml:space="preserve">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qre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S1. Areas suitable for offshore mariculutre in the Caribbean" title="" id="1" name="Picture"/>
            <a:graphic>
              <a:graphicData uri="http://schemas.openxmlformats.org/drawingml/2006/picture">
                <pic:pic>
                  <pic:nvPicPr>
                    <pic:cNvPr descr="../../../Box%20Sync/Carib_aqua_16/results/2018-02-27_est/Figures/carib_suit_area.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S1. Areas suitable for offshore mariculutre in the Caribbean</w:t>
      </w:r>
    </w:p>
    <w:p>
      <w:pPr>
        <w:pStyle w:val="FigureWithCaption"/>
      </w:pPr>
      <w:r>
        <w:drawing>
          <wp:inline>
            <wp:extent cx="5334000" cy="5334000"/>
            <wp:effectExtent b="0" l="0" r="0" t="0"/>
            <wp:docPr descr="Average harvest cycle length (months) by farm" title="" id="1" name="Picture"/>
            <a:graphic>
              <a:graphicData uri="http://schemas.openxmlformats.org/drawingml/2006/picture">
                <pic:pic>
                  <pic:nvPicPr>
                    <pic:cNvPr descr="../../../Box%20Sync/Carib_aqua_16/results/2018-02-27_est/Figures/harv_length_hist.jpe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harvest cycle length (months) by farm</w:t>
      </w:r>
    </w:p>
    <w:p>
      <w:pPr>
        <w:pStyle w:val="FigureWithCaption"/>
      </w:pPr>
      <w:r>
        <w:drawing>
          <wp:inline>
            <wp:extent cx="5334000" cy="5334000"/>
            <wp:effectExtent b="0" l="0" r="0" t="0"/>
            <wp:docPr descr="Average growth of cobia by month" title="" id="1" name="Picture"/>
            <a:graphic>
              <a:graphicData uri="http://schemas.openxmlformats.org/drawingml/2006/picture">
                <pic:pic>
                  <pic:nvPicPr>
                    <pic:cNvPr descr="../../../Box%20Sync/Carib_aqua_16/results/2018-02-27_est/Figures/EEZ_avg_growth.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growth of cobia by month</w:t>
      </w:r>
    </w:p>
    <w:p>
      <w:pPr>
        <w:pStyle w:val="FigureWithCaption"/>
      </w:pPr>
      <w:r>
        <w:drawing>
          <wp:inline>
            <wp:extent cx="5334000" cy="6400800"/>
            <wp:effectExtent b="0" l="0" r="0" t="0"/>
            <wp:docPr descr="Comparison of production when all suitable farms are developed, only profitable farms, and only profitable farms with lower feed costs" title="" id="1" name="Picture"/>
            <a:graphic>
              <a:graphicData uri="http://schemas.openxmlformats.org/drawingml/2006/picture">
                <pic:pic>
                  <pic:nvPicPr>
                    <pic:cNvPr descr="../../../Box%20Sync/Carib_aqua_16/results/2018-02-27_est/Figures/production.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Comparison of production when all suitable farms are developed, only profitable farms, and only profitable farms with lower feed costs</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Table S2. Temperature-growth parameters and linear function constants for cobia</w:t>
      </w:r>
    </w:p>
    <w:tbl>
      <w:tblPr>
        <w:tblStyle w:val="TableNormal"/>
        <w:tblW w:type="pct" w:w="2152.777777777778"/>
        <w:tblLook w:firstRow="1"/>
        <w:tblCaption w:val="Table S2. Temperature-growth parameters and linear function constants for cobia"/>
      </w:tblPr>
      <w:tblGrid>
        <w:gridCol w:w="264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Growth rate (g/month)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2"/>
      </w:pPr>
      <w:bookmarkStart w:id="55" w:name="removed-text-just-in-case-we-need-later"/>
      <w:bookmarkEnd w:id="55"/>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56">
        <w:r>
          <w:rPr>
            <w:rStyle w:val="Hyperlink"/>
          </w:rPr>
          <w:t xml:space="preserve">10.1016/j.aquaculture.2013.05.020</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57">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58">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59">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60">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61">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62">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63">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64">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65">
        <w:r>
          <w:rPr>
            <w:rStyle w:val="Hyperlink"/>
          </w:rPr>
          <w:t xml:space="preserve">10.1007/s10499-010-9391-y</w:t>
        </w:r>
      </w:hyperlink>
      <w:r>
        <w:t xml:space="preserve">.</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66">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67">
        <w:r>
          <w:rPr>
            <w:rStyle w:val="Hyperlink"/>
          </w:rPr>
          <w:t xml:space="preserve">10.1016/j.gloenvcha.2012.03.003</w:t>
        </w:r>
      </w:hyperlink>
      <w:r>
        <w:t xml:space="preserve">.</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68">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1cc23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52" Target="media/rId52.jp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hyperlink" Id="rId68" Target="https://doi.org/10.1002/9781119154051.ch19" TargetMode="External" /><Relationship Type="http://schemas.openxmlformats.org/officeDocument/2006/relationships/hyperlink" Id="rId64" Target="https://doi.org/10.1002/ece3.2637" TargetMode="External" /><Relationship Type="http://schemas.openxmlformats.org/officeDocument/2006/relationships/hyperlink" Id="rId65" Target="https://doi.org/10.1007/s10499-010-9391-y" TargetMode="External" /><Relationship Type="http://schemas.openxmlformats.org/officeDocument/2006/relationships/hyperlink" Id="rId59" Target="https://doi.org/10.1016/S1546-5098(08)60033-3" TargetMode="External" /><Relationship Type="http://schemas.openxmlformats.org/officeDocument/2006/relationships/hyperlink" Id="rId58" Target="https://doi.org/10.1016/j.aquaculture.2010.02.021" TargetMode="External" /><Relationship Type="http://schemas.openxmlformats.org/officeDocument/2006/relationships/hyperlink" Id="rId56" Target="https://doi.org/10.1016/j.aquaculture.2013.05.020" TargetMode="External" /><Relationship Type="http://schemas.openxmlformats.org/officeDocument/2006/relationships/hyperlink" Id="rId67" Target="https://doi.org/10.1016/j.gloenvcha.2012.03.003" TargetMode="External" /><Relationship Type="http://schemas.openxmlformats.org/officeDocument/2006/relationships/hyperlink" Id="rId63" Target="https://doi.org/10.1038/s41559-017-0257-9" TargetMode="External" /><Relationship Type="http://schemas.openxmlformats.org/officeDocument/2006/relationships/hyperlink" Id="rId60" Target="https://doi.org/10.1073/pnas.1520420113" TargetMode="External" /><Relationship Type="http://schemas.openxmlformats.org/officeDocument/2006/relationships/hyperlink" Id="rId66" Target="https://doi.org/10.1080/13657305.2015.994240" TargetMode="External" /><Relationship Type="http://schemas.openxmlformats.org/officeDocument/2006/relationships/hyperlink" Id="rId61" Target="https://doi.org/10.1080/23308249.2015.1088821" TargetMode="External" /><Relationship Type="http://schemas.openxmlformats.org/officeDocument/2006/relationships/hyperlink" Id="rId62" Target="https://doi.org/10.3389/fmars.2017.00154" TargetMode="External" /><Relationship Type="http://schemas.openxmlformats.org/officeDocument/2006/relationships/hyperlink" Id="rId57"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68" Target="https://doi.org/10.1002/9781119154051.ch19" TargetMode="External" /><Relationship Type="http://schemas.openxmlformats.org/officeDocument/2006/relationships/hyperlink" Id="rId64" Target="https://doi.org/10.1002/ece3.2637" TargetMode="External" /><Relationship Type="http://schemas.openxmlformats.org/officeDocument/2006/relationships/hyperlink" Id="rId65" Target="https://doi.org/10.1007/s10499-010-9391-y" TargetMode="External" /><Relationship Type="http://schemas.openxmlformats.org/officeDocument/2006/relationships/hyperlink" Id="rId59" Target="https://doi.org/10.1016/S1546-5098(08)60033-3" TargetMode="External" /><Relationship Type="http://schemas.openxmlformats.org/officeDocument/2006/relationships/hyperlink" Id="rId58" Target="https://doi.org/10.1016/j.aquaculture.2010.02.021" TargetMode="External" /><Relationship Type="http://schemas.openxmlformats.org/officeDocument/2006/relationships/hyperlink" Id="rId56" Target="https://doi.org/10.1016/j.aquaculture.2013.05.020" TargetMode="External" /><Relationship Type="http://schemas.openxmlformats.org/officeDocument/2006/relationships/hyperlink" Id="rId67" Target="https://doi.org/10.1016/j.gloenvcha.2012.03.003" TargetMode="External" /><Relationship Type="http://schemas.openxmlformats.org/officeDocument/2006/relationships/hyperlink" Id="rId63" Target="https://doi.org/10.1038/s41559-017-0257-9" TargetMode="External" /><Relationship Type="http://schemas.openxmlformats.org/officeDocument/2006/relationships/hyperlink" Id="rId60" Target="https://doi.org/10.1073/pnas.1520420113" TargetMode="External" /><Relationship Type="http://schemas.openxmlformats.org/officeDocument/2006/relationships/hyperlink" Id="rId66" Target="https://doi.org/10.1080/13657305.2015.994240" TargetMode="External" /><Relationship Type="http://schemas.openxmlformats.org/officeDocument/2006/relationships/hyperlink" Id="rId61" Target="https://doi.org/10.1080/23308249.2015.1088821" TargetMode="External" /><Relationship Type="http://schemas.openxmlformats.org/officeDocument/2006/relationships/hyperlink" Id="rId62" Target="https://doi.org/10.3389/fmars.2017.00154" TargetMode="External" /><Relationship Type="http://schemas.openxmlformats.org/officeDocument/2006/relationships/hyperlink" Id="rId57"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2018-03-10T02:40:34Z</dcterms:created>
  <dcterms:modified xsi:type="dcterms:W3CDTF">2018-03-10T02:40:34Z</dcterms:modified>
</cp:coreProperties>
</file>