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41.png" ContentType="image/png"/>
  <Override PartName="/word/media/rId49.png" ContentType="image/png"/>
  <Override PartName="/word/media/rId47.png" ContentType="image/png"/>
  <Override PartName="/word/media/rId46.png" ContentType="image/png"/>
  <Override PartName="/word/media/rId45.png" ContentType="image/png"/>
  <Override PartName="/word/media/rId58.png" ContentType="image/png"/>
  <Override PartName="/word/media/rId51.png" ContentType="image/png"/>
  <Override PartName="/word/media/rId50.png" ContentType="image/png"/>
  <Override PartName="/word/media/rId56.jpg" ContentType="image/jpeg"/>
  <Override PartName="/word/media/rId57.png" ContentType="image/png"/>
  <Override PartName="/word/media/rId52.png" ContentType="image/png"/>
  <Override PartName="/word/media/rId43.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03</w:t>
      </w:r>
      <w:r>
        <w:t xml:space="preserve"> </w:t>
      </w:r>
      <w:r>
        <w:t xml:space="preserve">March,</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cobia (</w:t>
      </w:r>
      <w:r>
        <w:rPr>
          <w:i/>
        </w:rPr>
        <w:t xml:space="preserve">Rachycentron canadum</w:t>
      </w:r>
      <w:r>
        <w:t xml:space="preserve">), and to estimate potential outcomes in terms of yields and profits under different market scenarios. We find that 50,380.6 km</w:t>
      </w:r>
      <w:r>
        <w:rPr>
          <w:vertAlign w:val="superscript"/>
        </w:rPr>
        <w:t xml:space="preserve">2</w:t>
      </w:r>
      <w:r>
        <w:t xml:space="preserve"> </w:t>
      </w:r>
      <w:r>
        <w:t xml:space="preserve">(1.7%) of marine space in the Caribbean is technically feasible for cobia aquaculture and capabale of producing 78.7 million metric tons of seafood annually, an amount roughly comparable to the total global production from capture fisheries. Even accounting for spatial differences in cobia growth and production costs, we estimate the Caribbean could produce 40.7 million metric tons of cobia annualy. Areas associated with the highest relative economic potential were X, X, and X. Offshore aquaculture is a capital intensive activity mediated by socioeconomic conditions, such as foreign investment risk and XX, which were found to be factors limiting production in our analysis. The results of this research can be used to help prioritize areas for offshore cobia aquaculture development and as a framework for identifying priority areas for offshore aquaculture of other species. Additionally, we discuss the future potential of the development of offshore aquaculture in the Caribbean.</w:t>
      </w:r>
    </w:p>
    <w:p>
      <w:pPr>
        <w:pStyle w:val="Heading1"/>
      </w:pPr>
      <w:bookmarkStart w:id="22" w:name="introduction"/>
      <w:bookmarkEnd w:id="22"/>
      <w:r>
        <w:t xml:space="preserve">Introduction</w:t>
      </w:r>
    </w:p>
    <w:p>
      <w:pPr>
        <w:pStyle w:val="FirstParagraph"/>
      </w:pPr>
      <w:r>
        <w:t xml:space="preserve">Global fish production is expected to exceed 151 million tons by 2030 to meet growing demands, a 10% increase over current levels</w:t>
      </w:r>
      <w:r>
        <w:t xml:space="preserve"> </w:t>
      </w:r>
      <w:r>
        <w:t xml:space="preserve">(Kobayashi et al. 2015; FAO 2016)</w:t>
      </w:r>
      <w:r>
        <w:t xml:space="preserve">, and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and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can and should be realized requires an understanding of the sustainable and economically-viable production potential at the regional level, along with an identification of hurdles impeding development.</w:t>
      </w:r>
    </w:p>
    <w:p>
      <w:pPr>
        <w:pStyle w:val="BodyText"/>
      </w:pPr>
      <w:r>
        <w:t xml:space="preserve">In recent years, there has been a growing interest in aquaculture development in the Caribbean to increase food security and economic development</w:t>
      </w:r>
      <w:r>
        <w:t xml:space="preserve"> </w:t>
      </w:r>
      <w:r>
        <w:t xml:space="preserve">(Van Wyk and Davis 2006; Creswell 5AD–2007; CRFM 2014; Pérez-Ramírez 2017)</w:t>
      </w:r>
      <w:r>
        <w:t xml:space="preserve">. In 2014, the Caribbean produced 330,704 MT of seafood, 89.95% of which came from capture fisheries. In contrast, only 33,226.79 MT was produced from aquaculture, accounting for &lt; 0.1 % of the global total.</w:t>
      </w:r>
    </w:p>
    <w:p>
      <w:pPr>
        <w:pStyle w:val="BodyText"/>
      </w:pPr>
      <w:r>
        <w:t xml:space="preserve">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(22%) over the next decade</w:t>
      </w:r>
      <w:r>
        <w:t xml:space="preserve"> </w:t>
      </w:r>
      <w:r>
        <w:t xml:space="preserve">(FAO 2016)</w:t>
      </w:r>
      <w:r>
        <w:t xml:space="preserve">. Wild fisheries production in the region is unlikely to play a meaningful role in decreasing exports and/or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to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land space, freshwater, and energy resources</w:t>
      </w:r>
      <w:r>
        <w:t xml:space="preserve"> </w:t>
      </w:r>
      <w:r>
        <w:t xml:space="preserve">(Alvarez-Lajonchère and Ibarra-Castro 2013)</w:t>
      </w:r>
      <w:r>
        <w:t xml:space="preserve">. Similarly, expanded development of coastal aquaculture in the region is likely not 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depth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(REF).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 (Benetti et al. 2010).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xxxx.</w:t>
      </w:r>
    </w:p>
    <w:p>
      <w:pPr>
        <w:pStyle w:val="BodyText"/>
      </w:pPr>
      <w:r>
        <w:t xml:space="preserve">Critical knowledge gaps that hinder the development of offshore aquaculture in the Caribbean include: 1) the bioeconomic production capacity of the region (CRFM 2015), 2) how that potential varies across EEZs, and 3) what factors are currently most likely to be limiting development (e.g., biophysical conditions, regulatory environment, capital investment, expertise, etc.). Using high resolution spatial data, we develop a bioeconomic model to estimate the total production potential (in terms of weight and revenue) of offshore cobia aquaculture in the Caribbean. We examine the spatial distribution of offshore aquaculture potential to identify</w:t>
      </w:r>
      <w:r>
        <w:t xml:space="preserve"> </w:t>
      </w:r>
      <w:r>
        <w:t xml:space="preserve">‘</w:t>
      </w:r>
      <w:r>
        <w:t xml:space="preserve">hotspot</w:t>
      </w:r>
      <w:r>
        <w:t xml:space="preserve">’</w:t>
      </w:r>
      <w:r>
        <w:t xml:space="preserve"> </w:t>
      </w:r>
      <w:r>
        <w:t xml:space="preserve">locations for future development. We examine the variation of individual farm profitability between and across EEZs to determine the importance of site selection in aquaculture development and to quantify the potential benefits of strategic spatial planning. We explore these results under several scenarios of cobia production using a supply and demand curve to set cobia market price.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description-of-study-region"/>
      <w:bookmarkEnd w:id="24"/>
      <w:r>
        <w:t xml:space="preserve">Description of Study Region</w:t>
      </w:r>
    </w:p>
    <w:p>
      <w:pPr>
        <w:pStyle w:val="FirstParagraph"/>
      </w:pPr>
      <w:r>
        <w:t xml:space="preserve">Our study domain includes the territorial waters and Exclusive Economic Zones (EEZs) surrounding the 28 island countries that comprise the Greater and Lesser Antilles of the Caribbean Sea (Figure 1). All analyses are performed at a 1 km</w:t>
      </w:r>
      <w:r>
        <w:rPr>
          <w:vertAlign w:val="superscript"/>
        </w:rPr>
        <w:t xml:space="preserve">2</w:t>
      </w:r>
      <w:r>
        <w:t xml:space="preserve"> </w:t>
      </w:r>
      <w:r>
        <w:t xml:space="preserve">spatial resolution. We do not consider the potential of offshore aquaculture development in the high seas or disputed waters. A shapefile from VLIZ</w:t>
      </w:r>
      <w:r>
        <w:t xml:space="preserve"> </w:t>
      </w:r>
      <w:r>
        <w:t xml:space="preserve">(2014)</w:t>
      </w:r>
      <w:r>
        <w:t xml:space="preserve"> </w:t>
      </w:r>
      <w:r>
        <w:t xml:space="preserve">is used to define the maritime boundaries for all island countries.</w:t>
      </w:r>
    </w:p>
    <w:p>
      <w:pPr>
        <w:pStyle w:val="Heading2"/>
      </w:pPr>
      <w:bookmarkStart w:id="25" w:name="overview"/>
      <w:bookmarkEnd w:id="25"/>
      <w:r>
        <w:t xml:space="preserve">Overview</w:t>
      </w:r>
    </w:p>
    <w:p>
      <w:pPr>
        <w:pStyle w:val="FirstParagraph"/>
      </w:pPr>
      <w:r>
        <w:t xml:space="preserve">We develop a spatial bioeconomic model to estimate the production potential (in terms of biomass (</w:t>
      </w:r>
      <w:r>
        <w:rPr>
          <w:i/>
        </w:rPr>
        <w:t xml:space="preserve">t</w:t>
      </w:r>
      <w:r>
        <w:t xml:space="preserve">) and Net Present Value (NPV)) for offshore cobia mariculture in the Caribbean region (Figure 1). The first steps of our analysis are to identify 1 km</w:t>
      </w:r>
      <w:r>
        <w:rPr>
          <w:vertAlign w:val="superscript"/>
        </w:rPr>
        <w:t xml:space="preserve">2</w:t>
      </w:r>
      <w:r>
        <w:t xml:space="preserve"> </w:t>
      </w:r>
      <w:r>
        <w:t xml:space="preserve">sites throughout the study region that would be suitable for mariculture development and create a hypothetical farm design to apply to all suitable sites. Next, we apply a temperature performance curve (TPC) to predict temperature-dependent growth of cobia at each farm and we establish supply curves to determine national and Caribbean-wide cobia production that would be achieved under several scenarios of cobia price and production costs. We also consider a scenario where Caribbean production affects the global price of cobia. Finally, we use our production model and estimated economic parameters to calculate NPV over a 10 year time horizon. We assume that only farms that have a positive NPV will be developed.</w:t>
      </w:r>
    </w:p>
    <w:p>
      <w:pPr>
        <w:pStyle w:val="Heading2"/>
      </w:pPr>
      <w:bookmarkStart w:id="26" w:name="suitability-assessment"/>
      <w:bookmarkEnd w:id="26"/>
      <w:r>
        <w:t xml:space="preserve">Suitability Assessment</w:t>
      </w:r>
    </w:p>
    <w:p>
      <w:pPr>
        <w:pStyle w:val="FirstParagraph"/>
      </w:pPr>
      <w:r>
        <w:t xml:space="preserve">The first step in our analysis identifies areas that are potentially suitable for the development of offshore mariculture. To determine what areas are suitable, we consider six factors: depth, current speed, coral reef presence, shipping activity, oil structures, and areas designated for conservation (Table 1).</w:t>
      </w:r>
    </w:p>
    <w:p>
      <w:pPr>
        <w:pStyle w:val="BodyText"/>
      </w:pPr>
      <w:r>
        <w:t xml:space="preserve">Our suitability assessment assumes the use of SeaStation cages, which are submersible, self-tensioned, single rim cages and are the most widely used offshore aquaculture cages in the U.S.</w:t>
      </w:r>
      <w:r>
        <w:t xml:space="preserve"> </w:t>
      </w:r>
      <w:r>
        <w:t xml:space="preserve">(Loverich 2010)</w:t>
      </w:r>
      <w:r>
        <w:t xml:space="preserve">; Open Blue 2016. The minimum site depth for installation of a SeaStation cage, listed by the original manufacturer, is 25 m (OceanSpar 2013). The maximum suitable depth for cage installation for this analysis is set at 100 m because, in waters deeper than 100 m, cage installation and inspection of mooring and anchoring systems are more difficult and costly</w:t>
      </w:r>
      <w:r>
        <w:t xml:space="preserve"> </w:t>
      </w:r>
      <w:r>
        <w:rPr>
          <w:b/>
        </w:rPr>
        <w:t xml:space="preserve">scott_offshore_2000</w:t>
      </w:r>
      <w:r>
        <w:t xml:space="preserve">;</w:t>
      </w:r>
      <w:r>
        <w:t xml:space="preserve"> </w:t>
      </w:r>
      <w:r>
        <w:t xml:space="preserve">(Kapetsky, Aguilar-Manjarrez, and Jenness 2013)</w:t>
      </w:r>
      <w:r>
        <w:t xml:space="preserve">. Using spatial bathymetry data for our study region, areas within a 25 - 100 m depth are scored as suitable for offshore mariculture development. Additionally, SeaStation cages are not recommended in areas with current velocities over 1 m/s (Loverich 2010). To identify areas with unsuitably high current velocities, we use 10 years (2005-2015) of 5 day average zonal and meridional current velocity. The absolute maximum zonal and meridional average daily velocities that occurred over the 10-year time period are extracted for each cell, and any cell with a maximum zonal or meridional velocity greater than 1 m/s are scored as unsuitable. To minimize the ecological impact of offshore mariculture development, we also identify as unsustainable any cells with coral reef habitat.</w:t>
      </w:r>
    </w:p>
    <w:p>
      <w:pPr>
        <w:pStyle w:val="BodyText"/>
      </w:pPr>
      <w:r>
        <w:t xml:space="preserve">To identify areas currently designated or utilized for purposes that would preclude offshore mariculture development, we use spatial data on: shipping activity, existing benthic oil structures, areas permitted for deep sea bed mining, and areas that have been designated as Marine Protected Areas (MPAs) or conservation priority areas (Table 1). Areas that fell in the 10% of the highest relative shipping activity areas designated for conservation or deep sea bed mining purposes, and areas with existing benthic oil structures, are considered unsuitable for offshore mariculture development.</w:t>
      </w:r>
    </w:p>
    <w:p>
      <w:pPr>
        <w:pStyle w:val="BodyText"/>
      </w:pPr>
      <w:r>
        <w:t xml:space="preserve">All spatial data layers listed in Table 1 are converted to raster format with a 1 km</w:t>
      </w:r>
      <w:r>
        <w:rPr>
          <w:vertAlign w:val="superscript"/>
        </w:rPr>
        <w:t xml:space="preserve">2</w:t>
      </w:r>
      <w:r>
        <w:t xml:space="preserve"> </w:t>
      </w:r>
      <w:r>
        <w:t xml:space="preserve">spatial resolution. Data files that had a resolution &gt; 1 km</w:t>
      </w:r>
      <w:r>
        <w:rPr>
          <w:vertAlign w:val="superscript"/>
        </w:rPr>
        <w:t xml:space="preserve">2</w:t>
      </w:r>
      <w:r>
        <w:t xml:space="preserve"> </w:t>
      </w:r>
      <w:r>
        <w:t xml:space="preserve">are interpolated to the 1 km</w:t>
      </w:r>
      <w:r>
        <w:rPr>
          <w:vertAlign w:val="superscript"/>
        </w:rPr>
        <w:t xml:space="preserve">2</w:t>
      </w:r>
      <w:r>
        <w:t xml:space="preserve"> </w:t>
      </w:r>
      <w:r>
        <w:t xml:space="preserve">grid using</w:t>
      </w:r>
      <w:r>
        <w:t xml:space="preserve"> </w:t>
      </w:r>
      <w:r>
        <w:t xml:space="preserve">‘</w:t>
      </w:r>
      <w:r>
        <w:t xml:space="preserve">nearest neighbor technique</w:t>
      </w:r>
      <w:r>
        <w:t xml:space="preserve">’</w:t>
      </w:r>
      <w:r>
        <w:t xml:space="preserve"> </w:t>
      </w:r>
      <w:r>
        <w:t xml:space="preserve">in R’s</w:t>
      </w:r>
      <w:r>
        <w:t xml:space="preserve"> </w:t>
      </w:r>
      <w:hyperlink r:id="rId27">
        <w:r>
          <w:rPr>
            <w:rStyle w:val="Hyperlink"/>
          </w:rPr>
          <w:t xml:space="preserve">raster</w:t>
        </w:r>
      </w:hyperlink>
      <w:r>
        <w:t xml:space="preserve"> </w:t>
      </w:r>
      <w:r>
        <w:t xml:space="preserve">package. All 1 km</w:t>
      </w:r>
      <w:r>
        <w:rPr>
          <w:vertAlign w:val="superscript"/>
        </w:rPr>
        <w:t xml:space="preserve">2</w:t>
      </w:r>
      <w:r>
        <w:t xml:space="preserve"> </w:t>
      </w:r>
      <w:r>
        <w:t xml:space="preserve">cells from each layer that fell outside of the suitable threshold are given a score of zero and cells falling within the threshold are given a score of 1. We then overlay all data layers and multiply the values of all layers in each cell. This result is a final single data layer, where cells suitable for offshore aquaculture development based on all criteria listed in Table 1 have a score of 1, and unsuitable cells a value of 0.</w:t>
      </w:r>
    </w:p>
    <w:p>
      <w:pPr>
        <w:pStyle w:val="Heading2"/>
      </w:pPr>
      <w:bookmarkStart w:id="28" w:name="growth-potential"/>
      <w:bookmarkEnd w:id="28"/>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is a factor that cannot be easily controlled in offshore mariculture grow-out settings</w:t>
      </w:r>
      <w:r>
        <w:t xml:space="preserve"> </w:t>
      </w:r>
      <w:r>
        <w:t xml:space="preserve">(Tidwell 2012)</w:t>
      </w:r>
      <w:r>
        <w:t xml:space="preserve">. To reflect spatial differences in productivity across farms attributed to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 (Klinger, Levin, &amp; Watson 2017).</w:t>
      </w:r>
    </w:p>
    <w:p>
      <w:pPr>
        <w:pStyle w:val="Heading3"/>
      </w:pPr>
      <w:bookmarkStart w:id="29" w:name="thermal-performance-curve"/>
      <w:bookmarkEnd w:id="29"/>
      <w:r>
        <w:t xml:space="preserve">Thermal Performance Curve</w:t>
      </w:r>
    </w:p>
    <w:p>
      <w:pPr>
        <w:pStyle w:val="FirstParagraph"/>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in</w:t>
      </w:r>
      <w:r>
        <w:t xml:space="preserve"> </w:t>
      </w:r>
      <m:oMath>
        <m:sSup>
          <m:e>
            <m:r>
              <m:t/>
            </m:r>
          </m:e>
          <m:sup>
            <m:r>
              <m:t>∘</m:t>
            </m:r>
          </m:sup>
        </m:sSup>
      </m:oMath>
      <w:r>
        <w:t xml:space="preserve">C,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The following values and references for temperature-growth components of cobia were adopted from Klinger, Levin, and Watson (2017),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timeseries. The 10 year (</w:t>
      </w:r>
      <m:oMath>
        <m:r>
          <m:t>y</m:t>
        </m:r>
      </m:oMath>
      <w:r>
        <w:t xml:space="preserve">) average individual growth ($</w:t>
      </w:r>
      <w:r>
        <w:t xml:space="preserve">{G}_{i,t} $)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30" w:name="bioeconomic-model"/>
      <w:bookmarkEnd w:id="30"/>
      <w:r>
        <w:t xml:space="preserve">Bioeconomic Model</w:t>
      </w:r>
    </w:p>
    <w:p>
      <w:pPr>
        <w:pStyle w:val="FirstParagraph"/>
      </w:pPr>
      <w:r>
        <w:t xml:space="preserve">We model future offshore aquaculture potential in the Caribbean by coupling site specific estimates of average monthly cobia growth with a detailed farm design and economic model parameterized with values from the literature and technical reports. For each site, we calculate the projected net present value (NPV) from the discounted stream of costs and revenues. We then limit our discussion of results to only include farms (cells) with a positive NPV under the assumption that only profitable farm locations would be developed.</w:t>
      </w:r>
    </w:p>
    <w:p>
      <w:pPr>
        <w:pStyle w:val="Heading3"/>
      </w:pPr>
      <w:bookmarkStart w:id="31" w:name="farm-design"/>
      <w:bookmarkEnd w:id="31"/>
      <w:r>
        <w:t xml:space="preserve">Farm Design</w:t>
      </w:r>
    </w:p>
    <w:p>
      <w:pPr>
        <w:pStyle w:val="FirstParagraph"/>
      </w:pPr>
      <w:r>
        <w:t xml:space="preserve">To estimate production, we assume a fixed farm design, per 1 km</w:t>
      </w:r>
      <w:r>
        <w:rPr>
          <w:vertAlign w:val="superscript"/>
        </w:rPr>
        <w:t xml:space="preserve">2</w:t>
      </w:r>
      <w:r>
        <w:t xml:space="preserve"> </w:t>
      </w:r>
      <w:r>
        <w:t xml:space="preserve">site, across our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.We develop a hypothetical farm design for a 1 km</w:t>
      </w:r>
      <w:r>
        <w:rPr>
          <w:vertAlign w:val="superscript"/>
        </w:rPr>
        <w:t xml:space="preserve">2</w:t>
      </w:r>
      <w:r>
        <w:t xml:space="preserve"> </w:t>
      </w:r>
      <w:r>
        <w:t xml:space="preserve">cell that has 16 SeaStation cages (each 6,400 m</w:t>
      </w:r>
      <w:r>
        <w:rPr>
          <w:vertAlign w:val="superscript"/>
        </w:rPr>
        <w:t xml:space="preserve">3</w:t>
      </w:r>
      <w:r>
        <w:t xml:space="preserve">) configured in two eight-cell grid mooring systems that occupy a total space of approximately ~ 0.48 km</w:t>
      </w:r>
      <w:r>
        <w:rPr>
          <w:vertAlign w:val="superscript"/>
        </w:rPr>
        <w:t xml:space="preserve">2</w:t>
      </w:r>
      <w:r>
        <w:t xml:space="preserve"> </w:t>
      </w:r>
      <w:r>
        <w:t xml:space="preserve">and provide a total cage capacity of 102,400 m</w:t>
      </w:r>
      <w:r>
        <w:rPr>
          <w:vertAlign w:val="superscript"/>
        </w:rPr>
        <w:t xml:space="preserve">3</w:t>
      </w:r>
      <w:r>
        <w:t xml:space="preserve"> </w:t>
      </w:r>
      <w:r>
        <w:t xml:space="preserve">(Figure 2). The cages are held in position by the mooring system at depths of 15-20 m below the surface</w:t>
      </w:r>
      <w:r>
        <w:t xml:space="preserve">(Loverich 2010)</w:t>
      </w:r>
      <w:r>
        <w:t xml:space="preserve">. This cage configuration is similar to a 0.4 km</w:t>
      </w:r>
      <w:r>
        <w:rPr>
          <w:vertAlign w:val="superscript"/>
        </w:rPr>
        <w:t xml:space="preserve">2</w:t>
      </w:r>
      <w:r>
        <w:t xml:space="preserve"> </w:t>
      </w:r>
      <w:r>
        <w:t xml:space="preserve">offshore mariculture farm located off the coast of Kona, Hawaii that has an eight-cage SeaStation array with a total cage volume of 64,000 m</w:t>
      </w:r>
      <w:r>
        <w:rPr>
          <w:vertAlign w:val="superscript"/>
        </w:rPr>
        <w:t xml:space="preserve">3</w:t>
      </w:r>
      <w:r>
        <w:t xml:space="preserve"> </w:t>
      </w:r>
      <w:r>
        <w:t xml:space="preserve">(Sims, n.d.)</w:t>
      </w:r>
      <w:r>
        <w:t xml:space="preserve">.</w:t>
      </w:r>
    </w:p>
    <w:p>
      <w:pPr>
        <w:pStyle w:val="BodyText"/>
      </w:pPr>
      <w:r>
        <w:t xml:space="preserve">The total cage volume per unit of total farm area for our hypothetical farm design falls within the range of total cage volume per unit farm area for the Kona farm</w:t>
      </w:r>
      <w:r>
        <w:t xml:space="preserve"> </w:t>
      </w:r>
      <w:r>
        <w:t xml:space="preserve">(Sims, n.d.)</w:t>
      </w:r>
      <w:r>
        <w:t xml:space="preserve"> </w:t>
      </w:r>
      <w:r>
        <w:t xml:space="preserve">and another offshore farm using SeaStation cages in the Gulf of Maine</w:t>
      </w:r>
      <w:r>
        <w:t xml:space="preserve"> </w:t>
      </w:r>
      <w:r>
        <w:t xml:space="preserve">(Fredriksson et al. 2004)</w:t>
      </w:r>
      <w:r>
        <w:t xml:space="preserve">;</w:t>
      </w:r>
      <w:r>
        <w:t xml:space="preserve"> </w:t>
      </w:r>
      <w:r>
        <w:t xml:space="preserve">(DeCew et al. 2010)</w:t>
      </w:r>
      <w:r>
        <w:t xml:space="preserve">. Additionally, the total space occupied by the farm’s infrastructure (0.48 km</w:t>
      </w:r>
      <w:r>
        <w:rPr>
          <w:vertAlign w:val="superscript"/>
        </w:rPr>
        <w:t xml:space="preserve">2</w:t>
      </w:r>
      <w:r>
        <w:t xml:space="preserve">) follows the guidelines issued in NOAA’s Fishery Management Plan (FMP) for offshore aquaculture development in the Gulf of Mexico that specifies the total mariculture farm area should be twice the size of the total area occupied by farm infrastructure.</w:t>
      </w:r>
    </w:p>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Heading3"/>
      </w:pPr>
      <w:bookmarkStart w:id="32" w:name="growth-model"/>
      <w:bookmarkEnd w:id="32"/>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w:r>
        <w:t xml:space="preserve">{G}_{i,t} $)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Heading4"/>
      </w:pPr>
      <w:bookmarkStart w:id="33" w:name="stocking-density"/>
      <w:bookmarkEnd w:id="33"/>
      <w:r>
        <w:t xml:space="preserve">Stocking Density</w:t>
      </w:r>
    </w:p>
    <w:p>
      <w:pPr>
        <w:pStyle w:val="FirstParagraph"/>
      </w:pPr>
      <w:r>
        <w:t xml:space="preserve">XX 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For a farm site with a 12 month average harvest cycle (</w:t>
      </w:r>
      <m:oMath>
        <m:sSub>
          <m:e>
            <m:bar>
              <m:barPr>
                <m:pos m:val="top"/>
              </m:barPr>
              <m:e>
                <m:r>
                  <m:t>t</m:t>
                </m:r>
              </m:e>
            </m:bar>
          </m:e>
          <m:sub>
            <m:r>
              <m:t>i</m:t>
            </m:r>
          </m:sub>
        </m:sSub>
        <m:r>
          <m:t>=</m:t>
        </m:r>
        <m:r>
          <m:t>12</m:t>
        </m:r>
      </m:oMath>
      <w:r>
        <w:t xml:space="preserve">),</w:t>
      </w:r>
      <w:r>
        <w:t xml:space="preserve"> </w:t>
      </w:r>
      <m:oMath>
        <m:sSup>
          <m:e>
            <m:r>
              <m:t>n</m:t>
            </m:r>
          </m:e>
          <m:sup>
            <m:r>
              <m:t>*</m:t>
            </m:r>
          </m:sup>
        </m:sSup>
      </m:oMath>
      <w:r>
        <w:t xml:space="preserve"> </w:t>
      </w:r>
      <w:r>
        <w:t xml:space="preserve">is 25,600.</w:t>
      </w:r>
    </w:p>
    <w:p>
      <w:pPr>
        <w:pStyle w:val="Heading4"/>
      </w:pPr>
      <w:bookmarkStart w:id="34" w:name="total-biomass"/>
      <w:bookmarkEnd w:id="34"/>
      <w:r>
        <w:t xml:space="preserve">Total Biomass</w:t>
      </w:r>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instantenous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3"/>
      </w:pPr>
      <w:bookmarkStart w:id="35" w:name="economic-model"/>
      <w:bookmarkEnd w:id="35"/>
      <w:r>
        <w:t xml:space="preserve">Economic Model</w:t>
      </w:r>
    </w:p>
    <w:p>
      <w:pPr>
        <w:pStyle w:val="Heading4"/>
      </w:pPr>
      <w:bookmarkStart w:id="36" w:name="costs"/>
      <w:bookmarkEnd w:id="36"/>
      <w:r>
        <w:t xml:space="preserve">Costs</w:t>
      </w:r>
    </w:p>
    <w:p>
      <w:pPr>
        <w:pStyle w:val="FirstParagraph"/>
      </w:pPr>
      <w:r>
        <w:t xml:space="preserve">The total cost</w:t>
      </w:r>
      <w:r>
        <w:t xml:space="preserve"> </w:t>
      </w:r>
      <m:oMath>
        <m:r>
          <m:t>T</m:t>
        </m:r>
        <m:r>
          <m:t>C</m:t>
        </m:r>
      </m:oMath>
      <w:r>
        <w:t xml:space="preserve"> </w:t>
      </w:r>
      <w:r>
        <w:t xml:space="preserve">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 (Table 5)</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Costs of aquaculture infrastructure and installation increase with depth and distance from shore</w:t>
      </w:r>
      <w:r>
        <w:t xml:space="preserve"> </w:t>
      </w:r>
      <w:r>
        <w:t xml:space="preserve">(</w:t>
      </w:r>
      <w:r>
        <w:rPr>
          <w:b/>
        </w:rPr>
        <w:t xml:space="preserve">???</w:t>
      </w:r>
      <w:r>
        <w:t xml:space="preserve">)</w:t>
      </w:r>
      <w:r>
        <w:t xml:space="preserve">. Start-up costs are therefore modeled to include initial capital expenditures (</w:t>
      </w:r>
      <m:oMath>
        <m:r>
          <m:t>E</m:t>
        </m:r>
      </m:oMath>
      <w:r>
        <w:t xml:space="preserve">) and installation costs (</w:t>
      </w:r>
      <m:oMath>
        <m:r>
          <m:t>I</m:t>
        </m:r>
      </m:oMath>
      <w:r>
        <w:t xml:space="preserve">), both as a function of average site depth in meters</w:t>
      </w:r>
      <w:r>
        <w:t xml:space="preserve"> </w:t>
      </w:r>
      <m:oMath>
        <m:r>
          <m:t>m</m:t>
        </m:r>
      </m:oMath>
      <w:r>
        <w:t xml:space="preserve">, and EEZ-specific permit and/or lease cost</w:t>
      </w:r>
      <w:r>
        <w:t xml:space="preserve">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include the labor costs for installation of the culture system. A 10% increase in cage and installation costs are assinged to sites with depths greater than 50 m</w:t>
      </w:r>
      <w:r>
        <w:t xml:space="preserve"> </w:t>
      </w:r>
      <w:r>
        <w:t xml:space="preserve">(</w:t>
      </w:r>
      <w:r>
        <w:rPr>
          <w:b/>
        </w:rPr>
        <w:t xml:space="preserve">???</w:t>
      </w:r>
      <w:r>
        <w:t xml:space="preserve">)</w:t>
      </w:r>
      <w:r>
        <w:t xml:space="preserve">.</w:t>
      </w:r>
    </w:p>
    <w:p>
      <w:pPr>
        <w:pStyle w:val="BodyText"/>
      </w:pPr>
      <m:oMathPara>
        <m:oMathParaPr>
          <m:jc m:val="center"/>
        </m:oMathParaPr>
        <m:oMath>
          <m:sSub>
            <m:e>
              <m:r>
                <m:t>E</m:t>
              </m:r>
            </m:e>
            <m:sub>
              <m:r>
                <m:t>i</m:t>
              </m:r>
            </m:sub>
          </m:sSub>
          <m:r>
            <m:t>=</m:t>
          </m:r>
          <m:d>
            <m:dPr>
              <m:begChr m:val="{"/>
              <m:endChr m:val=""/>
              <m:grow/>
            </m:dPr>
            <m:e>
              <m:m>
                <m:mPr>
                  <m:baseJc m:val="center"/>
                  <m:plcHide m:val="1"/>
                  <m:mcs>
                    <m:mc>
                      <m:mcPr>
                        <m:mcJc m:val="left"/>
                        <m:count m:val="1"/>
                      </m:mcPr>
                    </m:mc>
                    <m:mc>
                      <m:mcPr>
                        <m:mcJc m:val="left"/>
                        <m:count m:val="1"/>
                      </m:mcPr>
                    </m:mc>
                  </m:mcs>
                </m:mPr>
                <m:mr>
                  <m:e>
                    <m:r>
                      <m:t>4</m:t>
                    </m:r>
                    <m:r>
                      <m:t>,</m:t>
                    </m:r>
                    <m:r>
                      <m:t>315</m:t>
                    </m:r>
                    <m:r>
                      <m:t>,</m:t>
                    </m:r>
                    <m:r>
                      <m:t>216</m:t>
                    </m:r>
                    <m:r>
                      <m:t>+</m:t>
                    </m:r>
                    <m:r>
                      <m:t>(</m:t>
                    </m:r>
                    <m:r>
                      <m:t>4</m:t>
                    </m:r>
                    <m:r>
                      <m:t>,</m:t>
                    </m:r>
                    <m:r>
                      <m:t>315</m:t>
                    </m:r>
                    <m:r>
                      <m:t>,</m:t>
                    </m:r>
                    <m:r>
                      <m:t>216</m:t>
                    </m:r>
                    <m:r>
                      <m:t>*</m:t>
                    </m:r>
                    <m:r>
                      <m:t>0.1</m:t>
                    </m:r>
                    <m:r>
                      <m:t>)</m:t>
                    </m:r>
                    <m:r>
                      <m:t>+</m:t>
                    </m:r>
                    <m:r>
                      <m:t>158</m:t>
                    </m:r>
                    <m:r>
                      <m:t>,</m:t>
                    </m:r>
                    <m:r>
                      <m:t>331</m:t>
                    </m:r>
                  </m:e>
                  <m:e>
                    <m:r>
                      <m:rPr>
                        <m:sty m:val="p"/>
                      </m:rPr>
                      <m:t>if </m:t>
                    </m:r>
                    <m:sSub>
                      <m:e>
                        <m:r>
                          <m:t>m</m:t>
                        </m:r>
                      </m:e>
                      <m:sub>
                        <m:r>
                          <m:t>i</m:t>
                        </m:r>
                      </m:sub>
                    </m:sSub>
                    <m:r>
                      <m:t>&gt;</m:t>
                    </m:r>
                    <m:r>
                      <m:t>50</m:t>
                    </m:r>
                  </m:e>
                </m:mr>
                <m:mr>
                  <m:e>
                    <m:r>
                      <m:t>4</m:t>
                    </m:r>
                    <m:r>
                      <m:t>,</m:t>
                    </m:r>
                    <m:r>
                      <m:t>315</m:t>
                    </m:r>
                    <m:r>
                      <m:t>,</m:t>
                    </m:r>
                    <m:r>
                      <m:t>216</m:t>
                    </m:r>
                    <m:r>
                      <m:t>+</m:t>
                    </m:r>
                    <m:r>
                      <m:t>158</m:t>
                    </m:r>
                    <m:r>
                      <m:t>,</m:t>
                    </m:r>
                    <m:r>
                      <m:t>331</m:t>
                    </m:r>
                  </m:e>
                  <m:e>
                    <m:r>
                      <m:rPr>
                        <m:sty m:val="p"/>
                      </m:rPr>
                      <m:t>if </m:t>
                    </m:r>
                    <m:sSub>
                      <m:e>
                        <m:r>
                          <m:t>m</m:t>
                        </m:r>
                      </m:e>
                      <m:sub>
                        <m:r>
                          <m:t>i</m:t>
                        </m:r>
                      </m:sub>
                    </m:sSub>
                    <m:r>
                      <m:t>≤</m:t>
                    </m:r>
                    <m:r>
                      <m:t>50</m:t>
                    </m:r>
                  </m:e>
                </m:mr>
              </m:m>
            </m:e>
          </m:d>
        </m:oMath>
      </m:oMathPara>
    </w:p>
    <w:p>
      <w:pPr>
        <w:pStyle w:val="FirstParagraph"/>
      </w:pPr>
      <m:oMathPara>
        <m:oMathParaPr>
          <m:jc m:val="center"/>
        </m:oMathParaPr>
        <m:oMath>
          <m:sSub>
            <m:e>
              <m:r>
                <m:t>I</m:t>
              </m:r>
            </m:e>
            <m:sub>
              <m:r>
                <m:t>i</m:t>
              </m:r>
            </m:sub>
          </m:sSub>
          <m:r>
            <m:t>=</m:t>
          </m:r>
          <m:d>
            <m:dPr>
              <m:begChr m:val="{"/>
              <m:endChr m:val=""/>
              <m:grow/>
            </m:dPr>
            <m:e>
              <m:m>
                <m:mPr>
                  <m:baseJc m:val="center"/>
                  <m:plcHide m:val="1"/>
                  <m:mcs>
                    <m:mc>
                      <m:mcPr>
                        <m:mcJc m:val="left"/>
                        <m:count m:val="1"/>
                      </m:mcPr>
                    </m:mc>
                    <m:mc>
                      <m:mcPr>
                        <m:mcJc m:val="left"/>
                        <m:count m:val="1"/>
                      </m:mcPr>
                    </m:mc>
                  </m:mcs>
                </m:mPr>
                <m:mr>
                  <m:e>
                    <m:r>
                      <m:t>52</m:t>
                    </m:r>
                    <m:r>
                      <m:t>,</m:t>
                    </m:r>
                    <m:r>
                      <m:t>563</m:t>
                    </m:r>
                    <m:r>
                      <m:t>+</m:t>
                    </m:r>
                    <m:r>
                      <m:t>(</m:t>
                    </m:r>
                    <m:r>
                      <m:t>52</m:t>
                    </m:r>
                    <m:r>
                      <m:t>,</m:t>
                    </m:r>
                    <m:r>
                      <m:t>563</m:t>
                    </m:r>
                    <m:r>
                      <m:t>*</m:t>
                    </m:r>
                    <m:r>
                      <m:t>0.1</m:t>
                    </m:r>
                    <m:r>
                      <m:t>)</m:t>
                    </m:r>
                  </m:e>
                  <m:e>
                    <m:r>
                      <m:rPr>
                        <m:sty m:val="p"/>
                      </m:rPr>
                      <m:t>if </m:t>
                    </m:r>
                    <m:sSub>
                      <m:e>
                        <m:r>
                          <m:t>m</m:t>
                        </m:r>
                      </m:e>
                      <m:sub>
                        <m:r>
                          <m:t>i</m:t>
                        </m:r>
                      </m:sub>
                    </m:sSub>
                    <m:r>
                      <m:t>&gt;</m:t>
                    </m:r>
                    <m:r>
                      <m:t>50</m:t>
                    </m:r>
                  </m:e>
                </m:mr>
                <m:mr>
                  <m:e>
                    <m:r>
                      <m:t>52</m:t>
                    </m:r>
                    <m:r>
                      <m:t>,</m:t>
                    </m:r>
                    <m:r>
                      <m:t>563</m:t>
                    </m:r>
                  </m:e>
                  <m:e>
                    <m:r>
                      <m:rPr>
                        <m:sty m:val="p"/>
                      </m:rPr>
                      <m:t>if </m:t>
                    </m:r>
                    <m:sSub>
                      <m:e>
                        <m:r>
                          <m:t>m</m:t>
                        </m:r>
                      </m:e>
                      <m:sub>
                        <m:r>
                          <m:t>i</m:t>
                        </m:r>
                      </m:sub>
                    </m:sSub>
                    <m:r>
                      <m:t>≤</m:t>
                    </m:r>
                    <m:r>
                      <m:t>50</m:t>
                    </m:r>
                  </m:e>
                </m:mr>
              </m:m>
            </m:e>
          </m:d>
        </m:oMath>
      </m:oMathPara>
    </w:p>
    <w:p>
      <w:pPr>
        <w:pStyle w:val="FirstParagraph"/>
      </w:pPr>
      <w:r>
        <w:t xml:space="preserve">Operating costs are organized in two main categories; farm labor and maintenance costs as a function of site depth and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r>
        <w:t xml:space="preserve">.</w:t>
      </w:r>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timesteps, we calculate total feed based on the average total biomass during month</w:t>
      </w:r>
      <w:r>
        <w:t xml:space="preserve"> </w:t>
      </w:r>
      <m:oMath>
        <m:r>
          <m:t>t</m:t>
        </m:r>
      </m:oMath>
      <w:r>
        <w:t xml:space="preserve"> </w:t>
      </w:r>
      <m:oMath>
        <m:f>
          <m:fPr>
            <m:type m:val="bar"/>
          </m:fPr>
          <m:num>
            <m:sSub>
              <m:e>
                <m:r>
                  <m:t>B</m:t>
                </m:r>
              </m:e>
              <m:sub>
                <m:r>
                  <m:t>i</m:t>
                </m:r>
                <m:r>
                  <m:t>,</m:t>
                </m:r>
                <m:r>
                  <m:t>t</m:t>
                </m:r>
              </m:sub>
            </m:sSub>
            <m:r>
              <m:t>+</m:t>
            </m:r>
            <m:sSub>
              <m:e>
                <m:r>
                  <m:t>B</m:t>
                </m:r>
              </m:e>
              <m:sub>
                <m:r>
                  <m:t>i</m:t>
                </m:r>
                <m:r>
                  <m:t>,</m:t>
                </m:r>
                <m:r>
                  <m:t>t</m:t>
                </m:r>
                <m:r>
                  <m:t>−</m:t>
                </m:r>
                <m:r>
                  <m:t>1</m:t>
                </m:r>
              </m:sub>
            </m:sSub>
          </m:num>
          <m:den>
            <m:r>
              <m:t>2</m:t>
            </m:r>
          </m:den>
        </m:f>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Heading4"/>
      </w:pPr>
      <w:bookmarkStart w:id="37" w:name="revenue"/>
      <w:bookmarkEnd w:id="37"/>
      <w:r>
        <w:t xml:space="preserve">Revenue</w:t>
      </w:r>
    </w:p>
    <w:p>
      <w:pPr>
        <w:pStyle w:val="FirstParagraph"/>
      </w:pPr>
      <w:r>
        <w:t xml:space="preserve">Farms earn revenue by harvesting market weight (5 kg) cobia. Thus, farms only earn revenue in months where individual fish weight (</w:t>
      </w:r>
      <m:oMath>
        <m:r>
          <m:t>w</m:t>
        </m:r>
      </m:oMath>
      <w:r>
        <w:t xml:space="preserve">) reaches 5 kg. In these harvest months, farm revenue is simply a function of harvest weight (kg) and cobia price (</w:t>
      </w:r>
      <m:oMath>
        <m:r>
          <m:t>p</m:t>
        </m:r>
      </m:oMath>
      <w:r>
        <w:t xml:space="preserve">),</w:t>
      </w:r>
      <w:r>
        <w:t xml:space="preserve"> </w:t>
      </w:r>
      <m:oMath>
        <m:sSub>
          <m:e>
            <m:r>
              <m:t>R</m:t>
            </m:r>
          </m:e>
          <m:sub>
            <m:r>
              <m:t>i</m:t>
            </m:r>
            <m:r>
              <m:t>,</m:t>
            </m:r>
            <m:r>
              <m:t>t</m:t>
            </m:r>
          </m:sub>
        </m:sSub>
        <m:r>
          <m:t>=</m:t>
        </m:r>
        <m:sSub>
          <m:e>
            <m:r>
              <m:t>B</m:t>
            </m:r>
          </m:e>
          <m:sub>
            <m:r>
              <m:t>i</m:t>
            </m:r>
            <m:r>
              <m:t>,</m:t>
            </m:r>
            <m:r>
              <m:t>t</m:t>
            </m:r>
          </m:sub>
        </m:sSub>
        <m:sSub>
          <m:e>
            <m:r>
              <m:t>p</m:t>
            </m:r>
          </m:e>
          <m:sub>
            <m:r>
              <m:t>t</m:t>
            </m:r>
          </m:sub>
        </m:sSub>
      </m:oMath>
      <w:r>
        <w:t xml:space="preserve">, otherwise</w:t>
      </w:r>
      <w:r>
        <w:t xml:space="preserve"> </w:t>
      </w:r>
      <m:oMath>
        <m:sSub>
          <m:e>
            <m:r>
              <m:t>R</m:t>
            </m:r>
          </m:e>
          <m:sub>
            <m:r>
              <m:t>i</m:t>
            </m:r>
            <m:r>
              <m:t>,</m:t>
            </m:r>
            <m:r>
              <m:t>t</m:t>
            </m:r>
          </m:sub>
        </m:sSub>
        <m:r>
          <m:t>=</m:t>
        </m:r>
        <m:r>
          <m:t>0</m:t>
        </m:r>
      </m:oMath>
      <w:r>
        <w:t xml:space="preserve">:</w:t>
      </w:r>
    </w:p>
    <w:p>
      <w:pPr>
        <w:pStyle w:val="BodyText"/>
      </w:pPr>
      <m:oMathPara>
        <m:oMathParaPr>
          <m:jc m:val="center"/>
        </m:oMathParaPr>
        <m:oMath>
          <m:sSub>
            <m:e>
              <m:r>
                <m:t>R</m:t>
              </m:r>
            </m:e>
            <m:sub>
              <m:r>
                <m:t>i</m:t>
              </m:r>
              <m:r>
                <m:t>,</m:t>
              </m:r>
              <m:r>
                <m:t>t</m:t>
              </m:r>
            </m:sub>
          </m:sSub>
          <m:r>
            <m:t>=</m:t>
          </m:r>
          <m:d>
            <m:dPr>
              <m:begChr m:val="{"/>
              <m:endChr m:val=""/>
              <m:grow/>
            </m:dPr>
            <m:e>
              <m:m>
                <m:mPr>
                  <m:baseJc m:val="center"/>
                  <m:plcHide m:val="1"/>
                  <m:mcs>
                    <m:mc>
                      <m:mcPr>
                        <m:mcJc m:val="left"/>
                        <m:count m:val="1"/>
                      </m:mcPr>
                    </m:mc>
                    <m:mc>
                      <m:mcPr>
                        <m:mcJc m:val="left"/>
                        <m:count m:val="1"/>
                      </m:mcPr>
                    </m:mc>
                  </m:mcs>
                </m:mPr>
                <m:mr>
                  <m:e>
                    <m:sSub>
                      <m:e>
                        <m:r>
                          <m:t>B</m:t>
                        </m:r>
                      </m:e>
                      <m:sub>
                        <m:r>
                          <m:t>i</m:t>
                        </m:r>
                        <m:r>
                          <m:t>,</m:t>
                        </m:r>
                        <m:r>
                          <m:t>t</m:t>
                        </m:r>
                      </m:sub>
                    </m:sSub>
                    <m:sSub>
                      <m:e>
                        <m:r>
                          <m:t>p</m:t>
                        </m:r>
                      </m:e>
                      <m:sub>
                        <m:r>
                          <m:t>t</m:t>
                        </m:r>
                      </m:sub>
                    </m:sSub>
                  </m:e>
                  <m:e>
                    <m:r>
                      <m:rPr>
                        <m:sty m:val="p"/>
                      </m:rPr>
                      <m:t>if </m:t>
                    </m:r>
                    <m:sSub>
                      <m:e>
                        <m:r>
                          <m:t>w</m:t>
                        </m:r>
                      </m:e>
                      <m:sub>
                        <m:r>
                          <m:t>i</m:t>
                        </m:r>
                        <m:r>
                          <m:t>,</m:t>
                        </m:r>
                        <m:r>
                          <m:t>t</m:t>
                        </m:r>
                      </m:sub>
                    </m:sSub>
                    <m:r>
                      <m:t>≥</m:t>
                    </m:r>
                    <m:r>
                      <m:t>5</m:t>
                    </m:r>
                    <m:r>
                      <m:t>k</m:t>
                    </m:r>
                    <m:r>
                      <m:t>g</m:t>
                    </m:r>
                  </m:e>
                </m:mr>
                <m:mr>
                  <m:e>
                    <m:r>
                      <m:t>0</m:t>
                    </m:r>
                  </m:e>
                  <m:e>
                    <m:r>
                      <m:rPr>
                        <m:sty m:val="p"/>
                      </m:rPr>
                      <m:t>if </m:t>
                    </m:r>
                    <m:sSub>
                      <m:e>
                        <m:r>
                          <m:t>w</m:t>
                        </m:r>
                      </m:e>
                      <m:sub>
                        <m:r>
                          <m:t>i</m:t>
                        </m:r>
                        <m:r>
                          <m:t>,</m:t>
                        </m:r>
                        <m:r>
                          <m:t>t</m:t>
                        </m:r>
                      </m:sub>
                    </m:sSub>
                    <m:r>
                      <m:t>&lt;</m:t>
                    </m:r>
                    <m:r>
                      <m:t>5</m:t>
                    </m:r>
                  </m:e>
                </m:mr>
              </m:m>
            </m:e>
          </m:d>
        </m:oMath>
      </m:oMathPara>
    </w:p>
    <w:p>
      <w:pPr>
        <w:pStyle w:val="FirstParagraph"/>
      </w:pPr>
      <w:r>
        <w:t xml:space="preserve">Where</w:t>
      </w:r>
      <w:r>
        <w:t xml:space="preserve"> </w:t>
      </w:r>
      <m:oMath>
        <m:r>
          <m:t>B</m:t>
        </m:r>
      </m:oMath>
      <w:r>
        <w:t xml:space="preserve"> </w:t>
      </w:r>
      <w:r>
        <w:t xml:space="preserve">is the total biomass of cobia at farm</w:t>
      </w:r>
      <w:r>
        <w:t xml:space="preserve"> </w:t>
      </w:r>
      <m:oMath>
        <m:r>
          <m:t>i</m:t>
        </m:r>
      </m:oMath>
      <w:r>
        <w:t xml:space="preserve"> </w:t>
      </w:r>
      <w:r>
        <w:t xml:space="preserve">in month</w:t>
      </w:r>
      <w:r>
        <w:t xml:space="preserve"> </w:t>
      </w:r>
      <m:oMath>
        <m:r>
          <m:t>t</m:t>
        </m:r>
      </m:oMath>
      <w:r>
        <w:t xml:space="preserve"> </w:t>
      </w:r>
      <w:r>
        <w:t xml:space="preserve">and</w:t>
      </w:r>
      <w:r>
        <w:t xml:space="preserve"> </w:t>
      </w:r>
      <m:oMath>
        <m:sSub>
          <m:e>
            <m:r>
              <m:t>p</m:t>
            </m:r>
          </m:e>
          <m:sub>
            <m:r>
              <m:t>t</m:t>
            </m:r>
          </m:sub>
        </m:sSub>
      </m:oMath>
      <w:r>
        <w:t xml:space="preserve"> </w:t>
      </w:r>
      <w:r>
        <w:t xml:space="preserve">is the global price of cobia in month</w:t>
      </w:r>
      <w:r>
        <w:t xml:space="preserve"> </w:t>
      </w:r>
      <m:oMath>
        <m:r>
          <m:t>t</m:t>
        </m:r>
      </m:oMath>
      <w:r>
        <w:t xml:space="preserve">. Cobia farms in the Caribbean are initially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w:t>
      </w:r>
    </w:p>
    <w:p>
      <w:pPr>
        <w:pStyle w:val="BodyText"/>
      </w:pPr>
      <w:r>
        <w:t xml:space="preserve">Total farm profit (</w:t>
      </w:r>
      <m:oMath>
        <m:r>
          <m:t>π</m:t>
        </m:r>
      </m:oMath>
      <w:r>
        <w:t xml:space="preserve">) for farm</w:t>
      </w:r>
      <w:r>
        <w:t xml:space="preserve"> </w:t>
      </w:r>
      <m:oMath>
        <m:r>
          <m:t>i</m:t>
        </m:r>
      </m:oMath>
      <w:r>
        <w:t xml:space="preserve"> </w:t>
      </w:r>
      <w:r>
        <w:t xml:space="preserve">is then simply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We then calculate the 10-year net present value (NPV) of farm</w:t>
      </w:r>
      <w:r>
        <w:t xml:space="preserve"> </w:t>
      </w:r>
      <m:oMath>
        <m:r>
          <m:t>i</m:t>
        </m:r>
      </m:oMath>
      <w:r>
        <w:t xml:space="preserve"> </w:t>
      </w:r>
      <w:r>
        <w:t xml:space="preserve">using EEZ-specific discount rates (</w:t>
      </w:r>
      <m:oMath>
        <m:sSub>
          <m:e>
            <m:r>
              <m:t>δ</m:t>
            </m:r>
          </m:e>
          <m:sub>
            <m:r>
              <m:t>z</m:t>
            </m:r>
          </m:sub>
        </m:sSub>
      </m:oMath>
      <w:r>
        <w:t xml:space="preserve">) (Table 5):</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T</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Heading3"/>
      </w:pPr>
      <w:bookmarkStart w:id="38" w:name="supply"/>
      <w:bookmarkEnd w:id="38"/>
      <w:r>
        <w:t xml:space="preserve">Supply</w:t>
      </w:r>
    </w:p>
    <w:p>
      <w:pPr>
        <w:pStyle w:val="FirstParagraph"/>
      </w:pPr>
      <w:r>
        <w:t xml:space="preserve">Using the cost function described in equation X, we construct national and Caribbean-wide supply curves for cobia by aggregating farm-level supply curves. For a given price, only farms with a positive 10-year NPV are considered feasible for development. We then calculate, for each EEZ (</w:t>
      </w:r>
      <m:oMath>
        <m:r>
          <m:t>z</m:t>
        </m:r>
      </m:oMath>
      <w:r>
        <w:t xml:space="preserve">) the harvested biomass (in metric tons),</w:t>
      </w:r>
      <w:r>
        <w:t xml:space="preserve"> </w:t>
      </w:r>
      <m:oMath>
        <m:sSub>
          <m:e>
            <m:r>
              <m:t>H</m:t>
            </m:r>
          </m:e>
          <m:sub>
            <m:r>
              <m:t>z</m:t>
            </m:r>
          </m:sub>
        </m:sSub>
      </m:oMath>
      <w:r>
        <w:t xml:space="preserve">, and NPV (</w:t>
      </w:r>
      <m:oMath>
        <m:r>
          <m:t>N</m:t>
        </m:r>
        <m:r>
          <m:t>P</m:t>
        </m:r>
        <m:sSub>
          <m:e>
            <m:r>
              <m:t>V</m:t>
            </m:r>
          </m:e>
          <m:sub>
            <m:r>
              <m:t>z</m:t>
            </m:r>
          </m:sub>
        </m:sSub>
      </m:oMath>
      <w:r>
        <w:t xml:space="preserve">) over a 10-year period produced by all profitable farms in an EEZ across a range of prices (X-XXX).</w:t>
      </w:r>
    </w:p>
    <w:p>
      <w:pPr>
        <w:pStyle w:val="BodyText"/>
      </w:pPr>
      <m:oMathPara>
        <m:oMathParaPr>
          <m:jc m:val="center"/>
        </m:oMathParaPr>
        <m:oMath>
          <m:sSub>
            <m:e>
              <m:r>
                <m:t>H</m:t>
              </m:r>
            </m:e>
            <m:sub>
              <m:r>
                <m:t>z</m:t>
              </m:r>
            </m:sub>
          </m:sSub>
          <m:r>
            <m:t>=</m:t>
          </m:r>
          <m:nary>
            <m:naryPr>
              <m:chr m:val="∑"/>
              <m:limLoc m:val="undOvr"/>
              <m:subHide m:val="0"/>
              <m:supHide m:val="0"/>
            </m:naryPr>
            <m:sub>
              <m:r>
                <m:t>i</m:t>
              </m:r>
            </m:sub>
            <m:sup>
              <m:r>
                <m:t>I</m:t>
              </m:r>
            </m:sup>
            <m:e>
              <m:sSub>
                <m:e>
                  <m:r>
                    <m:t>H</m:t>
                  </m:r>
                </m:e>
                <m:sub>
                  <m:r>
                    <m:t>i</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i</m:t>
              </m:r>
            </m:sub>
            <m:sup>
              <m:r>
                <m:t>I</m:t>
              </m:r>
            </m:sup>
            <m:e>
              <m:r>
                <m:t>N</m:t>
              </m:r>
            </m:e>
          </m:nary>
          <m:r>
            <m:t>P</m:t>
          </m:r>
          <m:sSub>
            <m:e>
              <m:r>
                <m:t>V</m:t>
              </m:r>
            </m:e>
            <m:sub>
              <m:r>
                <m:t>i</m:t>
              </m:r>
            </m:sub>
          </m:sSub>
        </m:oMath>
      </m:oMathPara>
    </w:p>
    <w:p>
      <w:pPr>
        <w:pStyle w:val="FirstParagraph"/>
      </w:pPr>
      <w:r>
        <w:t xml:space="preserve">National supply curves are aggregated into a single Caribbean-wide supply curve to estimate total potential cobia production (</w:t>
      </w:r>
      <m:oMath>
        <m:sSub>
          <m:e>
            <m:r>
              <m:t>H</m:t>
            </m:r>
          </m:e>
          <m:sub>
            <m:r>
              <m:t>Z</m:t>
            </m:r>
          </m:sub>
        </m:sSub>
      </m:oMath>
      <w:r>
        <w:t xml:space="preserve">) and NPV (</w:t>
      </w:r>
      <m:oMath>
        <m:r>
          <m:t>N</m:t>
        </m:r>
        <m:r>
          <m:t>P</m:t>
        </m:r>
        <m:sSub>
          <m:e>
            <m:r>
              <m:t>V</m:t>
            </m:r>
          </m:e>
          <m:sub>
            <m:r>
              <m:t>Z</m:t>
            </m:r>
          </m:sub>
        </m:sSub>
      </m:oMath>
      <w:r>
        <w:t xml:space="preserve">) for the Caribbean over a 10-year period.</w:t>
      </w:r>
    </w:p>
    <w:p>
      <w:pPr>
        <w:pStyle w:val="BodyText"/>
      </w:pPr>
      <m:oMathPara>
        <m:oMathParaPr>
          <m:jc m:val="center"/>
        </m:oMathParaPr>
        <m:oMath>
          <m:sSub>
            <m:e>
              <m:r>
                <m:t>H</m:t>
              </m:r>
            </m:e>
            <m:sub>
              <m:r>
                <m:t>Z</m:t>
              </m:r>
            </m:sub>
          </m:sSub>
          <m:r>
            <m:t>=</m:t>
          </m:r>
          <m:nary>
            <m:naryPr>
              <m:chr m:val="∑"/>
              <m:limLoc m:val="undOvr"/>
              <m:subHide m:val="0"/>
              <m:supHide m:val="0"/>
            </m:naryPr>
            <m:sub>
              <m:r>
                <m:t>z</m:t>
              </m:r>
            </m:sub>
            <m:sup>
              <m:r>
                <m:t>Z</m:t>
              </m:r>
            </m:sup>
            <m:e>
              <m:sSub>
                <m:e>
                  <m:r>
                    <m:t>H</m:t>
                  </m:r>
                </m:e>
                <m:sub>
                  <m:r>
                    <m:t>z</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z</m:t>
              </m:r>
            </m:sub>
            <m:sup>
              <m:r>
                <m:t>Z</m:t>
              </m:r>
            </m:sup>
            <m:e>
              <m:r>
                <m:t>N</m:t>
              </m:r>
            </m:e>
          </m:nary>
          <m:r>
            <m:t>P</m:t>
          </m:r>
          <m:sSub>
            <m:e>
              <m:r>
                <m:t>V</m:t>
              </m:r>
            </m:e>
            <m:sub>
              <m:r>
                <m:t>z</m:t>
              </m:r>
            </m:sub>
          </m:sSub>
        </m:oMath>
      </m:oMathPara>
    </w:p>
    <w:p>
      <w:pPr>
        <w:pStyle w:val="Heading1"/>
      </w:pPr>
      <w:bookmarkStart w:id="39" w:name="results"/>
      <w:bookmarkEnd w:id="39"/>
      <w:r>
        <w:t xml:space="preserve">Results</w:t>
      </w:r>
    </w:p>
    <w:p>
      <w:pPr>
        <w:pStyle w:val="Heading2"/>
      </w:pPr>
      <w:bookmarkStart w:id="40" w:name="suitability-assessment-1"/>
      <w:bookmarkEnd w:id="40"/>
      <w:r>
        <w:t xml:space="preserve">Suitability Assessment</w:t>
      </w:r>
    </w:p>
    <w:p>
      <w:pPr>
        <w:pStyle w:val="FirstParagraph"/>
      </w:pPr>
      <w:r>
        <w:t xml:space="preserve">Based on the 7 factors and constraints we defined for identifying area feasible for offshore mariculture development, we find 3e+06 km</w:t>
      </w:r>
      <w:r>
        <w:rPr>
          <w:vertAlign w:val="superscript"/>
        </w:rPr>
        <w:t xml:space="preserve">2</w:t>
      </w:r>
      <w:r>
        <w:t xml:space="preserve">, of area, or 5,888 % our study area, suitable for the development of offshore mariculture. Depth was the most constraining factor, 6.375257</w:t>
      </w:r>
      <w:r>
        <w:t xml:space="preserve">10^{4}% of our study area fell within a depth range suitable for maricutlure development. -2.6415279</w:t>
      </w:r>
      <w:r>
        <w:t xml:space="preserve">10^{6}% of our study area was found unsuitable for mariculture development based on relative shipping activity, which was our second largest constraining factor.</w:t>
      </w:r>
    </w:p>
    <w:p>
      <w:pPr>
        <w:pStyle w:val="BodyText"/>
      </w:pPr>
      <w:r>
        <w:t xml:space="preserve">Suitable area found in the EEZs for all countries except Martinque, St. Martin, and Guadeloupe because of there EEZ wide protected status. The Bahamas EEZ contains the largest area of ocean suitable for mariculture development (20.75% of all suitable area), which can largely be attributed to the large size of its EEZ.</w:t>
      </w:r>
    </w:p>
    <w:p>
      <w:pPr>
        <w:pStyle w:val="TableCaption"/>
      </w:pPr>
      <w:r>
        <w:t xml:space="preserve">Table XX: Estimated suitable area (km</w:t>
      </w:r>
      <w:r>
        <w:rPr>
          <w:vertAlign w:val="superscript"/>
        </w:rPr>
        <w:t xml:space="preserve">2</w:t>
      </w:r>
      <w:r>
        <w:t xml:space="preserve"> </w:t>
      </w:r>
      <w:r>
        <w:t xml:space="preserve">by EEZ)</w:t>
      </w:r>
    </w:p>
    <w:tbl>
      <w:tblPr>
        <w:tblStyle w:val="TableNormal"/>
        <w:tblW w:type="pct" w:w="5000.0"/>
        <w:tblLook w:firstRow="1"/>
        <w:tblCaption w:val="Table XX: Estimated suitable area (km2 by EEZ)"/>
      </w:tblPr>
      <w:tblGrid>
        <w:gridCol w:w="2728"/>
        <w:gridCol w:w="2112"/>
        <w:gridCol w:w="2023"/>
        <w:gridCol w:w="10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Total 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r>
      <w:tr>
        <w:tc>
          <w:p>
            <w:pPr>
              <w:pStyle w:val="Compact"/>
              <w:jc w:val="center"/>
            </w:pPr>
            <w:r>
              <w:t xml:space="preserve">Trinidad and Tobago</w:t>
            </w:r>
          </w:p>
        </w:tc>
        <w:tc>
          <w:p>
            <w:pPr>
              <w:pStyle w:val="Compact"/>
              <w:jc w:val="center"/>
            </w:pPr>
            <w:r>
              <w:t xml:space="preserve">10,189</w:t>
            </w:r>
          </w:p>
        </w:tc>
        <w:tc>
          <w:p>
            <w:pPr>
              <w:pStyle w:val="Compact"/>
              <w:jc w:val="center"/>
            </w:pPr>
            <w:r>
              <w:t xml:space="preserve">8.e+04</w:t>
            </w:r>
          </w:p>
        </w:tc>
        <w:tc>
          <w:p>
            <w:pPr>
              <w:pStyle w:val="Compact"/>
              <w:jc w:val="center"/>
            </w:pPr>
            <w:r>
              <w:t xml:space="preserve">13.36</w:t>
            </w:r>
          </w:p>
        </w:tc>
      </w:tr>
      <w:tr>
        <w:tc>
          <w:p>
            <w:pPr>
              <w:pStyle w:val="Compact"/>
              <w:jc w:val="center"/>
            </w:pPr>
            <w:r>
              <w:t xml:space="preserve">Saba</w:t>
            </w:r>
          </w:p>
        </w:tc>
        <w:tc>
          <w:p>
            <w:pPr>
              <w:pStyle w:val="Compact"/>
              <w:jc w:val="center"/>
            </w:pPr>
            <w:r>
              <w:t xml:space="preserve">1,050</w:t>
            </w:r>
          </w:p>
        </w:tc>
        <w:tc>
          <w:p>
            <w:pPr>
              <w:pStyle w:val="Compact"/>
              <w:jc w:val="center"/>
            </w:pPr>
            <w:r>
              <w:t xml:space="preserve">9.e+03</w:t>
            </w:r>
          </w:p>
        </w:tc>
        <w:tc>
          <w:p>
            <w:pPr>
              <w:pStyle w:val="Compact"/>
              <w:jc w:val="center"/>
            </w:pPr>
            <w:r>
              <w:t xml:space="preserve">11.08</w:t>
            </w:r>
          </w:p>
        </w:tc>
      </w:tr>
      <w:tr>
        <w:tc>
          <w:p>
            <w:pPr>
              <w:pStyle w:val="Compact"/>
              <w:jc w:val="center"/>
            </w:pPr>
            <w:r>
              <w:t xml:space="preserve">Grenada</w:t>
            </w:r>
          </w:p>
        </w:tc>
        <w:tc>
          <w:p>
            <w:pPr>
              <w:pStyle w:val="Compact"/>
              <w:jc w:val="center"/>
            </w:pPr>
            <w:r>
              <w:t xml:space="preserve">1,142</w:t>
            </w:r>
          </w:p>
        </w:tc>
        <w:tc>
          <w:p>
            <w:pPr>
              <w:pStyle w:val="Compact"/>
              <w:jc w:val="center"/>
            </w:pPr>
            <w:r>
              <w:t xml:space="preserve">3.e+04</w:t>
            </w:r>
          </w:p>
        </w:tc>
        <w:tc>
          <w:p>
            <w:pPr>
              <w:pStyle w:val="Compact"/>
              <w:jc w:val="center"/>
            </w:pPr>
            <w:r>
              <w:t xml:space="preserve">4.48</w:t>
            </w:r>
          </w:p>
        </w:tc>
      </w:tr>
      <w:tr>
        <w:tc>
          <w:p>
            <w:pPr>
              <w:pStyle w:val="Compact"/>
              <w:jc w:val="center"/>
            </w:pPr>
            <w:r>
              <w:t xml:space="preserve">Sint-Maarten</w:t>
            </w:r>
          </w:p>
        </w:tc>
        <w:tc>
          <w:p>
            <w:pPr>
              <w:pStyle w:val="Compact"/>
              <w:jc w:val="center"/>
            </w:pPr>
            <w:r>
              <w:t xml:space="preserve">20</w:t>
            </w:r>
          </w:p>
        </w:tc>
        <w:tc>
          <w:p>
            <w:pPr>
              <w:pStyle w:val="Compact"/>
              <w:jc w:val="center"/>
            </w:pPr>
            <w:r>
              <w:t xml:space="preserve">5.e+02</w:t>
            </w:r>
          </w:p>
        </w:tc>
        <w:tc>
          <w:p>
            <w:pPr>
              <w:pStyle w:val="Compact"/>
              <w:jc w:val="center"/>
            </w:pPr>
            <w:r>
              <w:t xml:space="preserve">4.32</w:t>
            </w:r>
          </w:p>
        </w:tc>
      </w:tr>
      <w:tr>
        <w:tc>
          <w:p>
            <w:pPr>
              <w:pStyle w:val="Compact"/>
              <w:jc w:val="center"/>
            </w:pPr>
            <w:r>
              <w:t xml:space="preserve">Saint Vincent and the</w:t>
            </w:r>
            <w:r>
              <w:t xml:space="preserve"> </w:t>
            </w:r>
            <w:r>
              <w:t xml:space="preserve">Grenadines</w:t>
            </w:r>
          </w:p>
        </w:tc>
        <w:tc>
          <w:p>
            <w:pPr>
              <w:pStyle w:val="Compact"/>
              <w:jc w:val="center"/>
            </w:pPr>
            <w:r>
              <w:t xml:space="preserve">1,415</w:t>
            </w:r>
          </w:p>
        </w:tc>
        <w:tc>
          <w:p>
            <w:pPr>
              <w:pStyle w:val="Compact"/>
              <w:jc w:val="center"/>
            </w:pPr>
            <w:r>
              <w:t xml:space="preserve">4.e+04</w:t>
            </w:r>
          </w:p>
        </w:tc>
        <w:tc>
          <w:p>
            <w:pPr>
              <w:pStyle w:val="Compact"/>
              <w:jc w:val="center"/>
            </w:pPr>
            <w:r>
              <w:t xml:space="preserve">3.92</w:t>
            </w:r>
          </w:p>
        </w:tc>
      </w:tr>
      <w:tr>
        <w:tc>
          <w:p>
            <w:pPr>
              <w:pStyle w:val="Compact"/>
              <w:jc w:val="center"/>
            </w:pPr>
            <w:r>
              <w:t xml:space="preserve">Aruba</w:t>
            </w:r>
          </w:p>
        </w:tc>
        <w:tc>
          <w:p>
            <w:pPr>
              <w:pStyle w:val="Compact"/>
              <w:jc w:val="center"/>
            </w:pPr>
            <w:r>
              <w:t xml:space="preserve">946</w:t>
            </w:r>
          </w:p>
        </w:tc>
        <w:tc>
          <w:p>
            <w:pPr>
              <w:pStyle w:val="Compact"/>
              <w:jc w:val="center"/>
            </w:pPr>
            <w:r>
              <w:t xml:space="preserve">3.e+04</w:t>
            </w:r>
          </w:p>
        </w:tc>
        <w:tc>
          <w:p>
            <w:pPr>
              <w:pStyle w:val="Compact"/>
              <w:jc w:val="center"/>
            </w:pPr>
            <w:r>
              <w:t xml:space="preserve">3.16</w:t>
            </w:r>
          </w:p>
        </w:tc>
      </w:tr>
      <w:tr>
        <w:tc>
          <w:p>
            <w:pPr>
              <w:pStyle w:val="Compact"/>
              <w:jc w:val="center"/>
            </w:pPr>
            <w:r>
              <w:t xml:space="preserve">Sint-Eustatius</w:t>
            </w:r>
          </w:p>
        </w:tc>
        <w:tc>
          <w:p>
            <w:pPr>
              <w:pStyle w:val="Compact"/>
              <w:jc w:val="center"/>
            </w:pPr>
            <w:r>
              <w:t xml:space="preserve">65</w:t>
            </w:r>
          </w:p>
        </w:tc>
        <w:tc>
          <w:p>
            <w:pPr>
              <w:pStyle w:val="Compact"/>
              <w:jc w:val="center"/>
            </w:pPr>
            <w:r>
              <w:t xml:space="preserve">2.e+03</w:t>
            </w:r>
          </w:p>
        </w:tc>
        <w:tc>
          <w:p>
            <w:pPr>
              <w:pStyle w:val="Compact"/>
              <w:jc w:val="center"/>
            </w:pPr>
            <w:r>
              <w:t xml:space="preserve">3.01</w:t>
            </w:r>
          </w:p>
        </w:tc>
      </w:tr>
      <w:tr>
        <w:tc>
          <w:p>
            <w:pPr>
              <w:pStyle w:val="Compact"/>
              <w:jc w:val="center"/>
            </w:pPr>
            <w:r>
              <w:t xml:space="preserve">Saint Kitts and Nevis</w:t>
            </w:r>
          </w:p>
        </w:tc>
        <w:tc>
          <w:p>
            <w:pPr>
              <w:pStyle w:val="Compact"/>
              <w:jc w:val="center"/>
            </w:pPr>
            <w:r>
              <w:t xml:space="preserve">256</w:t>
            </w:r>
          </w:p>
        </w:tc>
        <w:tc>
          <w:p>
            <w:pPr>
              <w:pStyle w:val="Compact"/>
              <w:jc w:val="center"/>
            </w:pPr>
            <w:r>
              <w:t xml:space="preserve">9.e+03</w:t>
            </w:r>
          </w:p>
        </w:tc>
        <w:tc>
          <w:p>
            <w:pPr>
              <w:pStyle w:val="Compact"/>
              <w:jc w:val="center"/>
            </w:pPr>
            <w:r>
              <w:t xml:space="preserve">2.71</w:t>
            </w:r>
          </w:p>
        </w:tc>
      </w:tr>
      <w:tr>
        <w:tc>
          <w:p>
            <w:pPr>
              <w:pStyle w:val="Compact"/>
              <w:jc w:val="center"/>
            </w:pPr>
            <w:r>
              <w:t xml:space="preserve">Bahamas</w:t>
            </w:r>
          </w:p>
        </w:tc>
        <w:tc>
          <w:p>
            <w:pPr>
              <w:pStyle w:val="Compact"/>
              <w:jc w:val="center"/>
            </w:pPr>
            <w:r>
              <w:t xml:space="preserve">14,314</w:t>
            </w:r>
          </w:p>
        </w:tc>
        <w:tc>
          <w:p>
            <w:pPr>
              <w:pStyle w:val="Compact"/>
              <w:jc w:val="center"/>
            </w:pPr>
            <w:r>
              <w:t xml:space="preserve">6.e+05</w:t>
            </w:r>
          </w:p>
        </w:tc>
        <w:tc>
          <w:p>
            <w:pPr>
              <w:pStyle w:val="Compact"/>
              <w:jc w:val="center"/>
            </w:pPr>
            <w:r>
              <w:t xml:space="preserve">2.33</w:t>
            </w:r>
          </w:p>
        </w:tc>
      </w:tr>
      <w:tr>
        <w:tc>
          <w:p>
            <w:pPr>
              <w:pStyle w:val="Compact"/>
              <w:jc w:val="center"/>
            </w:pPr>
            <w:r>
              <w:t xml:space="preserve">United States Virgin Islands</w:t>
            </w:r>
          </w:p>
        </w:tc>
        <w:tc>
          <w:p>
            <w:pPr>
              <w:pStyle w:val="Compact"/>
              <w:jc w:val="center"/>
            </w:pPr>
            <w:r>
              <w:t xml:space="preserve">814</w:t>
            </w:r>
          </w:p>
        </w:tc>
        <w:tc>
          <w:p>
            <w:pPr>
              <w:pStyle w:val="Compact"/>
              <w:jc w:val="center"/>
            </w:pPr>
            <w:r>
              <w:t xml:space="preserve">4.e+04</w:t>
            </w:r>
          </w:p>
        </w:tc>
        <w:tc>
          <w:p>
            <w:pPr>
              <w:pStyle w:val="Compact"/>
              <w:jc w:val="center"/>
            </w:pPr>
            <w:r>
              <w:t xml:space="preserve">2.13</w:t>
            </w:r>
          </w:p>
        </w:tc>
      </w:tr>
      <w:tr>
        <w:tc>
          <w:p>
            <w:pPr>
              <w:pStyle w:val="Compact"/>
              <w:jc w:val="center"/>
            </w:pPr>
            <w:r>
              <w:t xml:space="preserve">Saint Lucia</w:t>
            </w:r>
          </w:p>
        </w:tc>
        <w:tc>
          <w:p>
            <w:pPr>
              <w:pStyle w:val="Compact"/>
              <w:jc w:val="center"/>
            </w:pPr>
            <w:r>
              <w:t xml:space="preserve">285</w:t>
            </w:r>
          </w:p>
        </w:tc>
        <w:tc>
          <w:p>
            <w:pPr>
              <w:pStyle w:val="Compact"/>
              <w:jc w:val="center"/>
            </w:pPr>
            <w:r>
              <w:t xml:space="preserve">2.e+04</w:t>
            </w:r>
          </w:p>
        </w:tc>
        <w:tc>
          <w:p>
            <w:pPr>
              <w:pStyle w:val="Compact"/>
              <w:jc w:val="center"/>
            </w:pPr>
            <w:r>
              <w:t xml:space="preserve">1.86</w:t>
            </w:r>
          </w:p>
        </w:tc>
      </w:tr>
      <w:tr>
        <w:tc>
          <w:p>
            <w:pPr>
              <w:pStyle w:val="Compact"/>
              <w:jc w:val="center"/>
            </w:pPr>
            <w:r>
              <w:t xml:space="preserve">Jamaica</w:t>
            </w:r>
          </w:p>
        </w:tc>
        <w:tc>
          <w:p>
            <w:pPr>
              <w:pStyle w:val="Compact"/>
              <w:jc w:val="center"/>
            </w:pPr>
            <w:r>
              <w:t xml:space="preserve">4,720</w:t>
            </w:r>
          </w:p>
        </w:tc>
        <w:tc>
          <w:p>
            <w:pPr>
              <w:pStyle w:val="Compact"/>
              <w:jc w:val="center"/>
            </w:pPr>
            <w:r>
              <w:t xml:space="preserve">3.e+05</w:t>
            </w:r>
          </w:p>
        </w:tc>
        <w:tc>
          <w:p>
            <w:pPr>
              <w:pStyle w:val="Compact"/>
              <w:jc w:val="center"/>
            </w:pPr>
            <w:r>
              <w:t xml:space="preserve">1.84</w:t>
            </w:r>
          </w:p>
        </w:tc>
      </w:tr>
      <w:tr>
        <w:tc>
          <w:p>
            <w:pPr>
              <w:pStyle w:val="Compact"/>
              <w:jc w:val="center"/>
            </w:pPr>
            <w:r>
              <w:t xml:space="preserve">Antigua and Barbuda</w:t>
            </w:r>
          </w:p>
        </w:tc>
        <w:tc>
          <w:p>
            <w:pPr>
              <w:pStyle w:val="Compact"/>
              <w:jc w:val="center"/>
            </w:pPr>
            <w:r>
              <w:t xml:space="preserve">1,949</w:t>
            </w:r>
          </w:p>
        </w:tc>
        <w:tc>
          <w:p>
            <w:pPr>
              <w:pStyle w:val="Compact"/>
              <w:jc w:val="center"/>
            </w:pPr>
            <w:r>
              <w:t xml:space="preserve">1.e+05</w:t>
            </w:r>
          </w:p>
        </w:tc>
        <w:tc>
          <w:p>
            <w:pPr>
              <w:pStyle w:val="Compact"/>
              <w:jc w:val="center"/>
            </w:pPr>
            <w:r>
              <w:t xml:space="preserve">1.75</w:t>
            </w:r>
          </w:p>
        </w:tc>
      </w:tr>
      <w:tr>
        <w:tc>
          <w:p>
            <w:pPr>
              <w:pStyle w:val="Compact"/>
              <w:jc w:val="center"/>
            </w:pPr>
            <w:r>
              <w:t xml:space="preserve">Haiti</w:t>
            </w:r>
          </w:p>
        </w:tc>
        <w:tc>
          <w:p>
            <w:pPr>
              <w:pStyle w:val="Compact"/>
              <w:jc w:val="center"/>
            </w:pPr>
            <w:r>
              <w:t xml:space="preserve">1,780</w:t>
            </w:r>
          </w:p>
        </w:tc>
        <w:tc>
          <w:p>
            <w:pPr>
              <w:pStyle w:val="Compact"/>
              <w:jc w:val="center"/>
            </w:pPr>
            <w:r>
              <w:t xml:space="preserve">1.e+05</w:t>
            </w:r>
          </w:p>
        </w:tc>
        <w:tc>
          <w:p>
            <w:pPr>
              <w:pStyle w:val="Compact"/>
              <w:jc w:val="center"/>
            </w:pPr>
            <w:r>
              <w:t xml:space="preserve">1.73</w:t>
            </w:r>
          </w:p>
        </w:tc>
      </w:tr>
      <w:tr>
        <w:tc>
          <w:p>
            <w:pPr>
              <w:pStyle w:val="Compact"/>
              <w:jc w:val="center"/>
            </w:pPr>
            <w:r>
              <w:t xml:space="preserve">British Virgin Islands</w:t>
            </w:r>
          </w:p>
        </w:tc>
        <w:tc>
          <w:p>
            <w:pPr>
              <w:pStyle w:val="Compact"/>
              <w:jc w:val="center"/>
            </w:pPr>
            <w:r>
              <w:t xml:space="preserve">1,271</w:t>
            </w:r>
          </w:p>
        </w:tc>
        <w:tc>
          <w:p>
            <w:pPr>
              <w:pStyle w:val="Compact"/>
              <w:jc w:val="center"/>
            </w:pPr>
            <w:r>
              <w:t xml:space="preserve">8.e+04</w:t>
            </w:r>
          </w:p>
        </w:tc>
        <w:tc>
          <w:p>
            <w:pPr>
              <w:pStyle w:val="Compact"/>
              <w:jc w:val="center"/>
            </w:pPr>
            <w:r>
              <w:t xml:space="preserve">1.56</w:t>
            </w:r>
          </w:p>
        </w:tc>
      </w:tr>
      <w:tr>
        <w:tc>
          <w:p>
            <w:pPr>
              <w:pStyle w:val="Compact"/>
              <w:jc w:val="center"/>
            </w:pPr>
            <w:r>
              <w:t xml:space="preserve">Anguilla</w:t>
            </w:r>
          </w:p>
        </w:tc>
        <w:tc>
          <w:p>
            <w:pPr>
              <w:pStyle w:val="Compact"/>
              <w:jc w:val="center"/>
            </w:pPr>
            <w:r>
              <w:t xml:space="preserve">1,221</w:t>
            </w:r>
          </w:p>
        </w:tc>
        <w:tc>
          <w:p>
            <w:pPr>
              <w:pStyle w:val="Compact"/>
              <w:jc w:val="center"/>
            </w:pPr>
            <w:r>
              <w:t xml:space="preserve">9.e+04</w:t>
            </w:r>
          </w:p>
        </w:tc>
        <w:tc>
          <w:p>
            <w:pPr>
              <w:pStyle w:val="Compact"/>
              <w:jc w:val="center"/>
            </w:pPr>
            <w:r>
              <w:t xml:space="preserve">1.36</w:t>
            </w:r>
          </w:p>
        </w:tc>
      </w:tr>
      <w:tr>
        <w:tc>
          <w:p>
            <w:pPr>
              <w:pStyle w:val="Compact"/>
              <w:jc w:val="center"/>
            </w:pPr>
            <w:r>
              <w:t xml:space="preserve">Turks and Caicos Islands</w:t>
            </w:r>
          </w:p>
        </w:tc>
        <w:tc>
          <w:p>
            <w:pPr>
              <w:pStyle w:val="Compact"/>
              <w:jc w:val="center"/>
            </w:pPr>
            <w:r>
              <w:t xml:space="preserve">1,028</w:t>
            </w:r>
          </w:p>
        </w:tc>
        <w:tc>
          <w:p>
            <w:pPr>
              <w:pStyle w:val="Compact"/>
              <w:jc w:val="center"/>
            </w:pPr>
            <w:r>
              <w:t xml:space="preserve">9.e+04</w:t>
            </w:r>
          </w:p>
        </w:tc>
        <w:tc>
          <w:p>
            <w:pPr>
              <w:pStyle w:val="Compact"/>
              <w:jc w:val="center"/>
            </w:pPr>
            <w:r>
              <w:t xml:space="preserve">1.13</w:t>
            </w:r>
          </w:p>
        </w:tc>
      </w:tr>
      <w:tr>
        <w:tc>
          <w:p>
            <w:pPr>
              <w:pStyle w:val="Compact"/>
              <w:jc w:val="center"/>
            </w:pPr>
            <w:r>
              <w:t xml:space="preserve">Montserrat</w:t>
            </w:r>
          </w:p>
        </w:tc>
        <w:tc>
          <w:p>
            <w:pPr>
              <w:pStyle w:val="Compact"/>
              <w:jc w:val="center"/>
            </w:pPr>
            <w:r>
              <w:t xml:space="preserve">74</w:t>
            </w:r>
          </w:p>
        </w:tc>
        <w:tc>
          <w:p>
            <w:pPr>
              <w:pStyle w:val="Compact"/>
              <w:jc w:val="center"/>
            </w:pPr>
            <w:r>
              <w:t xml:space="preserve">7.e+03</w:t>
            </w:r>
          </w:p>
        </w:tc>
        <w:tc>
          <w:p>
            <w:pPr>
              <w:pStyle w:val="Compact"/>
              <w:jc w:val="center"/>
            </w:pPr>
            <w:r>
              <w:t xml:space="preserve">1.03</w:t>
            </w:r>
          </w:p>
        </w:tc>
      </w:tr>
      <w:tr>
        <w:tc>
          <w:p>
            <w:pPr>
              <w:pStyle w:val="Compact"/>
              <w:jc w:val="center"/>
            </w:pPr>
            <w:r>
              <w:t xml:space="preserve">Puerto Rico</w:t>
            </w:r>
          </w:p>
        </w:tc>
        <w:tc>
          <w:p>
            <w:pPr>
              <w:pStyle w:val="Compact"/>
              <w:jc w:val="center"/>
            </w:pPr>
            <w:r>
              <w:t xml:space="preserve">1,515</w:t>
            </w:r>
          </w:p>
        </w:tc>
        <w:tc>
          <w:p>
            <w:pPr>
              <w:pStyle w:val="Compact"/>
              <w:jc w:val="center"/>
            </w:pPr>
            <w:r>
              <w:t xml:space="preserve">2.e+05</w:t>
            </w:r>
          </w:p>
        </w:tc>
        <w:tc>
          <w:p>
            <w:pPr>
              <w:pStyle w:val="Compact"/>
              <w:jc w:val="center"/>
            </w:pPr>
            <w:r>
              <w:t xml:space="preserve">0.98</w:t>
            </w:r>
          </w:p>
        </w:tc>
      </w:tr>
      <w:tr>
        <w:tc>
          <w:p>
            <w:pPr>
              <w:pStyle w:val="Compact"/>
              <w:jc w:val="center"/>
            </w:pPr>
            <w:r>
              <w:t xml:space="preserve">Dominican Republic</w:t>
            </w:r>
          </w:p>
        </w:tc>
        <w:tc>
          <w:p>
            <w:pPr>
              <w:pStyle w:val="Compact"/>
              <w:jc w:val="center"/>
            </w:pPr>
            <w:r>
              <w:t xml:space="preserve">3,290</w:t>
            </w:r>
          </w:p>
        </w:tc>
        <w:tc>
          <w:p>
            <w:pPr>
              <w:pStyle w:val="Compact"/>
              <w:jc w:val="center"/>
            </w:pPr>
            <w:r>
              <w:t xml:space="preserve">3.e+05</w:t>
            </w:r>
          </w:p>
        </w:tc>
        <w:tc>
          <w:p>
            <w:pPr>
              <w:pStyle w:val="Compact"/>
              <w:jc w:val="center"/>
            </w:pPr>
            <w:r>
              <w:t xml:space="preserve">0.94</w:t>
            </w:r>
          </w:p>
        </w:tc>
      </w:tr>
      <w:tr>
        <w:tc>
          <w:p>
            <w:pPr>
              <w:pStyle w:val="Compact"/>
              <w:jc w:val="center"/>
            </w:pPr>
            <w:r>
              <w:t xml:space="preserve">Dominica</w:t>
            </w:r>
          </w:p>
        </w:tc>
        <w:tc>
          <w:p>
            <w:pPr>
              <w:pStyle w:val="Compact"/>
              <w:jc w:val="center"/>
            </w:pPr>
            <w:r>
              <w:t xml:space="preserve">242</w:t>
            </w:r>
          </w:p>
        </w:tc>
        <w:tc>
          <w:p>
            <w:pPr>
              <w:pStyle w:val="Compact"/>
              <w:jc w:val="center"/>
            </w:pPr>
            <w:r>
              <w:t xml:space="preserve">3.e+04</w:t>
            </w:r>
          </w:p>
        </w:tc>
        <w:tc>
          <w:p>
            <w:pPr>
              <w:pStyle w:val="Compact"/>
              <w:jc w:val="center"/>
            </w:pPr>
            <w:r>
              <w:t xml:space="preserve">0.85</w:t>
            </w:r>
          </w:p>
        </w:tc>
      </w:tr>
      <w:tr>
        <w:tc>
          <w:p>
            <w:pPr>
              <w:pStyle w:val="Compact"/>
              <w:jc w:val="center"/>
            </w:pPr>
            <w:r>
              <w:t xml:space="preserve">Cuba</w:t>
            </w:r>
          </w:p>
        </w:tc>
        <w:tc>
          <w:p>
            <w:pPr>
              <w:pStyle w:val="Compact"/>
              <w:jc w:val="center"/>
            </w:pPr>
            <w:r>
              <w:t xml:space="preserve">2,475</w:t>
            </w:r>
          </w:p>
        </w:tc>
        <w:tc>
          <w:p>
            <w:pPr>
              <w:pStyle w:val="Compact"/>
              <w:jc w:val="center"/>
            </w:pPr>
            <w:r>
              <w:t xml:space="preserve">4.e+05</w:t>
            </w:r>
          </w:p>
        </w:tc>
        <w:tc>
          <w:p>
            <w:pPr>
              <w:pStyle w:val="Compact"/>
              <w:jc w:val="center"/>
            </w:pPr>
            <w:r>
              <w:t xml:space="preserve">0.71</w:t>
            </w:r>
          </w:p>
        </w:tc>
      </w:tr>
      <w:tr>
        <w:tc>
          <w:p>
            <w:pPr>
              <w:pStyle w:val="Compact"/>
              <w:jc w:val="center"/>
            </w:pPr>
            <w:r>
              <w:t xml:space="preserve">Bonaire</w:t>
            </w:r>
          </w:p>
        </w:tc>
        <w:tc>
          <w:p>
            <w:pPr>
              <w:pStyle w:val="Compact"/>
              <w:jc w:val="center"/>
            </w:pPr>
            <w:r>
              <w:t xml:space="preserve">43</w:t>
            </w:r>
          </w:p>
        </w:tc>
        <w:tc>
          <w:p>
            <w:pPr>
              <w:pStyle w:val="Compact"/>
              <w:jc w:val="center"/>
            </w:pPr>
            <w:r>
              <w:t xml:space="preserve">1.e+04</w:t>
            </w:r>
          </w:p>
        </w:tc>
        <w:tc>
          <w:p>
            <w:pPr>
              <w:pStyle w:val="Compact"/>
              <w:jc w:val="center"/>
            </w:pPr>
            <w:r>
              <w:t xml:space="preserve">0.33</w:t>
            </w:r>
          </w:p>
        </w:tc>
      </w:tr>
      <w:tr>
        <w:tc>
          <w:p>
            <w:pPr>
              <w:pStyle w:val="Compact"/>
              <w:jc w:val="center"/>
            </w:pPr>
            <w:r>
              <w:t xml:space="preserve">Curaçao</w:t>
            </w:r>
          </w:p>
        </w:tc>
        <w:tc>
          <w:p>
            <w:pPr>
              <w:pStyle w:val="Compact"/>
              <w:jc w:val="center"/>
            </w:pPr>
            <w:r>
              <w:t xml:space="preserve">71</w:t>
            </w:r>
          </w:p>
        </w:tc>
        <w:tc>
          <w:p>
            <w:pPr>
              <w:pStyle w:val="Compact"/>
              <w:jc w:val="center"/>
            </w:pPr>
            <w:r>
              <w:t xml:space="preserve">3.e+04</w:t>
            </w:r>
          </w:p>
        </w:tc>
        <w:tc>
          <w:p>
            <w:pPr>
              <w:pStyle w:val="Compact"/>
              <w:jc w:val="center"/>
            </w:pPr>
            <w:r>
              <w:t xml:space="preserve">0.28</w:t>
            </w:r>
          </w:p>
        </w:tc>
      </w:tr>
      <w:tr>
        <w:tc>
          <w:p>
            <w:pPr>
              <w:pStyle w:val="Compact"/>
              <w:jc w:val="center"/>
            </w:pPr>
            <w:r>
              <w:t xml:space="preserve">Saint-Barthélemy</w:t>
            </w:r>
          </w:p>
        </w:tc>
        <w:tc>
          <w:p>
            <w:pPr>
              <w:pStyle w:val="Compact"/>
              <w:jc w:val="center"/>
            </w:pPr>
            <w:r>
              <w:t xml:space="preserve">7</w:t>
            </w:r>
          </w:p>
        </w:tc>
        <w:tc>
          <w:p>
            <w:pPr>
              <w:pStyle w:val="Compact"/>
              <w:jc w:val="center"/>
            </w:pPr>
            <w:r>
              <w:t xml:space="preserve">4.e+03</w:t>
            </w:r>
          </w:p>
        </w:tc>
        <w:tc>
          <w:p>
            <w:pPr>
              <w:pStyle w:val="Compact"/>
              <w:jc w:val="center"/>
            </w:pPr>
            <w:r>
              <w:t xml:space="preserve">0.18</w:t>
            </w:r>
          </w:p>
        </w:tc>
      </w:tr>
      <w:tr>
        <w:tc>
          <w:p>
            <w:pPr>
              <w:pStyle w:val="Compact"/>
              <w:jc w:val="center"/>
            </w:pPr>
            <w:r>
              <w:t xml:space="preserve">Cayman Islands</w:t>
            </w:r>
          </w:p>
        </w:tc>
        <w:tc>
          <w:p>
            <w:pPr>
              <w:pStyle w:val="Compact"/>
              <w:jc w:val="center"/>
            </w:pPr>
            <w:r>
              <w:t xml:space="preserve">114</w:t>
            </w:r>
          </w:p>
        </w:tc>
        <w:tc>
          <w:p>
            <w:pPr>
              <w:pStyle w:val="Compact"/>
              <w:jc w:val="center"/>
            </w:pPr>
            <w:r>
              <w:t xml:space="preserve">1.e+05</w:t>
            </w:r>
          </w:p>
        </w:tc>
        <w:tc>
          <w:p>
            <w:pPr>
              <w:pStyle w:val="Compact"/>
              <w:jc w:val="center"/>
            </w:pPr>
            <w:r>
              <w:t xml:space="preserve">0.10</w:t>
            </w:r>
          </w:p>
        </w:tc>
      </w:tr>
      <w:tr>
        <w:tc>
          <w:p>
            <w:pPr>
              <w:pStyle w:val="Compact"/>
              <w:jc w:val="center"/>
            </w:pPr>
            <w:r>
              <w:t xml:space="preserve">Barbados</w:t>
            </w:r>
          </w:p>
        </w:tc>
        <w:tc>
          <w:p>
            <w:pPr>
              <w:pStyle w:val="Compact"/>
              <w:jc w:val="center"/>
            </w:pPr>
            <w:r>
              <w:t xml:space="preserve">84</w:t>
            </w:r>
          </w:p>
        </w:tc>
        <w:tc>
          <w:p>
            <w:pPr>
              <w:pStyle w:val="Compact"/>
              <w:jc w:val="center"/>
            </w:pPr>
            <w:r>
              <w:t xml:space="preserve">2.e+05</w:t>
            </w:r>
          </w:p>
        </w:tc>
        <w:tc>
          <w:p>
            <w:pPr>
              <w:pStyle w:val="Compact"/>
              <w:jc w:val="center"/>
            </w:pPr>
            <w:r>
              <w:t xml:space="preserve">0.05</w:t>
            </w:r>
          </w:p>
        </w:tc>
      </w:tr>
      <w:tr>
        <w:tc>
          <w:p>
            <w:pPr>
              <w:pStyle w:val="Compact"/>
              <w:jc w:val="center"/>
            </w:pPr>
            <w:r>
              <w:t xml:space="preserve">Collectivity of Saint Martin</w:t>
            </w:r>
          </w:p>
        </w:tc>
        <w:tc>
          <w:p>
            <w:pPr>
              <w:pStyle w:val="Compact"/>
              <w:jc w:val="center"/>
            </w:pPr>
            <w:r>
              <w:t xml:space="preserve">0</w:t>
            </w:r>
          </w:p>
        </w:tc>
        <w:tc>
          <w:p>
            <w:pPr>
              <w:pStyle w:val="Compact"/>
              <w:jc w:val="center"/>
            </w:pPr>
            <w:r>
              <w:t xml:space="preserve">1.e+03</w:t>
            </w:r>
          </w:p>
        </w:tc>
        <w:tc>
          <w:p>
            <w:pPr>
              <w:pStyle w:val="Compact"/>
              <w:jc w:val="center"/>
            </w:pPr>
            <w:r>
              <w:t xml:space="preserve">0.00</w:t>
            </w:r>
          </w:p>
        </w:tc>
      </w:tr>
      <w:tr>
        <w:tc>
          <w:p>
            <w:pPr>
              <w:pStyle w:val="Compact"/>
              <w:jc w:val="center"/>
            </w:pPr>
            <w:r>
              <w:t xml:space="preserve">Guadeloupe</w:t>
            </w:r>
          </w:p>
        </w:tc>
        <w:tc>
          <w:p>
            <w:pPr>
              <w:pStyle w:val="Compact"/>
              <w:jc w:val="center"/>
            </w:pPr>
            <w:r>
              <w:t xml:space="preserve">0</w:t>
            </w:r>
          </w:p>
        </w:tc>
        <w:tc>
          <w:p>
            <w:pPr>
              <w:pStyle w:val="Compact"/>
              <w:jc w:val="center"/>
            </w:pPr>
            <w:r>
              <w:t xml:space="preserve">9.e+04</w:t>
            </w:r>
          </w:p>
        </w:tc>
        <w:tc>
          <w:p>
            <w:pPr>
              <w:pStyle w:val="Compact"/>
              <w:jc w:val="center"/>
            </w:pPr>
            <w:r>
              <w:t xml:space="preserve">0.00</w:t>
            </w:r>
          </w:p>
        </w:tc>
      </w:tr>
      <w:tr>
        <w:tc>
          <w:p>
            <w:pPr>
              <w:pStyle w:val="Compact"/>
              <w:jc w:val="center"/>
            </w:pPr>
            <w:r>
              <w:t xml:space="preserve">Martinique</w:t>
            </w:r>
          </w:p>
        </w:tc>
        <w:tc>
          <w:p>
            <w:pPr>
              <w:pStyle w:val="Compact"/>
              <w:jc w:val="center"/>
            </w:pPr>
            <w:r>
              <w:t xml:space="preserve">0</w:t>
            </w:r>
          </w:p>
        </w:tc>
        <w:tc>
          <w:p>
            <w:pPr>
              <w:pStyle w:val="Compact"/>
              <w:jc w:val="center"/>
            </w:pPr>
            <w:r>
              <w:t xml:space="preserve">5.e+04</w:t>
            </w:r>
          </w:p>
        </w:tc>
        <w:tc>
          <w:p>
            <w:pPr>
              <w:pStyle w:val="Compact"/>
              <w:jc w:val="center"/>
            </w:pPr>
            <w:r>
              <w:t xml:space="preserve">0.00</w:t>
            </w:r>
          </w:p>
        </w:tc>
      </w:tr>
    </w:tbl>
    <w:p>
      <w:pPr>
        <w:pStyle w:val="BodyText"/>
      </w:pPr>
      <w:r>
        <w:drawing>
          <wp:inline>
            <wp:extent cx="5334000" cy="4445000"/>
            <wp:effectExtent b="0" l="0" r="0" t="0"/>
            <wp:docPr descr="" title="" id="1" name="Picture"/>
            <a:graphic>
              <a:graphicData uri="http://schemas.openxmlformats.org/drawingml/2006/picture">
                <pic:pic>
                  <pic:nvPicPr>
                    <pic:cNvPr descr="../../../Box%20Sync/Carib_aqua_16/results/2018-02-27_est/Figures/carib_suit_area.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suitable area based on each of the factors considered in our analysis are listed in Table 5.</w:t>
      </w:r>
      <w:r>
        <w:t xml:space="preserve"> </w:t>
      </w:r>
      <w:r>
        <w:rPr>
          <w:i/>
        </w:rPr>
        <w:t xml:space="preserve">Add Table</w:t>
      </w:r>
    </w:p>
    <w:p>
      <w:pPr>
        <w:pStyle w:val="BodyText"/>
      </w:pPr>
      <w:r>
        <w:t xml:space="preserve">Depth is the largest constraining factor, with less than 2% of the total study area within the suitable depth range required for deployment of offshore SeaStation cages. Deep sea mining did not eliminate any areas because currently no deep sea bed mining permits have been issued in the region. However, this may be an important factor to consider in other regions or in the future in the Caribbean.</w:t>
      </w:r>
    </w:p>
    <w:p>
      <w:pPr>
        <w:pStyle w:val="BodyText"/>
      </w:pPr>
      <w:r>
        <w:t xml:space="preserve">There is considerable variability in the amount of area suitable for offshore mariculture in Caribbean nations (Table XX). Both the Bahamas and Trinadad and Tobago have more than twice the suitable area than the country with the next largest amound of suitable area (Jamaica)</w:t>
      </w:r>
    </w:p>
    <w:p>
      <w:pPr>
        <w:pStyle w:val="Heading3"/>
      </w:pPr>
      <w:bookmarkStart w:id="42" w:name="suitable-farm-production"/>
      <w:bookmarkEnd w:id="42"/>
      <w:r>
        <w:t xml:space="preserve">Suitable Farm Production</w:t>
      </w:r>
    </w:p>
    <w:p>
      <w:pPr>
        <w:pStyle w:val="FirstParagraph"/>
      </w:pPr>
      <w:r>
        <w:t xml:space="preserve">If economic constraints are ignored and all suitable farm sites are developed, the Caribbean’s potential to produce cobia from mariculture is extremely large, with an approximate annual production of XXX MT (XXX% of total current seafood production in the region).</w:t>
      </w:r>
    </w:p>
    <w:p>
      <w:pPr>
        <w:pStyle w:val="FigureWithCaption"/>
      </w:pPr>
      <w:r>
        <w:drawing>
          <wp:inline>
            <wp:extent cx="5334000" cy="4445000"/>
            <wp:effectExtent b="0" l="0" r="0" t="0"/>
            <wp:docPr descr="Estimated total production of cobia (mt) using if all suitable areas are developed as offshore mariculture farms" title="" id="1" name="Picture"/>
            <a:graphic>
              <a:graphicData uri="http://schemas.openxmlformats.org/drawingml/2006/picture">
                <pic:pic>
                  <pic:nvPicPr>
                    <pic:cNvPr descr="../../../Box%20Sync/Carib_aqua_16/results/2018-02-27_est/Figures/total_prod_map.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Estimated total production of cobia (mt) using if all suitable areas are developed as offshore mariculture farms</w:t>
      </w:r>
    </w:p>
    <w:p>
      <w:pPr>
        <w:pStyle w:val="Heading2"/>
      </w:pPr>
      <w:bookmarkStart w:id="44" w:name="bioeconomic-model-results"/>
      <w:bookmarkEnd w:id="44"/>
      <w:r>
        <w:t xml:space="preserve">Bioeconomic Model Results</w:t>
      </w:r>
    </w:p>
    <w:p>
      <w:pPr>
        <w:pStyle w:val="FirstParagraph"/>
      </w:pPr>
      <w:r>
        <w:t xml:space="preserve">When only farms that are profitable over a 10 year period are developed, 17 countries develop farms and produce XX mt annually.</w:t>
      </w:r>
    </w:p>
    <w:p>
      <w:pPr>
        <w:pStyle w:val="FigureWithCaption"/>
      </w:pPr>
      <w:r>
        <w:drawing>
          <wp:inline>
            <wp:extent cx="5334000" cy="4445000"/>
            <wp:effectExtent b="0" l="0" r="0" t="0"/>
            <wp:docPr descr="Total production of farms that are profitable over a 10 year period" title="" id="1" name="Picture"/>
            <a:graphic>
              <a:graphicData uri="http://schemas.openxmlformats.org/drawingml/2006/picture">
                <pic:pic>
                  <pic:nvPicPr>
                    <pic:cNvPr descr="../../../Box%20Sync/Carib_aqua_16/results/2018-02-27_est/Figures/econ_prod_map.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Total production of farms that are profitable over a 10 year period</w:t>
      </w:r>
    </w:p>
    <w:p>
      <w:pPr>
        <w:pStyle w:val="FigureWithCaption"/>
      </w:pPr>
      <w:r>
        <w:drawing>
          <wp:inline>
            <wp:extent cx="5334000" cy="4445000"/>
            <wp:effectExtent b="0" l="0" r="0" t="0"/>
            <wp:docPr descr="10 year NPV of farms that are profitable over a 10 year period" title="" id="1" name="Picture"/>
            <a:graphic>
              <a:graphicData uri="http://schemas.openxmlformats.org/drawingml/2006/picture">
                <pic:pic>
                  <pic:nvPicPr>
                    <pic:cNvPr descr="../../../Box%20Sync/Carib_aqua_16/results/2018-02-27_est/Figures/econ_npv_map.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10 year NPV of farms that are profitable over a 10 year period</w:t>
      </w:r>
    </w:p>
    <w:p>
      <w:pPr>
        <w:pStyle w:val="BodyText"/>
      </w:pPr>
      <w:r>
        <w:t xml:space="preserve">At the farm level, the median NPV of a cobia farm in the Caribbean was 972,992.4, driven by high NPV farms in several countries (Figure X)</w:t>
      </w:r>
    </w:p>
    <w:p>
      <w:pPr>
        <w:pStyle w:val="FigureWithCaption"/>
      </w:pPr>
      <w:r>
        <w:drawing>
          <wp:inline>
            <wp:extent cx="5334000" cy="6667500"/>
            <wp:effectExtent b="0" l="0" r="0" t="0"/>
            <wp:docPr descr="NPV of cobia aquaculture per farm by Caribbean EEZ" title="" id="1" name="Picture"/>
            <a:graphic>
              <a:graphicData uri="http://schemas.openxmlformats.org/drawingml/2006/picture">
                <pic:pic>
                  <pic:nvPicPr>
                    <pic:cNvPr descr="../../../Box%20Sync/Carib_aqua_16/results/2018-02-27_est/Figures/cntry_boxplot.png" id="0" name="Picture"/>
                    <pic:cNvPicPr>
                      <a:picLocks noChangeArrowheads="1" noChangeAspect="1"/>
                    </pic:cNvPicPr>
                  </pic:nvPicPr>
                  <pic:blipFill>
                    <a:blip r:embed="rId47"/>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NPV of cobia aquaculture per farm by Caribbean EEZ</w:t>
      </w:r>
    </w:p>
    <w:p>
      <w:pPr>
        <w:pStyle w:val="Heading3"/>
      </w:pPr>
      <w:bookmarkStart w:id="48" w:name="costs-1"/>
      <w:bookmarkEnd w:id="48"/>
      <w:r>
        <w:t xml:space="preserve">Costs</w:t>
      </w:r>
    </w:p>
    <w:p>
      <w:pPr>
        <w:pStyle w:val="FirstParagraph"/>
      </w:pPr>
      <w:r>
        <w:t xml:space="preserve">Feed is currently the largest cost for aquaculture producers, and our findings support this conclusion (90.1% of operating costs). Our results are based on the current cost of cobia feed ($1.65/kg). However, given economic forces are driving promising advances in feed technology, we also explored results if feed costs are reduced by 10 %. A reduction in feed costs by 10% would increase cobia production (supply) by XXX. No farms in the Caribbean would be profitable if price for cobia drops below $8/kg at current feed costs.</w:t>
      </w:r>
    </w:p>
    <w:p>
      <w:pPr>
        <w:pStyle w:val="FigureWithCaption"/>
      </w:pPr>
      <w:r>
        <w:drawing>
          <wp:inline>
            <wp:extent cx="5334000" cy="42672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Box%20Sync/Carib_aqua_16/results/2018-02-27_est/Figures/carib_supply_curves.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XX. Cobia supply curves under current feed cost (feed price index = 1) and a 10% reduction in feed cost (feed price index = 0.9).</w:t>
      </w:r>
    </w:p>
    <w:p>
      <w:pPr>
        <w:pStyle w:val="BodyText"/>
      </w:pPr>
      <w:r>
        <w:t xml:space="preserve">A reduction in feed costs would increase production and NPV</w:t>
      </w:r>
    </w:p>
    <w:p>
      <w:pPr>
        <w:pStyle w:val="BodyText"/>
      </w:pPr>
      <w:r>
        <w:drawing>
          <wp:inline>
            <wp:extent cx="5334000" cy="4445000"/>
            <wp:effectExtent b="0" l="0" r="0" t="0"/>
            <wp:docPr descr="Estimated total production of cobia (mt) and 10 year NPV for our study area assuming current feed price, and a reduction in feed price by 10%" title="" id="1" name="Picture"/>
            <a:graphic>
              <a:graphicData uri="http://schemas.openxmlformats.org/drawingml/2006/picture">
                <pic:pic>
                  <pic:nvPicPr>
                    <pic:cNvPr descr="../../../Box%20Sync/Carib_aqua_16/results/2018-02-27_est/Figures/feed_prod_map.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Estimated total production of cobia (mt) and 10 year NPV for our study area assuming current feed price, and a reduction in feed price by 10%" title="" id="1" name="Picture"/>
            <a:graphic>
              <a:graphicData uri="http://schemas.openxmlformats.org/drawingml/2006/picture">
                <pic:pic>
                  <pic:nvPicPr>
                    <pic:cNvPr descr="../../../Box%20Sync/Carib_aqua_16/results/2018-02-27_est/Figures/feed_npv_map.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Box%20Sync/Carib_aqua_16/results/2018-02-27_est/Figures/production.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Heading2"/>
      </w:pPr>
      <w:bookmarkStart w:id="53" w:name="sensitivity-analyses"/>
      <w:bookmarkEnd w:id="53"/>
      <w:r>
        <w:t xml:space="preserve">Sensitivity Analyses</w:t>
      </w:r>
    </w:p>
    <w:p>
      <w:pPr>
        <w:pStyle w:val="FirstParagraph"/>
      </w:pPr>
      <w:r>
        <w:t xml:space="preserve">Due the uncertainty of future market conditions, economic status of countries,impacts new techonological developments, and to identify the current major hurdles to the development of offshore aquaculture in the Caribbean, we perform a suite of sensitivity analyses by assuming different:</w:t>
      </w:r>
    </w:p>
    <w:p>
      <w:pPr>
        <w:pStyle w:val="Compact"/>
        <w:numPr>
          <w:numId w:val="1001"/>
          <w:ilvl w:val="0"/>
        </w:numPr>
      </w:pPr>
      <w:r>
        <w:t xml:space="preserve">Suitable depth range</w:t>
      </w:r>
    </w:p>
    <w:p>
      <w:pPr>
        <w:pStyle w:val="Compact"/>
        <w:numPr>
          <w:numId w:val="1001"/>
          <w:ilvl w:val="0"/>
        </w:numPr>
      </w:pPr>
      <w:r>
        <w:t xml:space="preserve">Discount rates</w:t>
      </w:r>
    </w:p>
    <w:p>
      <w:pPr>
        <w:pStyle w:val="Compact"/>
        <w:numPr>
          <w:numId w:val="1001"/>
          <w:ilvl w:val="0"/>
        </w:numPr>
      </w:pPr>
      <w:r>
        <w:t xml:space="preserve">Lower price</w:t>
      </w:r>
    </w:p>
    <w:p>
      <w:pPr>
        <w:pStyle w:val="Heading2"/>
      </w:pPr>
      <w:bookmarkStart w:id="54" w:name="other-figures"/>
      <w:bookmarkEnd w:id="54"/>
      <w:r>
        <w:t xml:space="preserve">Other Figures</w:t>
      </w:r>
    </w:p>
    <w:p>
      <w:pPr>
        <w:pStyle w:val="FirstParagraph"/>
      </w:pPr>
      <w:r>
        <w:t xml:space="preserve">Cobia growth is a function of temperature and, in addition to the amount of suitable area avaialable, is a major factor for cobia production. Not surprisingly then, average cobia growth (kg/month/farm) shows a clear seasonal trend, which varies across EEZs (Figure XX).</w:t>
      </w:r>
    </w:p>
    <w:p>
      <w:pPr>
        <w:pStyle w:val="BodyText"/>
      </w:pPr>
      <w:r>
        <w:t xml:space="preserve">As a result of the variability in growth rates acros the Caribbean, farms vary in the length of time require to raise cobia to a market size of 5 kg, with the median farm requiring X months to complete a harvest cycle (Figure SX).</w:t>
      </w:r>
    </w:p>
    <w:p>
      <w:pPr>
        <w:pStyle w:val="FigureWithCaption"/>
      </w:pPr>
      <w:r>
        <w:drawing>
          <wp:inline>
            <wp:extent cx="5334000" cy="4445000"/>
            <wp:effectExtent b="0" l="0" r="0" t="0"/>
            <wp:docPr descr="Average growth of cobia by month" title="" id="1" name="Picture"/>
            <a:graphic>
              <a:graphicData uri="http://schemas.openxmlformats.org/drawingml/2006/picture">
                <pic:pic>
                  <pic:nvPicPr>
                    <pic:cNvPr descr="../../../Box%20Sync/Carib_aqua_16/results/2018-02-27_est/Figures/Caribbean_avg_growth.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Average growth of cobia by month</w:t>
      </w:r>
    </w:p>
    <w:p>
      <w:pPr>
        <w:pStyle w:val="FigureWithCaption"/>
      </w:pPr>
      <w:r>
        <w:drawing>
          <wp:inline>
            <wp:extent cx="5334000" cy="5334000"/>
            <wp:effectExtent b="0" l="0" r="0" t="0"/>
            <wp:docPr descr="Average harvest cycle length (months) by farm" title="" id="1" name="Picture"/>
            <a:graphic>
              <a:graphicData uri="http://schemas.openxmlformats.org/drawingml/2006/picture">
                <pic:pic>
                  <pic:nvPicPr>
                    <pic:cNvPr descr="../../../Box%20Sync/Carib_aqua_16/results/2018-02-27_est/Figures/harv_length_hist.jpe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harvest cycle length (months) by farm</w:t>
      </w:r>
    </w:p>
    <w:p>
      <w:pPr>
        <w:pStyle w:val="FigureWithCaption"/>
      </w:pPr>
      <w:r>
        <w:drawing>
          <wp:inline>
            <wp:extent cx="5334000" cy="7112000"/>
            <wp:effectExtent b="0" l="0" r="0" t="0"/>
            <wp:docPr descr="Distribution of farm level NPV for high and low cost scenarios" title="" id="1" name="Picture"/>
            <a:graphic>
              <a:graphicData uri="http://schemas.openxmlformats.org/drawingml/2006/picture">
                <pic:pic>
                  <pic:nvPicPr>
                    <pic:cNvPr descr="../../../Box%20Sync/Carib_aqua_16/results/2018-02-27_est/Figures/npv_discount_scenarios.png" id="0" name="Picture"/>
                    <pic:cNvPicPr>
                      <a:picLocks noChangeArrowheads="1" noChangeAspect="1"/>
                    </pic:cNvPicPr>
                  </pic:nvPicPr>
                  <pic:blipFill>
                    <a:blip r:embed="rId57"/>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Distribution of farm level NPV for high and low cost scenarios</w:t>
      </w:r>
    </w:p>
    <w:p>
      <w:pPr>
        <w:pStyle w:val="FigureWithCaption"/>
      </w:pPr>
      <w:r>
        <w:drawing>
          <wp:inline>
            <wp:extent cx="5334000" cy="5334000"/>
            <wp:effectExtent b="0" l="0" r="0" t="0"/>
            <wp:docPr descr="Suitability zoom by EEZ" title="" id="1" name="Picture"/>
            <a:graphic>
              <a:graphicData uri="http://schemas.openxmlformats.org/drawingml/2006/picture">
                <pic:pic>
                  <pic:nvPicPr>
                    <pic:cNvPr descr="../../../Box%20Sync/Carib_aqua_16/results/2018-02-27_est/Figures/eez_suitable_area.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Suitability zoom by EEZ</w:t>
      </w:r>
    </w:p>
    <w:p>
      <w:pPr>
        <w:pStyle w:val="Heading1"/>
      </w:pPr>
      <w:bookmarkStart w:id="59" w:name="discussion"/>
      <w:bookmarkEnd w:id="59"/>
      <w:r>
        <w:t xml:space="preserve">Discussion</w:t>
      </w:r>
    </w:p>
    <w:p>
      <w:pPr>
        <w:pStyle w:val="Heading1"/>
      </w:pPr>
      <w:bookmarkStart w:id="60" w:name="references"/>
      <w:bookmarkEnd w:id="60"/>
      <w:r>
        <w:t xml:space="preserve">References</w:t>
      </w:r>
    </w:p>
    <w:p>
      <w:pPr>
        <w:pStyle w:val="Heading1"/>
      </w:pPr>
      <w:bookmarkStart w:id="61" w:name="supplementary-information"/>
      <w:bookmarkEnd w:id="61"/>
      <w:r>
        <w:t xml:space="preserve">Supplementary Information</w:t>
      </w:r>
    </w:p>
    <w:p>
      <w:pPr>
        <w:pStyle w:val="Heading4"/>
      </w:pPr>
      <w:bookmarkStart w:id="62" w:name="discount-rate"/>
      <w:bookmarkEnd w:id="62"/>
      <w:r>
        <w:t xml:space="preserve">Discount Rate</w:t>
      </w:r>
    </w:p>
    <w:p>
      <w:pPr>
        <w:pStyle w:val="FirstParagraph"/>
      </w:pPr>
      <w:r>
        <w:rPr>
          <w:i/>
        </w:rPr>
        <w:t xml:space="preserve">(need to update and add methods used to convert to discount rate)</w:t>
      </w:r>
    </w:p>
    <w:p>
      <w:pPr>
        <w:pStyle w:val="BodyText"/>
      </w:pPr>
      <w:r>
        <w:t xml:space="preserve">Individual discount rates are determined for each Caribbean country that incorporate the foreign investment risk associated with that country. 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qre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TableCaption"/>
      </w:pPr>
      <w:r>
        <w:t xml:space="preserve">Description of spatial data layers and criteria used to identify cells suitable for development of offshore aquaculture in the Caribbean</w:t>
      </w:r>
    </w:p>
    <w:tbl>
      <w:tblPr>
        <w:tblStyle w:val="TableNormal"/>
        <w:tblW w:type="pct" w:w="5000.0"/>
        <w:tblLook w:firstRow="1"/>
        <w:tblCaption w:val="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Temperature-growth parameters and linear function constants for cobia</w:t>
      </w:r>
    </w:p>
    <w:tbl>
      <w:tblPr>
        <w:tblStyle w:val="TableNormal"/>
        <w:tblW w:type="pct" w:w="2152.777777777778"/>
        <w:tblLook w:firstRow="1"/>
        <w:tblCaption w:val="Temperature-growth parameters and linear function constants for cobia"/>
      </w:tblPr>
      <w:tblGrid>
        <w:gridCol w:w="264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TableCaption"/>
      </w:pPr>
      <w:r>
        <w:t xml:space="preserve">Table XX: Estimated suitable area (km</w:t>
      </w:r>
      <w:r>
        <w:rPr>
          <w:vertAlign w:val="superscript"/>
        </w:rPr>
        <w:t xml:space="preserve">2</w:t>
      </w:r>
      <w:r>
        <w:t xml:space="preserve"> </w:t>
      </w:r>
      <w:r>
        <w:t xml:space="preserve">by EEZ)</w:t>
      </w:r>
    </w:p>
    <w:tbl>
      <w:tblPr>
        <w:tblStyle w:val="TableNormal"/>
        <w:tblW w:type="pct" w:w="4513.888888888889"/>
        <w:tblLook w:firstRow="1"/>
        <w:tblCaption w:val="Table XX: Estimated suitable area (km2 by EEZ)"/>
      </w:tblPr>
      <w:tblGrid>
        <w:gridCol w:w="2750"/>
        <w:gridCol w:w="2530"/>
        <w:gridCol w:w="1870"/>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of Study Area</w:t>
            </w:r>
          </w:p>
        </w:tc>
      </w:tr>
      <w:tr>
        <w:tc>
          <w:p>
            <w:pPr>
              <w:pStyle w:val="Compact"/>
              <w:jc w:val="center"/>
            </w:pPr>
            <w:r>
              <w:t xml:space="preserve">Study area</w:t>
            </w:r>
          </w:p>
        </w:tc>
        <w:tc>
          <w:p>
            <w:pPr>
              <w:pStyle w:val="Compact"/>
              <w:jc w:val="center"/>
            </w:pPr>
            <w:r>
              <w:t xml:space="preserve">3e+06</w:t>
            </w:r>
          </w:p>
        </w:tc>
        <w:tc>
          <w:p>
            <w:pPr>
              <w:pStyle w:val="Compact"/>
              <w:jc w:val="center"/>
            </w:pPr>
            <w:r>
              <w:t xml:space="preserve">100</w:t>
            </w:r>
          </w:p>
        </w:tc>
      </w:tr>
      <w:tr>
        <w:tc>
          <w:p>
            <w:pPr>
              <w:pStyle w:val="Compact"/>
              <w:jc w:val="center"/>
            </w:pPr>
            <w:r>
              <w:t xml:space="preserve">Oil platform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Coral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Current speed</w:t>
            </w:r>
          </w:p>
        </w:tc>
        <w:tc>
          <w:p>
            <w:pPr>
              <w:pStyle w:val="Compact"/>
              <w:jc w:val="center"/>
            </w:pPr>
            <w:r>
              <w:t xml:space="preserve">2,811,562</w:t>
            </w:r>
          </w:p>
        </w:tc>
        <w:tc>
          <w:p>
            <w:pPr>
              <w:pStyle w:val="Compact"/>
              <w:jc w:val="center"/>
            </w:pPr>
            <w:r>
              <w:t xml:space="preserve">95</w:t>
            </w:r>
          </w:p>
        </w:tc>
      </w:tr>
      <w:tr>
        <w:tc>
          <w:p>
            <w:pPr>
              <w:pStyle w:val="Compact"/>
              <w:jc w:val="center"/>
            </w:pPr>
            <w:r>
              <w:t xml:space="preserve">MPA presence</w:t>
            </w:r>
          </w:p>
        </w:tc>
        <w:tc>
          <w:p>
            <w:pPr>
              <w:pStyle w:val="Compact"/>
              <w:jc w:val="center"/>
            </w:pPr>
            <w:r>
              <w:t xml:space="preserve">2,779,548</w:t>
            </w:r>
          </w:p>
        </w:tc>
        <w:tc>
          <w:p>
            <w:pPr>
              <w:pStyle w:val="Compact"/>
              <w:jc w:val="center"/>
            </w:pPr>
            <w:r>
              <w:t xml:space="preserve">94</w:t>
            </w:r>
          </w:p>
        </w:tc>
      </w:tr>
      <w:tr>
        <w:tc>
          <w:p>
            <w:pPr>
              <w:pStyle w:val="Compact"/>
              <w:jc w:val="center"/>
            </w:pPr>
            <w:r>
              <w:t xml:space="preserve">High shipping activity</w:t>
            </w:r>
          </w:p>
        </w:tc>
        <w:tc>
          <w:p>
            <w:pPr>
              <w:pStyle w:val="Compact"/>
              <w:jc w:val="center"/>
            </w:pPr>
            <w:r>
              <w:t xml:space="preserve">2,641,628</w:t>
            </w:r>
          </w:p>
        </w:tc>
        <w:tc>
          <w:p>
            <w:pPr>
              <w:pStyle w:val="Compact"/>
              <w:jc w:val="center"/>
            </w:pPr>
            <w:r>
              <w:t xml:space="preserve">89</w:t>
            </w:r>
          </w:p>
        </w:tc>
      </w:tr>
      <w:tr>
        <w:tc>
          <w:p>
            <w:pPr>
              <w:pStyle w:val="Compact"/>
              <w:jc w:val="center"/>
            </w:pPr>
            <w:r>
              <w:t xml:space="preserve">Depth</w:t>
            </w:r>
          </w:p>
        </w:tc>
        <w:tc>
          <w:p>
            <w:pPr>
              <w:pStyle w:val="Compact"/>
              <w:jc w:val="center"/>
            </w:pPr>
            <w:r>
              <w:t xml:space="preserve">63,753</w:t>
            </w:r>
          </w:p>
        </w:tc>
        <w:tc>
          <w:p>
            <w:pPr>
              <w:pStyle w:val="Compact"/>
              <w:jc w:val="center"/>
            </w:pPr>
            <w:r>
              <w:t xml:space="preserve">2.1</w:t>
            </w:r>
          </w:p>
        </w:tc>
      </w:tr>
      <w:tr>
        <w:tc>
          <w:p>
            <w:pPr>
              <w:pStyle w:val="Compact"/>
              <w:jc w:val="center"/>
            </w:pPr>
            <w:r>
              <w:t xml:space="preserve">Final suitable area</w:t>
            </w:r>
          </w:p>
        </w:tc>
        <w:tc>
          <w:p>
            <w:pPr>
              <w:pStyle w:val="Compact"/>
              <w:jc w:val="center"/>
            </w:pPr>
            <w:r>
              <w:t xml:space="preserve">50,381</w:t>
            </w:r>
          </w:p>
        </w:tc>
        <w:tc>
          <w:p>
            <w:pPr>
              <w:pStyle w:val="Compact"/>
              <w:jc w:val="center"/>
            </w:pPr>
            <w:r>
              <w:t xml:space="preserve">1.7</w:t>
            </w: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64" w:name="removed-text-just-in-case-we-need-later"/>
      <w:bookmarkEnd w:id="64"/>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65">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66">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67">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68">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69">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DeCew, J., K. Baldwin, B. Celikkol, M. Chambers, D. W. Fredriksson, J. Irish, R. Langan, G. Rice, M. R. Swift, and I. Tsukrov. 2010. “Assessment of a Submerged Grid Mooring in the Gulf of Maine.” In</w:t>
      </w:r>
      <w:r>
        <w:t xml:space="preserve"> </w:t>
      </w:r>
      <w:r>
        <w:rPr>
          <w:i/>
        </w:rPr>
        <w:t xml:space="preserve">OCEANS 2010 MTS/IEEE SEATTLE</w:t>
      </w:r>
      <w:r>
        <w:t xml:space="preserve">, 1–9. doi:</w:t>
      </w:r>
      <w:hyperlink r:id="rId70">
        <w:r>
          <w:rPr>
            <w:rStyle w:val="Hyperlink"/>
          </w:rPr>
          <w:t xml:space="preserve">10.1109/OCEANS.2010.5664025</w:t>
        </w:r>
      </w:hyperlink>
      <w:r>
        <w:t xml:space="preserve">.</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71">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72">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73">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74">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75">
        <w:r>
          <w:rPr>
            <w:rStyle w:val="Hyperlink"/>
          </w:rPr>
          <w:t xml:space="preserve">10.1002/ece3.2637</w:t>
        </w:r>
      </w:hyperlink>
      <w:r>
        <w:t xml:space="preserve">.</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76">
        <w:r>
          <w:rPr>
            <w:rStyle w:val="Hyperlink"/>
          </w:rPr>
          <w:t xml:space="preserve">10.1007/s10499-010-9391-y</w:t>
        </w:r>
      </w:hyperlink>
      <w:r>
        <w:t xml:space="preserve">.</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77">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78">
        <w:r>
          <w:rPr>
            <w:rStyle w:val="Hyperlink"/>
          </w:rPr>
          <w:t xml:space="preserve">10.1016/j.gloenvcha.2012.03.003</w:t>
        </w:r>
      </w:hyperlink>
      <w:r>
        <w:t xml:space="preserve">.</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79">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Van Wyk, Petrer, and Megan Davis. 2006. “Integrating Aquaculture into Caribbean Development: Selection of Marine Species.”</w:t>
      </w:r>
    </w:p>
    <w:p>
      <w:pPr>
        <w:pStyle w:val="Bibliography"/>
      </w:pPr>
      <w:r>
        <w:t xml:space="preserve">VLIZ. 2014. “Maritime Boundaries Geodatabase, Version 8.”</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d7862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d2b2e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6" Target="media/rId56.jp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hyperlink" Id="rId27" Target="https://cran.r-project.org/web/packages/raster/index.html" TargetMode="External" /><Relationship Type="http://schemas.openxmlformats.org/officeDocument/2006/relationships/hyperlink" Id="rId79" Target="https://doi.org/10.1002/9781119154051.ch19" TargetMode="External" /><Relationship Type="http://schemas.openxmlformats.org/officeDocument/2006/relationships/hyperlink" Id="rId75" Target="https://doi.org/10.1002/ece3.2637" TargetMode="External" /><Relationship Type="http://schemas.openxmlformats.org/officeDocument/2006/relationships/hyperlink" Id="rId76" Target="https://doi.org/10.1007/s10499-010-9391-y" TargetMode="External" /><Relationship Type="http://schemas.openxmlformats.org/officeDocument/2006/relationships/hyperlink" Id="rId68" Target="https://doi.org/10.1016/S1546-5098(08)60033-3" TargetMode="External" /><Relationship Type="http://schemas.openxmlformats.org/officeDocument/2006/relationships/hyperlink" Id="rId67" Target="https://doi.org/10.1016/j.aquaculture.2010.02.021" TargetMode="External" /><Relationship Type="http://schemas.openxmlformats.org/officeDocument/2006/relationships/hyperlink" Id="rId65" Target="https://doi.org/10.1016/j.aquaculture.2013.05.020" TargetMode="External" /><Relationship Type="http://schemas.openxmlformats.org/officeDocument/2006/relationships/hyperlink" Id="rId72" Target="https://doi.org/10.1016/j.aquaeng.2004.05.001" TargetMode="External" /><Relationship Type="http://schemas.openxmlformats.org/officeDocument/2006/relationships/hyperlink" Id="rId78" Target="https://doi.org/10.1016/j.gloenvcha.2012.03.003" TargetMode="External" /><Relationship Type="http://schemas.openxmlformats.org/officeDocument/2006/relationships/hyperlink" Id="rId74" Target="https://doi.org/10.1038/s41559-017-0257-9" TargetMode="External" /><Relationship Type="http://schemas.openxmlformats.org/officeDocument/2006/relationships/hyperlink" Id="rId69" Target="https://doi.org/10.1073/pnas.1520420113" TargetMode="External" /><Relationship Type="http://schemas.openxmlformats.org/officeDocument/2006/relationships/hyperlink" Id="rId77" Target="https://doi.org/10.1080/13657305.2015.994240" TargetMode="External" /><Relationship Type="http://schemas.openxmlformats.org/officeDocument/2006/relationships/hyperlink" Id="rId71" Target="https://doi.org/10.1080/23308249.2015.1088821" TargetMode="External" /><Relationship Type="http://schemas.openxmlformats.org/officeDocument/2006/relationships/hyperlink" Id="rId70" Target="https://doi.org/10.1109/OCEANS.2010.5664025" TargetMode="External" /><Relationship Type="http://schemas.openxmlformats.org/officeDocument/2006/relationships/hyperlink" Id="rId73" Target="https://doi.org/10.3389/fmars.2017.00154" TargetMode="External" /><Relationship Type="http://schemas.openxmlformats.org/officeDocument/2006/relationships/hyperlink" Id="rId66"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27" Target="https://cran.r-project.org/web/packages/raster/index.html" TargetMode="External" /><Relationship Type="http://schemas.openxmlformats.org/officeDocument/2006/relationships/hyperlink" Id="rId79" Target="https://doi.org/10.1002/9781119154051.ch19" TargetMode="External" /><Relationship Type="http://schemas.openxmlformats.org/officeDocument/2006/relationships/hyperlink" Id="rId75" Target="https://doi.org/10.1002/ece3.2637" TargetMode="External" /><Relationship Type="http://schemas.openxmlformats.org/officeDocument/2006/relationships/hyperlink" Id="rId76" Target="https://doi.org/10.1007/s10499-010-9391-y" TargetMode="External" /><Relationship Type="http://schemas.openxmlformats.org/officeDocument/2006/relationships/hyperlink" Id="rId68" Target="https://doi.org/10.1016/S1546-5098(08)60033-3" TargetMode="External" /><Relationship Type="http://schemas.openxmlformats.org/officeDocument/2006/relationships/hyperlink" Id="rId67" Target="https://doi.org/10.1016/j.aquaculture.2010.02.021" TargetMode="External" /><Relationship Type="http://schemas.openxmlformats.org/officeDocument/2006/relationships/hyperlink" Id="rId65" Target="https://doi.org/10.1016/j.aquaculture.2013.05.020" TargetMode="External" /><Relationship Type="http://schemas.openxmlformats.org/officeDocument/2006/relationships/hyperlink" Id="rId72" Target="https://doi.org/10.1016/j.aquaeng.2004.05.001" TargetMode="External" /><Relationship Type="http://schemas.openxmlformats.org/officeDocument/2006/relationships/hyperlink" Id="rId78" Target="https://doi.org/10.1016/j.gloenvcha.2012.03.003" TargetMode="External" /><Relationship Type="http://schemas.openxmlformats.org/officeDocument/2006/relationships/hyperlink" Id="rId74" Target="https://doi.org/10.1038/s41559-017-0257-9" TargetMode="External" /><Relationship Type="http://schemas.openxmlformats.org/officeDocument/2006/relationships/hyperlink" Id="rId69" Target="https://doi.org/10.1073/pnas.1520420113" TargetMode="External" /><Relationship Type="http://schemas.openxmlformats.org/officeDocument/2006/relationships/hyperlink" Id="rId77" Target="https://doi.org/10.1080/13657305.2015.994240" TargetMode="External" /><Relationship Type="http://schemas.openxmlformats.org/officeDocument/2006/relationships/hyperlink" Id="rId71" Target="https://doi.org/10.1080/23308249.2015.1088821" TargetMode="External" /><Relationship Type="http://schemas.openxmlformats.org/officeDocument/2006/relationships/hyperlink" Id="rId70" Target="https://doi.org/10.1109/OCEANS.2010.5664025" TargetMode="External" /><Relationship Type="http://schemas.openxmlformats.org/officeDocument/2006/relationships/hyperlink" Id="rId73" Target="https://doi.org/10.3389/fmars.2017.00154" TargetMode="External" /><Relationship Type="http://schemas.openxmlformats.org/officeDocument/2006/relationships/hyperlink" Id="rId66"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2018-03-03T01:32:05Z</dcterms:created>
  <dcterms:modified xsi:type="dcterms:W3CDTF">2018-03-03T01:32:05Z</dcterms:modified>
</cp:coreProperties>
</file>