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1.png" ContentType="image/png"/>
  <Override PartName="/word/media/rId35.png" ContentType="image/png"/>
  <Override PartName="/word/media/rId34.png" ContentType="image/png"/>
  <Override PartName="/word/media/rId33.png" ContentType="image/png"/>
  <Override PartName="/word/media/rId31.png" ContentType="image/png"/>
  <Override PartName="/word/media/rId42.jpg" ContentType="image/jpeg"/>
  <Override PartName="/word/media/rId44.png" ContentType="image/png"/>
  <Override PartName="/word/media/rId32.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14</w:t>
      </w:r>
      <w:r>
        <w:t xml:space="preserve"> </w:t>
      </w:r>
      <w:r>
        <w:t xml:space="preserve">March,</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78.7 million metric tons (MMT) of seafood annually, an amount roughly equal to the total global production from capture fisheries (~80 MMT). Of this area, 24,046 km</w:t>
      </w:r>
      <w:r>
        <w:rPr>
          <w:vertAlign w:val="superscript"/>
        </w:rPr>
        <w:t xml:space="preserve">2</w:t>
      </w:r>
      <w:r>
        <w:t xml:space="preserve"> </w:t>
      </w:r>
      <w:r>
        <w:t xml:space="preserve">(0.81%) is economically viable given our estimates of current production costs, with the potential to produce 40.7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A shapefile from VLIZ</w:t>
      </w:r>
      <w:r>
        <w:t xml:space="preserve"> </w:t>
      </w:r>
      <w:r>
        <w:t xml:space="preserve">(</w:t>
      </w:r>
      <w:r>
        <w:rPr>
          <w:b/>
        </w:rPr>
        <w:t xml:space="preserve">???</w:t>
      </w:r>
      <w:r>
        <w:t xml:space="preserve">)</w:t>
      </w:r>
      <w:r>
        <w:t xml:space="preserve"> </w:t>
      </w:r>
      <w:r>
        <w:t xml:space="preserve">is used to define the EEZ boundaries 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Open Blue 2016).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rPr>
          <w:b/>
        </w:rPr>
        <w:t xml:space="preserve">scott_offshore_2000</w:t>
      </w:r>
      <w:r>
        <w:t xml:space="preserve">;</w:t>
      </w:r>
      <w:r>
        <w:t xml:space="preserve"> </w:t>
      </w:r>
      <w:r>
        <w:t xml:space="preserve">(Kapetsky, Aguilar-Manjarrez, and Jenness 2013)</w:t>
      </w:r>
      <w:r>
        <w:t xml:space="preserve">. We use spatial bathymetry data from XX and determine the absolute maximum zonal and meridional current velcocities using data on daily averages over a 10-year period (2005 - 2015) from XX 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 (REF). Nutrient pollution from fish farms can be associated with algal blooms, reduced water quality and clarity, and low oxygen conditions, all of which can be damaging to coral reef ecosystems (Ref).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(data sources), areas with benthic oil structures (data sources), and areas permitted for deep sea bed mining exploration (data sources), assuming they are not suitable for offshore mariculture development.</w:t>
      </w:r>
    </w:p>
    <w:p>
      <w:pPr>
        <w:pStyle w:val="Heading2"/>
      </w:pPr>
      <w:bookmarkStart w:id="26" w:name="growth-potential"/>
      <w:bookmarkEnd w:id="26"/>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(Klinger, Levin, and Watson 2017)</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27" w:name="bioeconomic-model"/>
      <w:bookmarkEnd w:id="27"/>
      <w:r>
        <w:t xml:space="preserve">Bioeconomic Model</w:t>
      </w:r>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w:t>
      </w:r>
      <w:r>
        <w:rPr>
          <w:b/>
        </w:rPr>
        <w:t xml:space="preserve">???</w:t>
      </w:r>
      <w:r>
        <w:t xml:space="preserve">)</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28" w:name="growth-model"/>
      <w:bookmarkEnd w:id="28"/>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BodyText"/>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w:t>
      </w:r>
      <w:r>
        <w:rPr>
          <w:b/>
        </w:rPr>
        <w:t xml:space="preserve">???</w:t>
      </w:r>
      <w:r>
        <w:t xml:space="preserve">)</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for installing the culture system. A 10% increase in cage and installation costs are assigned to sites with depths greater than 50 m to account for a more complex and time consuming installation procedure in deeper water</w:t>
      </w:r>
      <w:r>
        <w:t xml:space="preserve"> </w:t>
      </w:r>
      <w:r>
        <w:t xml:space="preserve">(</w:t>
      </w:r>
      <w:r>
        <w:rPr>
          <w:b/>
        </w:rPr>
        <w:t xml:space="preserve">???</w:t>
      </w:r>
      <w:r>
        <w:t xml:space="preserve">)</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 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FirstParagraph"/>
      </w:pPr>
      <w:r>
        <w:t xml:space="preserve">Farms earn revenue by harvesting market weight (5 kg) cobia. Thus, farms only earn revenue in months where individual fish weight (</w:t>
      </w:r>
      <m:oMath>
        <m:r>
          <m:t>w</m:t>
        </m:r>
      </m:oMath>
      <w:r>
        <w:t xml:space="preserve">) reaches 5 kg. In these months, farm revenue is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are calculated for each farm across a range of prices ($1-$12 per kg).</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Defining appropriate discount rates in bioeconomic models is often difficult and depends on many factors, particularly the cost of capital and project risk [REF]. As a result, we run our bioeconomic model under two different discount rate assumptions. In the first scenario, we assume a fixed discount rate of 10% across all farms, which is based on the average discount rate of 10.6% found in a meta-analysis of published bioeconomic models for aquaculture from the last 25 years</w:t>
      </w:r>
      <w:r>
        <w:t xml:space="preserve"> </w:t>
      </w:r>
      <w:r>
        <w:t xml:space="preserve">(</w:t>
      </w:r>
      <w:r>
        <w:rPr>
          <w:b/>
        </w:rPr>
        <w:t xml:space="preserve">???</w:t>
      </w:r>
      <w:r>
        <w:t xml:space="preserve">)</w:t>
      </w:r>
      <w:r>
        <w:t xml:space="preserve">. However, lack of foreign investment due to perceived financial risk has been identfied as a major barrier to aquaculture development in the Caribbean (REF). Investment risk can be represented by adjusting the discount rate accordingly when estimating returns on an investment. Therefore, our second scenario uses EEZ-specific discount rates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w:t>
      </w:r>
      <w:r>
        <w:rPr>
          <w:b/>
        </w:rPr>
        <w:t xml:space="preserve">???</w:t>
      </w:r>
      <w:r>
        <w:t xml:space="preserve">)</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X). Risk scores were then used to scale EEZ-specific discount rates (Table 1)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BodyText"/>
      </w:pPr>
      <w:r>
        <w:t xml:space="preserve">For both discount rate scenarios, we calculate the 10-year NPV for each farm:</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(10% or EEZ-specific). In subsequent analyses, only farms with a positive 10-year NPV are considered feasible for development.</w:t>
      </w:r>
    </w:p>
    <w:p>
      <w:pPr>
        <w:pStyle w:val="Heading1"/>
      </w:pPr>
      <w:bookmarkStart w:id="29" w:name="results"/>
      <w:bookmarkEnd w:id="29"/>
      <w:r>
        <w:t xml:space="preserve">Results</w:t>
      </w:r>
    </w:p>
    <w:p>
      <w:pPr>
        <w:pStyle w:val="Heading2"/>
      </w:pPr>
      <w:bookmarkStart w:id="30" w:name="suitability"/>
      <w:bookmarkEnd w:id="30"/>
      <w:r>
        <w:t xml:space="preserve">Suitability</w:t>
      </w:r>
    </w:p>
    <w:p>
      <w:pPr>
        <w:pStyle w:val="FirstParagraph"/>
      </w:pPr>
      <w:r>
        <w:t xml:space="preserve">According for some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Depth was the largest constraining factor in the suitability analysis, as XX% of our study area fell outside the depth range (25 - 100 m) that we considered technically feasible for offshore farm infrastructure. By comparison, our second largest constraining factor was shipping activity, which only excluded XX% of our study area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and clustering of suitable sites differs considerably among them (Figure 1; see Figure SX for the full Caribbean suitability map).</w:t>
      </w:r>
    </w:p>
    <w:p>
      <w:pPr>
        <w:pStyle w:val="FigureWithCaption"/>
      </w:pPr>
      <w:r>
        <w:drawing>
          <wp:inline>
            <wp:extent cx="5334000" cy="1778000"/>
            <wp:effectExtent b="0" l="0" r="0" t="0"/>
            <wp:docPr descr="Figure 1. Results of the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Users/lennonthomas/Box%20Sync/Waitt%20Institute/Blue%20Halo%202016/Carib_aqua_16/results/2018-02-27_est/Figures/eez_suitable_map_zoom.png" id="0" name="Picture"/>
                    <pic:cNvPicPr>
                      <a:picLocks noChangeArrowheads="1" noChangeAspect="1"/>
                    </pic:cNvPicPr>
                  </pic:nvPicPr>
                  <pic:blipFill>
                    <a:blip r:embed="rId3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the suitability analysis for the Bahamas, Jamaica, and Trinidad and Tobago. The orange areas represent areas that are potentially suitable for offshore mariculture</w:t>
      </w:r>
    </w:p>
    <w:p>
      <w:pPr>
        <w:pStyle w:val="BodyText"/>
      </w:pPr>
      <w:r>
        <w:t xml:space="preserve">Both The Bahamas and Trinidad and Tobago have more than twice the suitable area of the country with the next largest amount of suitable area (Jamaica; Table 1). The large suitable area in the Bahamas can be attributed to its relatively large EEZ (Table 1;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1).</w:t>
      </w:r>
    </w:p>
    <w:p>
      <w:pPr>
        <w:pStyle w:val="TableCaption"/>
      </w:pPr>
      <w:r>
        <w:t xml:space="preserve">Estimated suitable area (km</w:t>
      </w:r>
      <w:r>
        <w:rPr>
          <w:vertAlign w:val="superscript"/>
        </w:rPr>
        <w:t xml:space="preserve">2</w:t>
      </w:r>
      <w:r>
        <w:t xml:space="preserve"> </w:t>
      </w:r>
      <w:r>
        <w:t xml:space="preserve">by EEZ)</w:t>
      </w:r>
    </w:p>
    <w:tbl>
      <w:tblPr>
        <w:tblStyle w:val="TableNormal"/>
        <w:tblW w:type="pct" w:w="5000.0"/>
        <w:tblLook w:firstRow="1"/>
        <w:tblCaption w:val="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10</w:t>
            </w:r>
          </w:p>
        </w:tc>
        <w:tc>
          <w:p>
            <w:pPr>
              <w:pStyle w:val="Compact"/>
              <w:jc w:val="center"/>
            </w:pPr>
            <w:r>
              <w:t xml:space="preserve">0.00</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14</w:t>
            </w:r>
          </w:p>
        </w:tc>
        <w:tc>
          <w:p>
            <w:pPr>
              <w:pStyle w:val="Compact"/>
              <w:jc w:val="center"/>
            </w:pPr>
            <w:r>
              <w:t xml:space="preserve">0.00</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1,569</w:t>
            </w:r>
          </w:p>
        </w:tc>
        <w:tc>
          <w:p>
            <w:pPr>
              <w:pStyle w:val="Compact"/>
              <w:jc w:val="center"/>
            </w:pPr>
            <w:r>
              <w:t xml:space="preserve">0.45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4,522</w:t>
            </w:r>
          </w:p>
        </w:tc>
        <w:tc>
          <w:p>
            <w:pPr>
              <w:pStyle w:val="Compact"/>
              <w:jc w:val="center"/>
            </w:pPr>
            <w:r>
              <w:t xml:space="preserve">1.76</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79</w:t>
            </w:r>
          </w:p>
        </w:tc>
        <w:tc>
          <w:p>
            <w:pPr>
              <w:pStyle w:val="Compact"/>
              <w:jc w:val="center"/>
            </w:pPr>
            <w:r>
              <w:t xml:space="preserve">0.04</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1,495</w:t>
            </w:r>
          </w:p>
        </w:tc>
        <w:tc>
          <w:p>
            <w:pPr>
              <w:pStyle w:val="Compact"/>
              <w:jc w:val="center"/>
            </w:pPr>
            <w:r>
              <w:t xml:space="preserve">0.97</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0</w:t>
            </w:r>
          </w:p>
        </w:tc>
        <w:tc>
          <w:p>
            <w:pPr>
              <w:pStyle w:val="Compact"/>
              <w:jc w:val="center"/>
            </w:pPr>
            <w:r>
              <w:t xml:space="preserve">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1,073</w:t>
            </w:r>
          </w:p>
        </w:tc>
        <w:tc>
          <w:p>
            <w:pPr>
              <w:pStyle w:val="Compact"/>
              <w:jc w:val="center"/>
            </w:pPr>
            <w:r>
              <w:t xml:space="preserve">0.96</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1,212</w:t>
            </w:r>
          </w:p>
        </w:tc>
        <w:tc>
          <w:p>
            <w:pPr>
              <w:pStyle w:val="Compact"/>
              <w:jc w:val="center"/>
            </w:pPr>
            <w:r>
              <w:t xml:space="preserve">1.18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0</w:t>
            </w:r>
          </w:p>
        </w:tc>
        <w:tc>
          <w:p>
            <w:pPr>
              <w:pStyle w:val="Compact"/>
              <w:jc w:val="center"/>
            </w:pPr>
            <w:r>
              <w:t xml:space="preserve">0</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92</w:t>
            </w:r>
          </w:p>
        </w:tc>
        <w:tc>
          <w:p>
            <w:pPr>
              <w:pStyle w:val="Compact"/>
              <w:jc w:val="center"/>
            </w:pPr>
            <w:r>
              <w:t xml:space="preserve">0.10</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116</w:t>
            </w:r>
          </w:p>
        </w:tc>
        <w:tc>
          <w:p>
            <w:pPr>
              <w:pStyle w:val="Compact"/>
              <w:jc w:val="center"/>
            </w:pPr>
            <w:r>
              <w:t xml:space="preserve">0.14</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9,333</w:t>
            </w:r>
          </w:p>
        </w:tc>
        <w:tc>
          <w:p>
            <w:pPr>
              <w:pStyle w:val="Compact"/>
              <w:jc w:val="center"/>
            </w:pPr>
            <w:r>
              <w:t xml:space="preserve">12.24</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0</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1,371</w:t>
            </w:r>
          </w:p>
        </w:tc>
        <w:tc>
          <w:p>
            <w:pPr>
              <w:pStyle w:val="Compact"/>
              <w:jc w:val="center"/>
            </w:pPr>
            <w:r>
              <w:t xml:space="preserve">3.79</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0</w:t>
            </w:r>
          </w:p>
        </w:tc>
        <w:tc>
          <w:p>
            <w:pPr>
              <w:pStyle w:val="Compact"/>
              <w:jc w:val="center"/>
            </w:pPr>
            <w:r>
              <w:t xml:space="preserve">0</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69</w:t>
            </w:r>
          </w:p>
        </w:tc>
        <w:tc>
          <w:p>
            <w:pPr>
              <w:pStyle w:val="Compact"/>
              <w:jc w:val="center"/>
            </w:pPr>
            <w:r>
              <w:t xml:space="preserve">0.27</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280</w:t>
            </w:r>
          </w:p>
        </w:tc>
        <w:tc>
          <w:p>
            <w:pPr>
              <w:pStyle w:val="Compact"/>
              <w:jc w:val="center"/>
            </w:pPr>
            <w:r>
              <w:t xml:space="preserve">1.83</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38</w:t>
            </w:r>
          </w:p>
        </w:tc>
        <w:tc>
          <w:p>
            <w:pPr>
              <w:pStyle w:val="Compact"/>
              <w:jc w:val="center"/>
            </w:pPr>
            <w:r>
              <w:t xml:space="preserve">0.29</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248</w:t>
            </w:r>
          </w:p>
        </w:tc>
        <w:tc>
          <w:p>
            <w:pPr>
              <w:pStyle w:val="Compact"/>
              <w:jc w:val="center"/>
            </w:pPr>
            <w:r>
              <w:t xml:space="preserve">2.63</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0</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BodyText"/>
      </w:pPr>
      <w:r>
        <w:t xml:space="preserve">Ignoring economic constraints, the Caribbean’s potential to produce cobia from mariculture is extremely large, with an approximate annual production of 78.7 MMT if all suitable sites were developed with cobia farms.</w:t>
      </w:r>
    </w:p>
    <w:p>
      <w:pPr>
        <w:pStyle w:val="FigureWithCaption"/>
      </w:pPr>
      <w:r>
        <w:drawing>
          <wp:inline>
            <wp:extent cx="5334000" cy="4445000"/>
            <wp:effectExtent b="0" l="0" r="0" t="0"/>
            <wp:docPr descr="Figure 2. Estimated total production of cobia (MT) using if all suitable areas (not accounting for economic constraints) are developed as offshore mariculture farms" title="" id="1" name="Picture"/>
            <a:graphic>
              <a:graphicData uri="http://schemas.openxmlformats.org/drawingml/2006/picture">
                <pic:pic>
                  <pic:nvPicPr>
                    <pic:cNvPr descr="/Users/lennonthomas/Box%20Sync/Waitt%20Institute/Blue%20Halo%202016/Carib_aqua_16/results/2018-02-27_est/Figures/total_prod_map.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(not accounting for economic constraints) are developed as offshore mariculture farms</w:t>
      </w:r>
    </w:p>
    <w:p>
      <w:pPr>
        <w:pStyle w:val="BodyText"/>
      </w:pPr>
      <w:r>
        <w:t xml:space="preserve">Variability in average annual EEZ-level production is largely driven by the amount of area that was identified as suitable within each EEZ (Table 2; Figure 2). Cobia growth is a function of temperature and, in addition to the amount of suitable area available, is a major factor for cobia production. Not surprisingly then, average cobia growth (kg/month) shows a clear seasonal trend, which varies across EEZs (Figure SX).</w:t>
      </w:r>
    </w:p>
    <w:p>
      <w:pPr>
        <w:pStyle w:val="BodyText"/>
      </w:pPr>
      <w:r>
        <w:t xml:space="preserve">When economics are considered, the Caribbean’s potential for offshore cobia mariculture is considerably reduced relative to when only suitability and temperature-dependent growth are considered (Figure 2). Under the current prices and costs associated with cobia farming and assuming a 10% discount rate, none of the suitable sites in numerous countries are profitable, including Aruba, the Turks and Caicos Islands, the US Virgin Islands, Montserrat, and the Cayman Islands (Figure 3A). In the Bahamas, which has the largest amount of suitable area, average annual production declines from 19.1 MMT to just 16,379 MMT, and total annual production for the Caribbean is reduced to 40.7 MMT. The number of countries with economically viable farming areas is further reduced if the country-specific risk of investment is considered, with profitable farms remaining only in Trinidad and Tobago, Jamaica, the Dominican Republic, Haiti, and Anguilla (Figure 3B). Using EEZ-specific risk adjusted discount rates, total potential annual production for the Caribbean is 7 MMT.</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Users/lennonthomas/Box%20Sync/Waitt%20Institute/Blue%20Halo%202016/Carib_aqua_16/results/2018-02-27_est/Figures/disc_scenario_prod_map.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BodyText"/>
      </w:pPr>
      <w:r>
        <w:t xml:space="preserve">At the farm level, the median cobia farm occupying a 1-km</w:t>
      </w:r>
      <w:r>
        <w:rPr>
          <w:vertAlign w:val="superscript"/>
        </w:rPr>
        <w:t xml:space="preserve">2</w:t>
      </w:r>
      <w:r>
        <w:t xml:space="preserve"> </w:t>
      </w:r>
      <w:r>
        <w:t xml:space="preserve">site in the Caribbean yields an annual supply and 10 year NPV of 13,942 MT and $972,992, respectively. Production and NPV are highly variable across farms in Jamaica, Haiti, and the Dominican Republic, but relatively more consistent within the other EEZs (Figure 4). EEZs with more farm to farm variability in outcomes, particularly those where some sites are highly profitable and others are unprofitable (Fig. 4), represent countries where strategic site selection is particularly important. The variability across EEZs is largely driven by temperature driven growth rates and resulting farm differences in the length of time required to raise cobia to a market size of 5 kg, with the median farm in the Caribbean completing a harvest cycle in X months but with individual farms having harvest cycles from x months to x months.</w:t>
      </w:r>
    </w:p>
    <w:p>
      <w:pPr>
        <w:pStyle w:val="FigureWithCaption"/>
      </w:pPr>
      <w:r>
        <w:drawing>
          <wp:inline>
            <wp:extent cx="5334000" cy="6667500"/>
            <wp:effectExtent b="0" l="0" r="0" t="0"/>
            <wp:docPr descr="Figure 4: NPV (10% discount rate) and annual supply of cobia aquaculture per farm by Caribbean EEZ" title="" id="1" name="Picture"/>
            <a:graphic>
              <a:graphicData uri="http://schemas.openxmlformats.org/drawingml/2006/picture">
                <pic:pic>
                  <pic:nvPicPr>
                    <pic:cNvPr descr="/Users/lennonthomas/Box%20Sync/Waitt%20Institute/Blue%20Halo%202016/Carib_aqua_16/results/2018-02-27_est/Figures/cntry_boxplot.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(10% discount rate) and annual supply of cobia aquaculture per farm by Caribbean EEZ</w:t>
      </w:r>
    </w:p>
    <w:p>
      <w:pPr>
        <w:pStyle w:val="BodyText"/>
      </w:pPr>
      <w:r>
        <w:t xml:space="preserve">Growth rates and harvest cycle length then impacts feed costs and the number of harvests events per 10 year period. For example, in the Bahamas, which has a large area suitable for aquaculture but a long average harvest cycle across all farms due to cooler waters, the majority of the suitable farm sites are unprofitable (Figures 2 and 3).</w:t>
      </w:r>
    </w:p>
    <w:p>
      <w:pPr>
        <w:pStyle w:val="BodyText"/>
      </w:pPr>
      <w:r>
        <w:t xml:space="preserve">Feed is well known to account for the largest portion of operating costs in aquaculture (REF). Our findings support this conclusion, with the median farm spending 90% of operating costs on feed. However, given that economic forces and technological innovation are driving promising advances in feed technology, particularly fishmeal and fish oil alternatives (refs), we chose to explore results where current feed costs ($1.65/kg) are reduced by 10% (Figure 5). This reduction could increase cobia supply by 35%. This change would increase the revenue for farms in Aruba, the Turks and Caicos Islands, the US Virgin Islands, Montserrat, and the Cayman Islands to profitable levels. Whether or not feed costs decline, no farms in the Caribbean will be profitable if the price for cobia drops below $8/kg.</w:t>
      </w:r>
    </w:p>
    <w:p>
      <w:pPr>
        <w:pStyle w:val="FigureWithCaption"/>
      </w:pPr>
      <w:r>
        <w:drawing>
          <wp:inline>
            <wp:extent cx="5334000" cy="4267200"/>
            <wp:effectExtent b="0" l="0" r="0" t="0"/>
            <wp:docPr descr="Figure 3. Cobia supply curves under current feed costs ($1.65/kg) and a 10% reduction in feed cost." title="" id="1" name="Picture"/>
            <a:graphic>
              <a:graphicData uri="http://schemas.openxmlformats.org/drawingml/2006/picture">
                <pic:pic>
                  <pic:nvPicPr>
                    <pic:cNvPr descr="/Users/lennonthomas/Box%20Sync/Waitt%20Institute/Blue%20Halo%202016/Carib_aqua_16/results/2018-02-27_est/Figures/carib_supply_curves.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Cobia supply curves under current feed costs ($1.65/kg) and a 10% reduction in feed cost.</w:t>
      </w:r>
    </w:p>
    <w:p>
      <w:pPr>
        <w:pStyle w:val="BodyText"/>
      </w:pPr>
      <w:r>
        <w:rPr>
          <w:b/>
        </w:rPr>
        <w:t xml:space="preserve">INSERT SUMMARY TABLE OF ALL THREE SCENARIO RESULTS</w:t>
      </w:r>
    </w:p>
    <w:p>
      <w:pPr>
        <w:pStyle w:val="Heading1"/>
      </w:pPr>
      <w:bookmarkStart w:id="36" w:name="discussion"/>
      <w:bookmarkEnd w:id="36"/>
      <w:r>
        <w:t xml:space="preserve">Discussion</w:t>
      </w:r>
    </w:p>
    <w:p>
      <w:pPr>
        <w:pStyle w:val="FirstParagraph"/>
      </w:pPr>
      <w:r>
        <w:t xml:space="preserve">The total annual production of 78.7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184.2 km</w:t>
      </w:r>
      <w:r>
        <w:rPr>
          <w:vertAlign w:val="superscript"/>
        </w:rPr>
        <w:t xml:space="preserve">2</w:t>
      </w:r>
      <w:r>
        <w:t xml:space="preserve"> </w:t>
      </w:r>
      <w:r>
        <w:t xml:space="preserve">(0.006%) of its marine space.</w:t>
      </w:r>
    </w:p>
    <w:p>
      <w:pPr>
        <w:pStyle w:val="Heading1"/>
      </w:pPr>
      <w:bookmarkStart w:id="37" w:name="references"/>
      <w:bookmarkEnd w:id="37"/>
      <w:r>
        <w:t xml:space="preserve">References</w:t>
      </w:r>
    </w:p>
    <w:p>
      <w:pPr>
        <w:pStyle w:val="Heading1"/>
      </w:pPr>
      <w:bookmarkStart w:id="38" w:name="supplementary-information"/>
      <w:bookmarkEnd w:id="38"/>
      <w:r>
        <w:t xml:space="preserve">Supplementary Information</w:t>
      </w:r>
    </w:p>
    <w:p>
      <w:pPr>
        <w:pStyle w:val="Heading4"/>
      </w:pPr>
      <w:bookmarkStart w:id="39" w:name="risk-adjusted-discount-rate"/>
      <w:bookmarkEnd w:id="39"/>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Users/lennonthomas/Box%20Sync/Waitt%20Institute/Blue%20Halo%202016/Carib_aqua_16/results/carib_seafood_production.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ture in the Caribbean" title="" id="1" name="Picture"/>
            <a:graphic>
              <a:graphicData uri="http://schemas.openxmlformats.org/drawingml/2006/picture">
                <pic:pic>
                  <pic:nvPicPr>
                    <pic:cNvPr descr="/Users/lennonthomas/Box%20Sync/Waitt%20Institute/Blue%20Halo%202016/Carib_aqua_16/results/2018-02-27_est/Figures/carib_suit_area.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mariculture in the Caribbean</w:t>
      </w:r>
    </w:p>
    <w:p>
      <w:pPr>
        <w:pStyle w:val="FigureWithCaption"/>
      </w:pPr>
      <w:r>
        <w:drawing>
          <wp:inline>
            <wp:extent cx="5334000" cy="5334000"/>
            <wp:effectExtent b="0" l="0" r="0" t="0"/>
            <wp:docPr descr="Average harvest cycle length (months) by farm" title="" id="1" name="Picture"/>
            <a:graphic>
              <a:graphicData uri="http://schemas.openxmlformats.org/drawingml/2006/picture">
                <pic:pic>
                  <pic:nvPicPr>
                    <pic:cNvPr descr="/Users/lennonthomas/Box%20Sync/Waitt%20Institute/Blue%20Halo%202016/Carib_aqua_16/results/2018-02-27_est/Figures/harv_length_hist.jpe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harvest cycle length (months) by farm</w:t>
      </w:r>
    </w:p>
    <w:p>
      <w:pPr>
        <w:pStyle w:val="FigureWithCaption"/>
      </w:pPr>
      <w:r>
        <w:drawing>
          <wp:inline>
            <wp:extent cx="5334000" cy="5334000"/>
            <wp:effectExtent b="0" l="0" r="0" t="0"/>
            <wp:docPr descr="Average growth of cobia by month" title="" id="1" name="Picture"/>
            <a:graphic>
              <a:graphicData uri="http://schemas.openxmlformats.org/drawingml/2006/picture">
                <pic:pic>
                  <pic:nvPicPr>
                    <pic:cNvPr descr="/Users/lennonthomas/Box%20Sync/Waitt%20Institute/Blue%20Halo%202016/Carib_aqua_16/results/2018-02-27_est/Figures/EEZ_avg_growth.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growth of cobia by month</w:t>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Users/lennonthomas/Box%20Sync/Waitt%20Institute/Blue%20Halo%202016/Carib_aqua_16/results/2018-02-27_est/Figures/production.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Temperature-growth parameters and linear function constants for cobia</w:t>
      </w:r>
    </w:p>
    <w:tbl>
      <w:tblPr>
        <w:tblStyle w:val="TableNormal"/>
        <w:tblW w:type="pct" w:w="2152.777777777778"/>
        <w:tblLook w:firstRow="1"/>
        <w:tblCaption w:val="Table S2. Temperature-growth parameters and linear function constants for cobia"/>
      </w:tblPr>
      <w:tblGrid>
        <w:gridCol w:w="264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2"/>
      </w:pPr>
      <w:bookmarkStart w:id="45" w:name="removed-text-just-in-case-we-need-later"/>
      <w:bookmarkEnd w:id="45"/>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Heading1"/>
      </w:pPr>
      <w:bookmarkStart w:id="46" w:name="references-1"/>
      <w:bookmarkEnd w:id="46"/>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47">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48">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49">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50">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51">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52">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53">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54">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55">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56">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Klinger, Dane H., Simon A. Levin, and James R. Watson. 2017. “The Growth of Finfish in Global Open-Ocean Aquaculture Under Climate Change.”</w:t>
      </w:r>
      <w:r>
        <w:t xml:space="preserve"> </w:t>
      </w:r>
      <w:r>
        <w:rPr>
          <w:i/>
        </w:rPr>
        <w:t xml:space="preserve">Proc. R. Soc. B</w:t>
      </w:r>
      <w:r>
        <w:t xml:space="preserve"> </w:t>
      </w:r>
      <w:r>
        <w:t xml:space="preserve">284 (1864): 20170834. doi:</w:t>
      </w:r>
      <w:hyperlink r:id="rId57">
        <w:r>
          <w:rPr>
            <w:rStyle w:val="Hyperlink"/>
          </w:rPr>
          <w:t xml:space="preserve">10.1098/rspb.2017.0834</w:t>
        </w:r>
      </w:hyperlink>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58">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59">
        <w:r>
          <w:rPr>
            <w:rStyle w:val="Hyperlink"/>
          </w:rPr>
          <w:t xml:space="preserve">10.1016/j.gloenvcha.2012.03.003</w:t>
        </w:r>
      </w:hyperlink>
      <w:r>
        <w:t xml:space="preserve">.</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60">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aa725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hyperlink" Id="rId60" Target="https://doi.org/10.1002/9781119154051.ch19" TargetMode="External" /><Relationship Type="http://schemas.openxmlformats.org/officeDocument/2006/relationships/hyperlink" Id="rId55" Target="https://doi.org/10.1002/ece3.2637" TargetMode="External" /><Relationship Type="http://schemas.openxmlformats.org/officeDocument/2006/relationships/hyperlink" Id="rId56" Target="https://doi.org/10.1007/s10499-010-9391-y" TargetMode="External" /><Relationship Type="http://schemas.openxmlformats.org/officeDocument/2006/relationships/hyperlink" Id="rId50" Target="https://doi.org/10.1016/S1546-5098(08)60033-3" TargetMode="External" /><Relationship Type="http://schemas.openxmlformats.org/officeDocument/2006/relationships/hyperlink" Id="rId49" Target="https://doi.org/10.1016/j.aquaculture.2010.02.021" TargetMode="External" /><Relationship Type="http://schemas.openxmlformats.org/officeDocument/2006/relationships/hyperlink" Id="rId47" Target="https://doi.org/10.1016/j.aquaculture.2013.05.020" TargetMode="External" /><Relationship Type="http://schemas.openxmlformats.org/officeDocument/2006/relationships/hyperlink" Id="rId59" Target="https://doi.org/10.1016/j.gloenvcha.2012.03.003" TargetMode="External" /><Relationship Type="http://schemas.openxmlformats.org/officeDocument/2006/relationships/hyperlink" Id="rId54" Target="https://doi.org/10.1038/s41559-017-0257-9" TargetMode="External" /><Relationship Type="http://schemas.openxmlformats.org/officeDocument/2006/relationships/hyperlink" Id="rId51" Target="https://doi.org/10.1073/pnas.1520420113" TargetMode="External" /><Relationship Type="http://schemas.openxmlformats.org/officeDocument/2006/relationships/hyperlink" Id="rId58" Target="https://doi.org/10.1080/13657305.2015.994240" TargetMode="External" /><Relationship Type="http://schemas.openxmlformats.org/officeDocument/2006/relationships/hyperlink" Id="rId52" Target="https://doi.org/10.1080/23308249.2015.1088821" TargetMode="External" /><Relationship Type="http://schemas.openxmlformats.org/officeDocument/2006/relationships/hyperlink" Id="rId57" Target="https://doi.org/10.1098/rspb.2017.0834" TargetMode="External" /><Relationship Type="http://schemas.openxmlformats.org/officeDocument/2006/relationships/hyperlink" Id="rId53" Target="https://doi.org/10.3389/fmars.2017.00154" TargetMode="External" /><Relationship Type="http://schemas.openxmlformats.org/officeDocument/2006/relationships/hyperlink" Id="rId48"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2/9781119154051.ch19" TargetMode="External" /><Relationship Type="http://schemas.openxmlformats.org/officeDocument/2006/relationships/hyperlink" Id="rId55" Target="https://doi.org/10.1002/ece3.2637" TargetMode="External" /><Relationship Type="http://schemas.openxmlformats.org/officeDocument/2006/relationships/hyperlink" Id="rId56" Target="https://doi.org/10.1007/s10499-010-9391-y" TargetMode="External" /><Relationship Type="http://schemas.openxmlformats.org/officeDocument/2006/relationships/hyperlink" Id="rId50" Target="https://doi.org/10.1016/S1546-5098(08)60033-3" TargetMode="External" /><Relationship Type="http://schemas.openxmlformats.org/officeDocument/2006/relationships/hyperlink" Id="rId49" Target="https://doi.org/10.1016/j.aquaculture.2010.02.021" TargetMode="External" /><Relationship Type="http://schemas.openxmlformats.org/officeDocument/2006/relationships/hyperlink" Id="rId47" Target="https://doi.org/10.1016/j.aquaculture.2013.05.020" TargetMode="External" /><Relationship Type="http://schemas.openxmlformats.org/officeDocument/2006/relationships/hyperlink" Id="rId59" Target="https://doi.org/10.1016/j.gloenvcha.2012.03.003" TargetMode="External" /><Relationship Type="http://schemas.openxmlformats.org/officeDocument/2006/relationships/hyperlink" Id="rId54" Target="https://doi.org/10.1038/s41559-017-0257-9" TargetMode="External" /><Relationship Type="http://schemas.openxmlformats.org/officeDocument/2006/relationships/hyperlink" Id="rId51" Target="https://doi.org/10.1073/pnas.1520420113" TargetMode="External" /><Relationship Type="http://schemas.openxmlformats.org/officeDocument/2006/relationships/hyperlink" Id="rId58" Target="https://doi.org/10.1080/13657305.2015.994240" TargetMode="External" /><Relationship Type="http://schemas.openxmlformats.org/officeDocument/2006/relationships/hyperlink" Id="rId52" Target="https://doi.org/10.1080/23308249.2015.1088821" TargetMode="External" /><Relationship Type="http://schemas.openxmlformats.org/officeDocument/2006/relationships/hyperlink" Id="rId57" Target="https://doi.org/10.1098/rspb.2017.0834" TargetMode="External" /><Relationship Type="http://schemas.openxmlformats.org/officeDocument/2006/relationships/hyperlink" Id="rId53" Target="https://doi.org/10.3389/fmars.2017.00154" TargetMode="External" /><Relationship Type="http://schemas.openxmlformats.org/officeDocument/2006/relationships/hyperlink" Id="rId48"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2018-03-14T17:54:46Z</dcterms:created>
  <dcterms:modified xsi:type="dcterms:W3CDTF">2018-03-14T17:54:46Z</dcterms:modified>
</cp:coreProperties>
</file>