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9472C" w14:textId="77777777" w:rsidR="00BB7A85" w:rsidRDefault="00665C6C">
      <w:pPr>
        <w:pStyle w:val="Title"/>
      </w:pPr>
      <w:r>
        <w:t>Charting an Aquaculture Future for the Caribbean</w:t>
      </w:r>
    </w:p>
    <w:p w14:paraId="25CC36AE" w14:textId="77777777" w:rsidR="00BB7A85" w:rsidRDefault="00665C6C">
      <w:pPr>
        <w:pStyle w:val="Author"/>
      </w:pPr>
      <w:r>
        <w:t>null</w:t>
      </w:r>
    </w:p>
    <w:p w14:paraId="265A86EE" w14:textId="77777777" w:rsidR="00BB7A85" w:rsidRDefault="00665C6C">
      <w:pPr>
        <w:pStyle w:val="Date"/>
      </w:pPr>
      <w:r>
        <w:t>5/12/17</w:t>
      </w:r>
    </w:p>
    <w:sdt>
      <w:sdtPr>
        <w:rPr>
          <w:rFonts w:asciiTheme="minorHAnsi" w:eastAsiaTheme="minorHAnsi" w:hAnsiTheme="minorHAnsi" w:cstheme="minorBidi"/>
          <w:color w:val="auto"/>
          <w:sz w:val="24"/>
          <w:szCs w:val="24"/>
        </w:rPr>
        <w:id w:val="924380015"/>
        <w:docPartObj>
          <w:docPartGallery w:val="Table of Contents"/>
          <w:docPartUnique/>
        </w:docPartObj>
      </w:sdtPr>
      <w:sdtEndPr/>
      <w:sdtContent>
        <w:p w14:paraId="79F72A81" w14:textId="77777777" w:rsidR="00BB7A85" w:rsidRDefault="00665C6C">
          <w:pPr>
            <w:pStyle w:val="TOCHeading"/>
          </w:pPr>
          <w:r>
            <w:t>Table of Contents</w:t>
          </w:r>
        </w:p>
        <w:p w14:paraId="1A269319" w14:textId="77777777" w:rsidR="00E2505E" w:rsidRDefault="00665C6C">
          <w:pPr>
            <w:pStyle w:val="TOC1"/>
            <w:tabs>
              <w:tab w:val="right" w:leader="dot" w:pos="9350"/>
            </w:tabs>
            <w:rPr>
              <w:noProof/>
            </w:rPr>
          </w:pPr>
          <w:r>
            <w:fldChar w:fldCharType="begin"/>
          </w:r>
          <w:r>
            <w:instrText>TOC \o "1-3" \h \z \u</w:instrText>
          </w:r>
          <w:r w:rsidR="00E2505E">
            <w:fldChar w:fldCharType="separate"/>
          </w:r>
          <w:hyperlink w:anchor="_Toc483580691" w:history="1">
            <w:r w:rsidR="00E2505E" w:rsidRPr="00D05FAE">
              <w:rPr>
                <w:rStyle w:val="Hyperlink"/>
                <w:noProof/>
              </w:rPr>
              <w:t>Abstract</w:t>
            </w:r>
            <w:r w:rsidR="00E2505E">
              <w:rPr>
                <w:noProof/>
                <w:webHidden/>
              </w:rPr>
              <w:tab/>
            </w:r>
            <w:r w:rsidR="00E2505E">
              <w:rPr>
                <w:noProof/>
                <w:webHidden/>
              </w:rPr>
              <w:fldChar w:fldCharType="begin"/>
            </w:r>
            <w:r w:rsidR="00E2505E">
              <w:rPr>
                <w:noProof/>
                <w:webHidden/>
              </w:rPr>
              <w:instrText xml:space="preserve"> PAGEREF _Toc483580691 \h </w:instrText>
            </w:r>
            <w:r w:rsidR="00E2505E">
              <w:rPr>
                <w:noProof/>
                <w:webHidden/>
              </w:rPr>
            </w:r>
            <w:r w:rsidR="00E2505E">
              <w:rPr>
                <w:noProof/>
                <w:webHidden/>
              </w:rPr>
              <w:fldChar w:fldCharType="separate"/>
            </w:r>
            <w:r w:rsidR="00E2505E">
              <w:rPr>
                <w:noProof/>
                <w:webHidden/>
              </w:rPr>
              <w:t>1</w:t>
            </w:r>
            <w:r w:rsidR="00E2505E">
              <w:rPr>
                <w:noProof/>
                <w:webHidden/>
              </w:rPr>
              <w:fldChar w:fldCharType="end"/>
            </w:r>
          </w:hyperlink>
        </w:p>
        <w:p w14:paraId="54E5DFDA" w14:textId="77777777" w:rsidR="00E2505E" w:rsidRDefault="00E2505E">
          <w:pPr>
            <w:pStyle w:val="TOC1"/>
            <w:tabs>
              <w:tab w:val="right" w:leader="dot" w:pos="9350"/>
            </w:tabs>
            <w:rPr>
              <w:noProof/>
            </w:rPr>
          </w:pPr>
          <w:hyperlink w:anchor="_Toc483580692" w:history="1">
            <w:r w:rsidRPr="00D05FAE">
              <w:rPr>
                <w:rStyle w:val="Hyperlink"/>
                <w:noProof/>
              </w:rPr>
              <w:t>Introduction</w:t>
            </w:r>
            <w:r>
              <w:rPr>
                <w:noProof/>
                <w:webHidden/>
              </w:rPr>
              <w:tab/>
            </w:r>
            <w:r>
              <w:rPr>
                <w:noProof/>
                <w:webHidden/>
              </w:rPr>
              <w:fldChar w:fldCharType="begin"/>
            </w:r>
            <w:r>
              <w:rPr>
                <w:noProof/>
                <w:webHidden/>
              </w:rPr>
              <w:instrText xml:space="preserve"> PAGEREF _Toc483580692 \h </w:instrText>
            </w:r>
            <w:r>
              <w:rPr>
                <w:noProof/>
                <w:webHidden/>
              </w:rPr>
            </w:r>
            <w:r>
              <w:rPr>
                <w:noProof/>
                <w:webHidden/>
              </w:rPr>
              <w:fldChar w:fldCharType="separate"/>
            </w:r>
            <w:r>
              <w:rPr>
                <w:noProof/>
                <w:webHidden/>
              </w:rPr>
              <w:t>2</w:t>
            </w:r>
            <w:r>
              <w:rPr>
                <w:noProof/>
                <w:webHidden/>
              </w:rPr>
              <w:fldChar w:fldCharType="end"/>
            </w:r>
          </w:hyperlink>
        </w:p>
        <w:p w14:paraId="11C989C3" w14:textId="77777777" w:rsidR="00E2505E" w:rsidRDefault="00E2505E">
          <w:pPr>
            <w:pStyle w:val="TOC1"/>
            <w:tabs>
              <w:tab w:val="right" w:leader="dot" w:pos="9350"/>
            </w:tabs>
            <w:rPr>
              <w:noProof/>
            </w:rPr>
          </w:pPr>
          <w:hyperlink w:anchor="_Toc483580693" w:history="1">
            <w:r w:rsidRPr="00D05FAE">
              <w:rPr>
                <w:rStyle w:val="Hyperlink"/>
                <w:noProof/>
              </w:rPr>
              <w:t>Methods</w:t>
            </w:r>
            <w:r>
              <w:rPr>
                <w:noProof/>
                <w:webHidden/>
              </w:rPr>
              <w:tab/>
            </w:r>
            <w:r>
              <w:rPr>
                <w:noProof/>
                <w:webHidden/>
              </w:rPr>
              <w:fldChar w:fldCharType="begin"/>
            </w:r>
            <w:r>
              <w:rPr>
                <w:noProof/>
                <w:webHidden/>
              </w:rPr>
              <w:instrText xml:space="preserve"> PAGEREF _Toc483580693 \h </w:instrText>
            </w:r>
            <w:r>
              <w:rPr>
                <w:noProof/>
                <w:webHidden/>
              </w:rPr>
            </w:r>
            <w:r>
              <w:rPr>
                <w:noProof/>
                <w:webHidden/>
              </w:rPr>
              <w:fldChar w:fldCharType="separate"/>
            </w:r>
            <w:r>
              <w:rPr>
                <w:noProof/>
                <w:webHidden/>
              </w:rPr>
              <w:t>4</w:t>
            </w:r>
            <w:r>
              <w:rPr>
                <w:noProof/>
                <w:webHidden/>
              </w:rPr>
              <w:fldChar w:fldCharType="end"/>
            </w:r>
          </w:hyperlink>
        </w:p>
        <w:p w14:paraId="7BB6AFF7" w14:textId="77777777" w:rsidR="00E2505E" w:rsidRDefault="00E2505E">
          <w:pPr>
            <w:pStyle w:val="TOC2"/>
            <w:tabs>
              <w:tab w:val="right" w:leader="dot" w:pos="9350"/>
            </w:tabs>
            <w:rPr>
              <w:noProof/>
            </w:rPr>
          </w:pPr>
          <w:hyperlink w:anchor="_Toc483580694" w:history="1">
            <w:r w:rsidRPr="00D05FAE">
              <w:rPr>
                <w:rStyle w:val="Hyperlink"/>
                <w:noProof/>
              </w:rPr>
              <w:t>Description of Study Region</w:t>
            </w:r>
            <w:r>
              <w:rPr>
                <w:noProof/>
                <w:webHidden/>
              </w:rPr>
              <w:tab/>
            </w:r>
            <w:r>
              <w:rPr>
                <w:noProof/>
                <w:webHidden/>
              </w:rPr>
              <w:fldChar w:fldCharType="begin"/>
            </w:r>
            <w:r>
              <w:rPr>
                <w:noProof/>
                <w:webHidden/>
              </w:rPr>
              <w:instrText xml:space="preserve"> PAGEREF _Toc483580694 \h </w:instrText>
            </w:r>
            <w:r>
              <w:rPr>
                <w:noProof/>
                <w:webHidden/>
              </w:rPr>
            </w:r>
            <w:r>
              <w:rPr>
                <w:noProof/>
                <w:webHidden/>
              </w:rPr>
              <w:fldChar w:fldCharType="separate"/>
            </w:r>
            <w:r>
              <w:rPr>
                <w:noProof/>
                <w:webHidden/>
              </w:rPr>
              <w:t>4</w:t>
            </w:r>
            <w:r>
              <w:rPr>
                <w:noProof/>
                <w:webHidden/>
              </w:rPr>
              <w:fldChar w:fldCharType="end"/>
            </w:r>
          </w:hyperlink>
        </w:p>
        <w:p w14:paraId="2A89846D" w14:textId="77777777" w:rsidR="00E2505E" w:rsidRDefault="00E2505E">
          <w:pPr>
            <w:pStyle w:val="TOC2"/>
            <w:tabs>
              <w:tab w:val="right" w:leader="dot" w:pos="9350"/>
            </w:tabs>
            <w:rPr>
              <w:noProof/>
            </w:rPr>
          </w:pPr>
          <w:hyperlink w:anchor="_Toc483580695" w:history="1">
            <w:r w:rsidRPr="00D05FAE">
              <w:rPr>
                <w:rStyle w:val="Hyperlink"/>
                <w:noProof/>
              </w:rPr>
              <w:t>Overview</w:t>
            </w:r>
            <w:r>
              <w:rPr>
                <w:noProof/>
                <w:webHidden/>
              </w:rPr>
              <w:tab/>
            </w:r>
            <w:r>
              <w:rPr>
                <w:noProof/>
                <w:webHidden/>
              </w:rPr>
              <w:fldChar w:fldCharType="begin"/>
            </w:r>
            <w:r>
              <w:rPr>
                <w:noProof/>
                <w:webHidden/>
              </w:rPr>
              <w:instrText xml:space="preserve"> PAGEREF _Toc483580695 \h </w:instrText>
            </w:r>
            <w:r>
              <w:rPr>
                <w:noProof/>
                <w:webHidden/>
              </w:rPr>
            </w:r>
            <w:r>
              <w:rPr>
                <w:noProof/>
                <w:webHidden/>
              </w:rPr>
              <w:fldChar w:fldCharType="separate"/>
            </w:r>
            <w:r>
              <w:rPr>
                <w:noProof/>
                <w:webHidden/>
              </w:rPr>
              <w:t>5</w:t>
            </w:r>
            <w:r>
              <w:rPr>
                <w:noProof/>
                <w:webHidden/>
              </w:rPr>
              <w:fldChar w:fldCharType="end"/>
            </w:r>
          </w:hyperlink>
        </w:p>
        <w:p w14:paraId="78AA2070" w14:textId="77777777" w:rsidR="00E2505E" w:rsidRDefault="00E2505E">
          <w:pPr>
            <w:pStyle w:val="TOC2"/>
            <w:tabs>
              <w:tab w:val="right" w:leader="dot" w:pos="9350"/>
            </w:tabs>
            <w:rPr>
              <w:noProof/>
            </w:rPr>
          </w:pPr>
          <w:hyperlink w:anchor="_Toc483580696" w:history="1">
            <w:r w:rsidRPr="00D05FAE">
              <w:rPr>
                <w:rStyle w:val="Hyperlink"/>
                <w:noProof/>
              </w:rPr>
              <w:t>Suitability Assessment</w:t>
            </w:r>
            <w:r>
              <w:rPr>
                <w:noProof/>
                <w:webHidden/>
              </w:rPr>
              <w:tab/>
            </w:r>
            <w:r>
              <w:rPr>
                <w:noProof/>
                <w:webHidden/>
              </w:rPr>
              <w:fldChar w:fldCharType="begin"/>
            </w:r>
            <w:r>
              <w:rPr>
                <w:noProof/>
                <w:webHidden/>
              </w:rPr>
              <w:instrText xml:space="preserve"> PAGEREF _Toc483580696 \h </w:instrText>
            </w:r>
            <w:r>
              <w:rPr>
                <w:noProof/>
                <w:webHidden/>
              </w:rPr>
            </w:r>
            <w:r>
              <w:rPr>
                <w:noProof/>
                <w:webHidden/>
              </w:rPr>
              <w:fldChar w:fldCharType="separate"/>
            </w:r>
            <w:r>
              <w:rPr>
                <w:noProof/>
                <w:webHidden/>
              </w:rPr>
              <w:t>6</w:t>
            </w:r>
            <w:r>
              <w:rPr>
                <w:noProof/>
                <w:webHidden/>
              </w:rPr>
              <w:fldChar w:fldCharType="end"/>
            </w:r>
          </w:hyperlink>
        </w:p>
        <w:p w14:paraId="31AB5689" w14:textId="77777777" w:rsidR="00E2505E" w:rsidRDefault="00E2505E">
          <w:pPr>
            <w:pStyle w:val="TOC2"/>
            <w:tabs>
              <w:tab w:val="right" w:leader="dot" w:pos="9350"/>
            </w:tabs>
            <w:rPr>
              <w:noProof/>
            </w:rPr>
          </w:pPr>
          <w:hyperlink w:anchor="_Toc483580697" w:history="1">
            <w:r w:rsidRPr="00D05FAE">
              <w:rPr>
                <w:rStyle w:val="Hyperlink"/>
                <w:noProof/>
              </w:rPr>
              <w:t>Farm Design</w:t>
            </w:r>
            <w:r>
              <w:rPr>
                <w:noProof/>
                <w:webHidden/>
              </w:rPr>
              <w:tab/>
            </w:r>
            <w:r>
              <w:rPr>
                <w:noProof/>
                <w:webHidden/>
              </w:rPr>
              <w:fldChar w:fldCharType="begin"/>
            </w:r>
            <w:r>
              <w:rPr>
                <w:noProof/>
                <w:webHidden/>
              </w:rPr>
              <w:instrText xml:space="preserve"> PAGEREF _Toc483580697 \h </w:instrText>
            </w:r>
            <w:r>
              <w:rPr>
                <w:noProof/>
                <w:webHidden/>
              </w:rPr>
            </w:r>
            <w:r>
              <w:rPr>
                <w:noProof/>
                <w:webHidden/>
              </w:rPr>
              <w:fldChar w:fldCharType="separate"/>
            </w:r>
            <w:r>
              <w:rPr>
                <w:noProof/>
                <w:webHidden/>
              </w:rPr>
              <w:t>10</w:t>
            </w:r>
            <w:r>
              <w:rPr>
                <w:noProof/>
                <w:webHidden/>
              </w:rPr>
              <w:fldChar w:fldCharType="end"/>
            </w:r>
          </w:hyperlink>
        </w:p>
        <w:p w14:paraId="15238456" w14:textId="77777777" w:rsidR="00E2505E" w:rsidRDefault="00E2505E">
          <w:pPr>
            <w:pStyle w:val="TOC2"/>
            <w:tabs>
              <w:tab w:val="right" w:leader="dot" w:pos="9350"/>
            </w:tabs>
            <w:rPr>
              <w:noProof/>
            </w:rPr>
          </w:pPr>
          <w:hyperlink w:anchor="_Toc483580698" w:history="1">
            <w:r w:rsidRPr="00D05FAE">
              <w:rPr>
                <w:rStyle w:val="Hyperlink"/>
                <w:noProof/>
              </w:rPr>
              <w:t>Bioeconomic Model</w:t>
            </w:r>
            <w:r>
              <w:rPr>
                <w:noProof/>
                <w:webHidden/>
              </w:rPr>
              <w:tab/>
            </w:r>
            <w:r>
              <w:rPr>
                <w:noProof/>
                <w:webHidden/>
              </w:rPr>
              <w:fldChar w:fldCharType="begin"/>
            </w:r>
            <w:r>
              <w:rPr>
                <w:noProof/>
                <w:webHidden/>
              </w:rPr>
              <w:instrText xml:space="preserve"> PAGEREF _Toc483580698 \h </w:instrText>
            </w:r>
            <w:r>
              <w:rPr>
                <w:noProof/>
                <w:webHidden/>
              </w:rPr>
            </w:r>
            <w:r>
              <w:rPr>
                <w:noProof/>
                <w:webHidden/>
              </w:rPr>
              <w:fldChar w:fldCharType="separate"/>
            </w:r>
            <w:r>
              <w:rPr>
                <w:noProof/>
                <w:webHidden/>
              </w:rPr>
              <w:t>11</w:t>
            </w:r>
            <w:r>
              <w:rPr>
                <w:noProof/>
                <w:webHidden/>
              </w:rPr>
              <w:fldChar w:fldCharType="end"/>
            </w:r>
          </w:hyperlink>
        </w:p>
        <w:p w14:paraId="0E98A46C" w14:textId="77777777" w:rsidR="00E2505E" w:rsidRDefault="00E2505E">
          <w:pPr>
            <w:pStyle w:val="TOC3"/>
            <w:tabs>
              <w:tab w:val="right" w:leader="dot" w:pos="9350"/>
            </w:tabs>
            <w:rPr>
              <w:noProof/>
            </w:rPr>
          </w:pPr>
          <w:hyperlink w:anchor="_Toc483580699" w:history="1">
            <w:r w:rsidRPr="00D05FAE">
              <w:rPr>
                <w:rStyle w:val="Hyperlink"/>
                <w:noProof/>
              </w:rPr>
              <w:t>Temperature Performance Curve</w:t>
            </w:r>
            <w:r>
              <w:rPr>
                <w:noProof/>
                <w:webHidden/>
              </w:rPr>
              <w:tab/>
            </w:r>
            <w:r>
              <w:rPr>
                <w:noProof/>
                <w:webHidden/>
              </w:rPr>
              <w:fldChar w:fldCharType="begin"/>
            </w:r>
            <w:r>
              <w:rPr>
                <w:noProof/>
                <w:webHidden/>
              </w:rPr>
              <w:instrText xml:space="preserve"> PAGEREF _Toc483580699 \h </w:instrText>
            </w:r>
            <w:r>
              <w:rPr>
                <w:noProof/>
                <w:webHidden/>
              </w:rPr>
            </w:r>
            <w:r>
              <w:rPr>
                <w:noProof/>
                <w:webHidden/>
              </w:rPr>
              <w:fldChar w:fldCharType="separate"/>
            </w:r>
            <w:r>
              <w:rPr>
                <w:noProof/>
                <w:webHidden/>
              </w:rPr>
              <w:t>11</w:t>
            </w:r>
            <w:r>
              <w:rPr>
                <w:noProof/>
                <w:webHidden/>
              </w:rPr>
              <w:fldChar w:fldCharType="end"/>
            </w:r>
          </w:hyperlink>
        </w:p>
        <w:p w14:paraId="10E87A29" w14:textId="77777777" w:rsidR="00E2505E" w:rsidRDefault="00E2505E">
          <w:pPr>
            <w:pStyle w:val="TOC3"/>
            <w:tabs>
              <w:tab w:val="right" w:leader="dot" w:pos="9350"/>
            </w:tabs>
            <w:rPr>
              <w:noProof/>
            </w:rPr>
          </w:pPr>
          <w:hyperlink w:anchor="_Toc483580700" w:history="1">
            <w:r w:rsidRPr="00D05FAE">
              <w:rPr>
                <w:rStyle w:val="Hyperlink"/>
                <w:noProof/>
              </w:rPr>
              <w:t>Economic Model</w:t>
            </w:r>
            <w:r>
              <w:rPr>
                <w:noProof/>
                <w:webHidden/>
              </w:rPr>
              <w:tab/>
            </w:r>
            <w:r>
              <w:rPr>
                <w:noProof/>
                <w:webHidden/>
              </w:rPr>
              <w:fldChar w:fldCharType="begin"/>
            </w:r>
            <w:r>
              <w:rPr>
                <w:noProof/>
                <w:webHidden/>
              </w:rPr>
              <w:instrText xml:space="preserve"> PAGEREF _Toc483580700 \h </w:instrText>
            </w:r>
            <w:r>
              <w:rPr>
                <w:noProof/>
                <w:webHidden/>
              </w:rPr>
            </w:r>
            <w:r>
              <w:rPr>
                <w:noProof/>
                <w:webHidden/>
              </w:rPr>
              <w:fldChar w:fldCharType="separate"/>
            </w:r>
            <w:r>
              <w:rPr>
                <w:noProof/>
                <w:webHidden/>
              </w:rPr>
              <w:t>12</w:t>
            </w:r>
            <w:r>
              <w:rPr>
                <w:noProof/>
                <w:webHidden/>
              </w:rPr>
              <w:fldChar w:fldCharType="end"/>
            </w:r>
          </w:hyperlink>
        </w:p>
        <w:p w14:paraId="41A32FD7" w14:textId="77777777" w:rsidR="00E2505E" w:rsidRDefault="00E2505E">
          <w:pPr>
            <w:pStyle w:val="TOC3"/>
            <w:tabs>
              <w:tab w:val="right" w:leader="dot" w:pos="9350"/>
            </w:tabs>
            <w:rPr>
              <w:noProof/>
            </w:rPr>
          </w:pPr>
          <w:hyperlink w:anchor="_Toc483580701" w:history="1">
            <w:r w:rsidRPr="00D05FAE">
              <w:rPr>
                <w:rStyle w:val="Hyperlink"/>
                <w:noProof/>
              </w:rPr>
              <w:t>Supply Curves</w:t>
            </w:r>
            <w:r>
              <w:rPr>
                <w:noProof/>
                <w:webHidden/>
              </w:rPr>
              <w:tab/>
            </w:r>
            <w:r>
              <w:rPr>
                <w:noProof/>
                <w:webHidden/>
              </w:rPr>
              <w:fldChar w:fldCharType="begin"/>
            </w:r>
            <w:r>
              <w:rPr>
                <w:noProof/>
                <w:webHidden/>
              </w:rPr>
              <w:instrText xml:space="preserve"> PAGEREF _Toc483580701 \h </w:instrText>
            </w:r>
            <w:r>
              <w:rPr>
                <w:noProof/>
                <w:webHidden/>
              </w:rPr>
            </w:r>
            <w:r>
              <w:rPr>
                <w:noProof/>
                <w:webHidden/>
              </w:rPr>
              <w:fldChar w:fldCharType="separate"/>
            </w:r>
            <w:r>
              <w:rPr>
                <w:noProof/>
                <w:webHidden/>
              </w:rPr>
              <w:t>13</w:t>
            </w:r>
            <w:r>
              <w:rPr>
                <w:noProof/>
                <w:webHidden/>
              </w:rPr>
              <w:fldChar w:fldCharType="end"/>
            </w:r>
          </w:hyperlink>
        </w:p>
        <w:p w14:paraId="2C6F26BF" w14:textId="77777777" w:rsidR="00E2505E" w:rsidRDefault="00E2505E">
          <w:pPr>
            <w:pStyle w:val="TOC3"/>
            <w:tabs>
              <w:tab w:val="right" w:leader="dot" w:pos="9350"/>
            </w:tabs>
            <w:rPr>
              <w:noProof/>
            </w:rPr>
          </w:pPr>
          <w:hyperlink w:anchor="_Toc483580702" w:history="1">
            <w:r w:rsidRPr="00D05FAE">
              <w:rPr>
                <w:rStyle w:val="Hyperlink"/>
                <w:noProof/>
              </w:rPr>
              <w:t>Discount Rate</w:t>
            </w:r>
            <w:r>
              <w:rPr>
                <w:noProof/>
                <w:webHidden/>
              </w:rPr>
              <w:tab/>
            </w:r>
            <w:r>
              <w:rPr>
                <w:noProof/>
                <w:webHidden/>
              </w:rPr>
              <w:fldChar w:fldCharType="begin"/>
            </w:r>
            <w:r>
              <w:rPr>
                <w:noProof/>
                <w:webHidden/>
              </w:rPr>
              <w:instrText xml:space="preserve"> PAGEREF _Toc483580702 \h </w:instrText>
            </w:r>
            <w:r>
              <w:rPr>
                <w:noProof/>
                <w:webHidden/>
              </w:rPr>
            </w:r>
            <w:r>
              <w:rPr>
                <w:noProof/>
                <w:webHidden/>
              </w:rPr>
              <w:fldChar w:fldCharType="separate"/>
            </w:r>
            <w:r>
              <w:rPr>
                <w:noProof/>
                <w:webHidden/>
              </w:rPr>
              <w:t>14</w:t>
            </w:r>
            <w:r>
              <w:rPr>
                <w:noProof/>
                <w:webHidden/>
              </w:rPr>
              <w:fldChar w:fldCharType="end"/>
            </w:r>
          </w:hyperlink>
        </w:p>
        <w:p w14:paraId="3F2E267C" w14:textId="77777777" w:rsidR="00E2505E" w:rsidRDefault="00E2505E">
          <w:pPr>
            <w:pStyle w:val="TOC2"/>
            <w:tabs>
              <w:tab w:val="right" w:leader="dot" w:pos="9350"/>
            </w:tabs>
            <w:rPr>
              <w:noProof/>
            </w:rPr>
          </w:pPr>
          <w:hyperlink w:anchor="_Toc483580703" w:history="1">
            <w:r w:rsidRPr="00D05FAE">
              <w:rPr>
                <w:rStyle w:val="Hyperlink"/>
                <w:noProof/>
              </w:rPr>
              <w:t>Production Scenarios</w:t>
            </w:r>
            <w:r>
              <w:rPr>
                <w:noProof/>
                <w:webHidden/>
              </w:rPr>
              <w:tab/>
            </w:r>
            <w:r>
              <w:rPr>
                <w:noProof/>
                <w:webHidden/>
              </w:rPr>
              <w:fldChar w:fldCharType="begin"/>
            </w:r>
            <w:r>
              <w:rPr>
                <w:noProof/>
                <w:webHidden/>
              </w:rPr>
              <w:instrText xml:space="preserve"> PAGEREF _Toc483580703 \h </w:instrText>
            </w:r>
            <w:r>
              <w:rPr>
                <w:noProof/>
                <w:webHidden/>
              </w:rPr>
            </w:r>
            <w:r>
              <w:rPr>
                <w:noProof/>
                <w:webHidden/>
              </w:rPr>
              <w:fldChar w:fldCharType="separate"/>
            </w:r>
            <w:r>
              <w:rPr>
                <w:noProof/>
                <w:webHidden/>
              </w:rPr>
              <w:t>15</w:t>
            </w:r>
            <w:r>
              <w:rPr>
                <w:noProof/>
                <w:webHidden/>
              </w:rPr>
              <w:fldChar w:fldCharType="end"/>
            </w:r>
          </w:hyperlink>
        </w:p>
        <w:p w14:paraId="68872641" w14:textId="77777777" w:rsidR="00E2505E" w:rsidRDefault="00E2505E">
          <w:pPr>
            <w:pStyle w:val="TOC3"/>
            <w:tabs>
              <w:tab w:val="right" w:leader="dot" w:pos="9350"/>
            </w:tabs>
            <w:rPr>
              <w:noProof/>
            </w:rPr>
          </w:pPr>
          <w:hyperlink w:anchor="_Toc483580704" w:history="1">
            <w:r w:rsidRPr="00D05FAE">
              <w:rPr>
                <w:rStyle w:val="Hyperlink"/>
                <w:noProof/>
              </w:rPr>
              <w:t>Ecological Carrying Capacity</w:t>
            </w:r>
            <w:r>
              <w:rPr>
                <w:noProof/>
                <w:webHidden/>
              </w:rPr>
              <w:tab/>
            </w:r>
            <w:r>
              <w:rPr>
                <w:noProof/>
                <w:webHidden/>
              </w:rPr>
              <w:fldChar w:fldCharType="begin"/>
            </w:r>
            <w:r>
              <w:rPr>
                <w:noProof/>
                <w:webHidden/>
              </w:rPr>
              <w:instrText xml:space="preserve"> PAGEREF _Toc483580704 \h </w:instrText>
            </w:r>
            <w:r>
              <w:rPr>
                <w:noProof/>
                <w:webHidden/>
              </w:rPr>
            </w:r>
            <w:r>
              <w:rPr>
                <w:noProof/>
                <w:webHidden/>
              </w:rPr>
              <w:fldChar w:fldCharType="separate"/>
            </w:r>
            <w:r>
              <w:rPr>
                <w:noProof/>
                <w:webHidden/>
              </w:rPr>
              <w:t>15</w:t>
            </w:r>
            <w:r>
              <w:rPr>
                <w:noProof/>
                <w:webHidden/>
              </w:rPr>
              <w:fldChar w:fldCharType="end"/>
            </w:r>
          </w:hyperlink>
        </w:p>
        <w:p w14:paraId="23D38932" w14:textId="77777777" w:rsidR="00E2505E" w:rsidRDefault="00E2505E">
          <w:pPr>
            <w:pStyle w:val="TOC2"/>
            <w:tabs>
              <w:tab w:val="right" w:leader="dot" w:pos="9350"/>
            </w:tabs>
            <w:rPr>
              <w:noProof/>
            </w:rPr>
          </w:pPr>
          <w:hyperlink w:anchor="_Toc483580705" w:history="1">
            <w:r w:rsidRPr="00D05FAE">
              <w:rPr>
                <w:rStyle w:val="Hyperlink"/>
                <w:noProof/>
              </w:rPr>
              <w:t>Sensitivity analyses</w:t>
            </w:r>
            <w:r>
              <w:rPr>
                <w:noProof/>
                <w:webHidden/>
              </w:rPr>
              <w:tab/>
            </w:r>
            <w:r>
              <w:rPr>
                <w:noProof/>
                <w:webHidden/>
              </w:rPr>
              <w:fldChar w:fldCharType="begin"/>
            </w:r>
            <w:r>
              <w:rPr>
                <w:noProof/>
                <w:webHidden/>
              </w:rPr>
              <w:instrText xml:space="preserve"> PAGEREF _Toc483580705 \h </w:instrText>
            </w:r>
            <w:r>
              <w:rPr>
                <w:noProof/>
                <w:webHidden/>
              </w:rPr>
            </w:r>
            <w:r>
              <w:rPr>
                <w:noProof/>
                <w:webHidden/>
              </w:rPr>
              <w:fldChar w:fldCharType="separate"/>
            </w:r>
            <w:r>
              <w:rPr>
                <w:noProof/>
                <w:webHidden/>
              </w:rPr>
              <w:t>16</w:t>
            </w:r>
            <w:r>
              <w:rPr>
                <w:noProof/>
                <w:webHidden/>
              </w:rPr>
              <w:fldChar w:fldCharType="end"/>
            </w:r>
          </w:hyperlink>
        </w:p>
        <w:p w14:paraId="05430721" w14:textId="77777777" w:rsidR="00E2505E" w:rsidRDefault="00E2505E">
          <w:pPr>
            <w:pStyle w:val="TOC1"/>
            <w:tabs>
              <w:tab w:val="right" w:leader="dot" w:pos="9350"/>
            </w:tabs>
            <w:rPr>
              <w:noProof/>
            </w:rPr>
          </w:pPr>
          <w:hyperlink w:anchor="_Toc483580706" w:history="1">
            <w:r w:rsidRPr="00D05FAE">
              <w:rPr>
                <w:rStyle w:val="Hyperlink"/>
                <w:noProof/>
              </w:rPr>
              <w:t>Results</w:t>
            </w:r>
            <w:r>
              <w:rPr>
                <w:noProof/>
                <w:webHidden/>
              </w:rPr>
              <w:tab/>
            </w:r>
            <w:r>
              <w:rPr>
                <w:noProof/>
                <w:webHidden/>
              </w:rPr>
              <w:fldChar w:fldCharType="begin"/>
            </w:r>
            <w:r>
              <w:rPr>
                <w:noProof/>
                <w:webHidden/>
              </w:rPr>
              <w:instrText xml:space="preserve"> PAGEREF _Toc483580706 \h </w:instrText>
            </w:r>
            <w:r>
              <w:rPr>
                <w:noProof/>
                <w:webHidden/>
              </w:rPr>
            </w:r>
            <w:r>
              <w:rPr>
                <w:noProof/>
                <w:webHidden/>
              </w:rPr>
              <w:fldChar w:fldCharType="separate"/>
            </w:r>
            <w:r>
              <w:rPr>
                <w:noProof/>
                <w:webHidden/>
              </w:rPr>
              <w:t>16</w:t>
            </w:r>
            <w:r>
              <w:rPr>
                <w:noProof/>
                <w:webHidden/>
              </w:rPr>
              <w:fldChar w:fldCharType="end"/>
            </w:r>
          </w:hyperlink>
        </w:p>
        <w:p w14:paraId="777526CC" w14:textId="77777777" w:rsidR="00E2505E" w:rsidRDefault="00E2505E">
          <w:pPr>
            <w:pStyle w:val="TOC2"/>
            <w:tabs>
              <w:tab w:val="right" w:leader="dot" w:pos="9350"/>
            </w:tabs>
            <w:rPr>
              <w:noProof/>
            </w:rPr>
          </w:pPr>
          <w:hyperlink w:anchor="_Toc483580707" w:history="1">
            <w:r w:rsidRPr="00D05FAE">
              <w:rPr>
                <w:rStyle w:val="Hyperlink"/>
                <w:noProof/>
              </w:rPr>
              <w:t>Suitability Assessment</w:t>
            </w:r>
            <w:r>
              <w:rPr>
                <w:noProof/>
                <w:webHidden/>
              </w:rPr>
              <w:tab/>
            </w:r>
            <w:r>
              <w:rPr>
                <w:noProof/>
                <w:webHidden/>
              </w:rPr>
              <w:fldChar w:fldCharType="begin"/>
            </w:r>
            <w:r>
              <w:rPr>
                <w:noProof/>
                <w:webHidden/>
              </w:rPr>
              <w:instrText xml:space="preserve"> PAGEREF _Toc483580707 \h </w:instrText>
            </w:r>
            <w:r>
              <w:rPr>
                <w:noProof/>
                <w:webHidden/>
              </w:rPr>
            </w:r>
            <w:r>
              <w:rPr>
                <w:noProof/>
                <w:webHidden/>
              </w:rPr>
              <w:fldChar w:fldCharType="separate"/>
            </w:r>
            <w:r>
              <w:rPr>
                <w:noProof/>
                <w:webHidden/>
              </w:rPr>
              <w:t>16</w:t>
            </w:r>
            <w:r>
              <w:rPr>
                <w:noProof/>
                <w:webHidden/>
              </w:rPr>
              <w:fldChar w:fldCharType="end"/>
            </w:r>
          </w:hyperlink>
        </w:p>
        <w:p w14:paraId="645E4795" w14:textId="77777777" w:rsidR="00E2505E" w:rsidRDefault="00E2505E">
          <w:pPr>
            <w:pStyle w:val="TOC1"/>
            <w:tabs>
              <w:tab w:val="right" w:leader="dot" w:pos="9350"/>
            </w:tabs>
            <w:rPr>
              <w:noProof/>
            </w:rPr>
          </w:pPr>
          <w:hyperlink w:anchor="_Toc483580708" w:history="1">
            <w:r w:rsidRPr="00D05FAE">
              <w:rPr>
                <w:rStyle w:val="Hyperlink"/>
                <w:noProof/>
              </w:rPr>
              <w:t>Discussion</w:t>
            </w:r>
            <w:r>
              <w:rPr>
                <w:noProof/>
                <w:webHidden/>
              </w:rPr>
              <w:tab/>
            </w:r>
            <w:r>
              <w:rPr>
                <w:noProof/>
                <w:webHidden/>
              </w:rPr>
              <w:fldChar w:fldCharType="begin"/>
            </w:r>
            <w:r>
              <w:rPr>
                <w:noProof/>
                <w:webHidden/>
              </w:rPr>
              <w:instrText xml:space="preserve"> PAGEREF _Toc483580708 \h </w:instrText>
            </w:r>
            <w:r>
              <w:rPr>
                <w:noProof/>
                <w:webHidden/>
              </w:rPr>
            </w:r>
            <w:r>
              <w:rPr>
                <w:noProof/>
                <w:webHidden/>
              </w:rPr>
              <w:fldChar w:fldCharType="separate"/>
            </w:r>
            <w:r>
              <w:rPr>
                <w:noProof/>
                <w:webHidden/>
              </w:rPr>
              <w:t>19</w:t>
            </w:r>
            <w:r>
              <w:rPr>
                <w:noProof/>
                <w:webHidden/>
              </w:rPr>
              <w:fldChar w:fldCharType="end"/>
            </w:r>
          </w:hyperlink>
        </w:p>
        <w:p w14:paraId="0FED197D" w14:textId="77777777" w:rsidR="00E2505E" w:rsidRDefault="00E2505E">
          <w:pPr>
            <w:pStyle w:val="TOC1"/>
            <w:tabs>
              <w:tab w:val="right" w:leader="dot" w:pos="9350"/>
            </w:tabs>
            <w:rPr>
              <w:noProof/>
            </w:rPr>
          </w:pPr>
          <w:hyperlink w:anchor="_Toc483580709" w:history="1">
            <w:r w:rsidRPr="00D05FAE">
              <w:rPr>
                <w:rStyle w:val="Hyperlink"/>
                <w:noProof/>
              </w:rPr>
              <w:t>References</w:t>
            </w:r>
            <w:r>
              <w:rPr>
                <w:noProof/>
                <w:webHidden/>
              </w:rPr>
              <w:tab/>
            </w:r>
            <w:r>
              <w:rPr>
                <w:noProof/>
                <w:webHidden/>
              </w:rPr>
              <w:fldChar w:fldCharType="begin"/>
            </w:r>
            <w:r>
              <w:rPr>
                <w:noProof/>
                <w:webHidden/>
              </w:rPr>
              <w:instrText xml:space="preserve"> PAGEREF _Toc483580709 \h </w:instrText>
            </w:r>
            <w:r>
              <w:rPr>
                <w:noProof/>
                <w:webHidden/>
              </w:rPr>
            </w:r>
            <w:r>
              <w:rPr>
                <w:noProof/>
                <w:webHidden/>
              </w:rPr>
              <w:fldChar w:fldCharType="separate"/>
            </w:r>
            <w:r>
              <w:rPr>
                <w:noProof/>
                <w:webHidden/>
              </w:rPr>
              <w:t>19</w:t>
            </w:r>
            <w:r>
              <w:rPr>
                <w:noProof/>
                <w:webHidden/>
              </w:rPr>
              <w:fldChar w:fldCharType="end"/>
            </w:r>
          </w:hyperlink>
        </w:p>
        <w:p w14:paraId="15F79BA4" w14:textId="77777777" w:rsidR="00E2505E" w:rsidRDefault="00E2505E">
          <w:pPr>
            <w:pStyle w:val="TOC1"/>
            <w:tabs>
              <w:tab w:val="right" w:leader="dot" w:pos="9350"/>
            </w:tabs>
            <w:rPr>
              <w:noProof/>
            </w:rPr>
          </w:pPr>
          <w:hyperlink w:anchor="_Toc483580710" w:history="1">
            <w:r w:rsidRPr="00D05FAE">
              <w:rPr>
                <w:rStyle w:val="Hyperlink"/>
                <w:noProof/>
              </w:rPr>
              <w:t>Appendix</w:t>
            </w:r>
            <w:r>
              <w:rPr>
                <w:noProof/>
                <w:webHidden/>
              </w:rPr>
              <w:tab/>
            </w:r>
            <w:r>
              <w:rPr>
                <w:noProof/>
                <w:webHidden/>
              </w:rPr>
              <w:fldChar w:fldCharType="begin"/>
            </w:r>
            <w:r>
              <w:rPr>
                <w:noProof/>
                <w:webHidden/>
              </w:rPr>
              <w:instrText xml:space="preserve"> PAGEREF _Toc483580710 \h </w:instrText>
            </w:r>
            <w:r>
              <w:rPr>
                <w:noProof/>
                <w:webHidden/>
              </w:rPr>
            </w:r>
            <w:r>
              <w:rPr>
                <w:noProof/>
                <w:webHidden/>
              </w:rPr>
              <w:fldChar w:fldCharType="separate"/>
            </w:r>
            <w:r>
              <w:rPr>
                <w:noProof/>
                <w:webHidden/>
              </w:rPr>
              <w:t>19</w:t>
            </w:r>
            <w:r>
              <w:rPr>
                <w:noProof/>
                <w:webHidden/>
              </w:rPr>
              <w:fldChar w:fldCharType="end"/>
            </w:r>
          </w:hyperlink>
        </w:p>
        <w:p w14:paraId="571AA424" w14:textId="77777777" w:rsidR="00E2505E" w:rsidRDefault="00E2505E">
          <w:pPr>
            <w:pStyle w:val="TOC2"/>
            <w:tabs>
              <w:tab w:val="right" w:leader="dot" w:pos="9350"/>
            </w:tabs>
            <w:rPr>
              <w:noProof/>
            </w:rPr>
          </w:pPr>
          <w:hyperlink w:anchor="_Toc483580711" w:history="1">
            <w:r w:rsidRPr="00D05FAE">
              <w:rPr>
                <w:rStyle w:val="Hyperlink"/>
                <w:noProof/>
              </w:rPr>
              <w:t>removed text (just in case we need later)</w:t>
            </w:r>
            <w:r>
              <w:rPr>
                <w:noProof/>
                <w:webHidden/>
              </w:rPr>
              <w:tab/>
            </w:r>
            <w:r>
              <w:rPr>
                <w:noProof/>
                <w:webHidden/>
              </w:rPr>
              <w:fldChar w:fldCharType="begin"/>
            </w:r>
            <w:r>
              <w:rPr>
                <w:noProof/>
                <w:webHidden/>
              </w:rPr>
              <w:instrText xml:space="preserve"> PAGEREF _Toc483580711 \h </w:instrText>
            </w:r>
            <w:r>
              <w:rPr>
                <w:noProof/>
                <w:webHidden/>
              </w:rPr>
            </w:r>
            <w:r>
              <w:rPr>
                <w:noProof/>
                <w:webHidden/>
              </w:rPr>
              <w:fldChar w:fldCharType="separate"/>
            </w:r>
            <w:r>
              <w:rPr>
                <w:noProof/>
                <w:webHidden/>
              </w:rPr>
              <w:t>19</w:t>
            </w:r>
            <w:r>
              <w:rPr>
                <w:noProof/>
                <w:webHidden/>
              </w:rPr>
              <w:fldChar w:fldCharType="end"/>
            </w:r>
          </w:hyperlink>
        </w:p>
        <w:p w14:paraId="3417D072" w14:textId="77777777" w:rsidR="00BB7A85" w:rsidRDefault="00665C6C">
          <w:r>
            <w:fldChar w:fldCharType="end"/>
          </w:r>
        </w:p>
      </w:sdtContent>
    </w:sdt>
    <w:p w14:paraId="10A47750" w14:textId="77777777" w:rsidR="00BB7A85" w:rsidRDefault="00665C6C">
      <w:pPr>
        <w:pStyle w:val="Heading1"/>
      </w:pPr>
      <w:bookmarkStart w:id="0" w:name="abstract"/>
      <w:bookmarkStart w:id="1" w:name="_Toc483580691"/>
      <w:bookmarkEnd w:id="0"/>
      <w:r>
        <w:t>Abstract</w:t>
      </w:r>
      <w:bookmarkEnd w:id="1"/>
    </w:p>
    <w:p w14:paraId="1081FFFF" w14:textId="77777777" w:rsidR="00BB7A85" w:rsidRDefault="00665C6C">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w:t>
      </w:r>
      <w:r>
        <w:lastRenderedPageBreak/>
        <w:t>envir</w:t>
      </w:r>
      <w:r>
        <w:t>onmental impacts can jeopardize valuable habitats (e.g., mangroves, coral reefs, seagrass beds) and competition for coastal space can lead to conflicts with fisheries, tourism, and other uses. Farming further offshore is a possible option for alleviating t</w:t>
      </w:r>
      <w:r>
        <w:t>hese stresses. Using high-resolution environmental and economic data, we developed a spatial bio-economic model to identify suitable areas throughout the Caribbean for offshore finfish aquaculture, parameterized based on cobia (</w:t>
      </w:r>
      <w:r>
        <w:rPr>
          <w:i/>
        </w:rPr>
        <w:t>Rachycentron canadum</w:t>
      </w:r>
      <w:r>
        <w:t>), and t</w:t>
      </w:r>
      <w:r>
        <w:t>o estimate potential outcomes in terms of yields and profits under different market scenarios. We find that Caribbean nations contain XXXX hectares of marine space technically feasible and profitable for cobia aquaculture. Accounting for spatial difference</w:t>
      </w:r>
      <w:r>
        <w:t>s in cobia growth and production costs, we estimate the offshore cobia aquaculture production potential of the Caribbean to be XXX (MT). Areas associated with the highest relative economic potential were X, X, and X. Offshore aquaculture is a capital inten</w:t>
      </w:r>
      <w:r>
        <w:t>sive activity mediated by socioeconomic conditions, such as foreign investment risk and XX, which were found to be factors limiting production in our analysis. The results of this research can be used to help prioritize areas for offshore cobia aquaculture</w:t>
      </w:r>
      <w:r>
        <w:t xml:space="preserve"> development and as a framework for identifying priority areas for offshore aquaculture of other species. Additionally, we discuss the future potential of the development of offshore aquaculture in the Caribbean.</w:t>
      </w:r>
    </w:p>
    <w:p w14:paraId="66469B7F" w14:textId="77777777" w:rsidR="00BB7A85" w:rsidRDefault="00665C6C">
      <w:pPr>
        <w:pStyle w:val="Heading1"/>
      </w:pPr>
      <w:bookmarkStart w:id="2" w:name="introduction"/>
      <w:bookmarkStart w:id="3" w:name="_Toc483580692"/>
      <w:bookmarkEnd w:id="2"/>
      <w:r>
        <w:t>Introduction</w:t>
      </w:r>
      <w:bookmarkEnd w:id="3"/>
    </w:p>
    <w:p w14:paraId="3DC84A60" w14:textId="77777777" w:rsidR="00BB7A85" w:rsidRDefault="00665C6C">
      <w:pPr>
        <w:numPr>
          <w:ilvl w:val="0"/>
          <w:numId w:val="3"/>
        </w:numPr>
      </w:pPr>
      <w:r>
        <w:t>Summary and importance of glob</w:t>
      </w:r>
      <w:r>
        <w:t>al aquaculture production</w:t>
      </w:r>
    </w:p>
    <w:p w14:paraId="47DA2CA7" w14:textId="77777777" w:rsidR="00BB7A85" w:rsidRDefault="00665C6C">
      <w:pPr>
        <w:numPr>
          <w:ilvl w:val="1"/>
          <w:numId w:val="4"/>
        </w:numPr>
      </w:pPr>
      <w:r>
        <w:t>Projected increase in seafood demand and aquaculture as the most likely means to fill this demand (i.e., limited ability of wild fisheries to increase production)</w:t>
      </w:r>
    </w:p>
    <w:p w14:paraId="17EFCC1A" w14:textId="77777777" w:rsidR="00BB7A85" w:rsidRDefault="00665C6C">
      <w:pPr>
        <w:numPr>
          <w:ilvl w:val="1"/>
          <w:numId w:val="4"/>
        </w:numPr>
      </w:pPr>
      <w:r>
        <w:t>Brief summary of ecological, social and economic benefits of aquacu</w:t>
      </w:r>
      <w:r>
        <w:t>lture</w:t>
      </w:r>
    </w:p>
    <w:p w14:paraId="6575B538" w14:textId="77777777" w:rsidR="00BB7A85" w:rsidRDefault="00665C6C">
      <w:pPr>
        <w:numPr>
          <w:ilvl w:val="1"/>
          <w:numId w:val="4"/>
        </w:numPr>
      </w:pPr>
      <w:r>
        <w:t>Despite strong arguments for aquaculture growth to meet increasing seafood demand at a global scale, how aquaculture development and growth can and should be realized at a regional scale requires an understanding of the sustainable and economically v</w:t>
      </w:r>
      <w:r>
        <w:t>iable production potential of a region</w:t>
      </w:r>
    </w:p>
    <w:p w14:paraId="6FB612E3" w14:textId="77777777" w:rsidR="00BB7A85" w:rsidRDefault="00665C6C">
      <w:pPr>
        <w:pStyle w:val="Compact"/>
        <w:numPr>
          <w:ilvl w:val="0"/>
          <w:numId w:val="2"/>
        </w:numPr>
      </w:pPr>
      <w:r>
        <w:t>*Description of factors that must be considered when determining aquaculture production potential of a given region ( see (McKindsey et al. 2006); Dunn et al. 2013).</w:t>
      </w:r>
    </w:p>
    <w:p w14:paraId="36FF7DBC" w14:textId="77777777" w:rsidR="00BB7A85" w:rsidRDefault="00665C6C">
      <w:pPr>
        <w:pStyle w:val="Compact"/>
        <w:numPr>
          <w:ilvl w:val="1"/>
          <w:numId w:val="5"/>
        </w:numPr>
      </w:pPr>
      <w:r>
        <w:t>physical</w:t>
      </w:r>
    </w:p>
    <w:p w14:paraId="02876519" w14:textId="77777777" w:rsidR="00BB7A85" w:rsidRDefault="00665C6C">
      <w:pPr>
        <w:pStyle w:val="Compact"/>
        <w:numPr>
          <w:ilvl w:val="1"/>
          <w:numId w:val="5"/>
        </w:numPr>
      </w:pPr>
      <w:r>
        <w:t>ecological</w:t>
      </w:r>
    </w:p>
    <w:p w14:paraId="1F3E34B8" w14:textId="77777777" w:rsidR="00BB7A85" w:rsidRDefault="00665C6C">
      <w:pPr>
        <w:pStyle w:val="Compact"/>
        <w:numPr>
          <w:ilvl w:val="1"/>
          <w:numId w:val="5"/>
        </w:numPr>
      </w:pPr>
      <w:r>
        <w:t>social</w:t>
      </w:r>
    </w:p>
    <w:p w14:paraId="30793902" w14:textId="77777777" w:rsidR="00BB7A85" w:rsidRDefault="00665C6C">
      <w:pPr>
        <w:pStyle w:val="Compact"/>
        <w:numPr>
          <w:ilvl w:val="1"/>
          <w:numId w:val="5"/>
        </w:numPr>
      </w:pPr>
      <w:r>
        <w:t>economic</w:t>
      </w:r>
    </w:p>
    <w:p w14:paraId="358CDB1E" w14:textId="77777777" w:rsidR="00BB7A85" w:rsidRDefault="00665C6C">
      <w:pPr>
        <w:numPr>
          <w:ilvl w:val="0"/>
          <w:numId w:val="3"/>
        </w:numPr>
      </w:pPr>
      <w:r>
        <w:t>The Caribbean a</w:t>
      </w:r>
      <w:r>
        <w:t>s a region where aquaculture development could be particularly beneficial and current challenges to development</w:t>
      </w:r>
    </w:p>
    <w:p w14:paraId="77BEDC1F" w14:textId="77777777" w:rsidR="00BB7A85" w:rsidRDefault="00665C6C">
      <w:pPr>
        <w:numPr>
          <w:ilvl w:val="1"/>
          <w:numId w:val="6"/>
        </w:numPr>
      </w:pPr>
      <w:r>
        <w:t>Caribbean seafood consumption production, and trade (include information on seafood exports and imports)</w:t>
      </w:r>
    </w:p>
    <w:p w14:paraId="700F8360" w14:textId="77777777" w:rsidR="00BB7A85" w:rsidRDefault="00665C6C">
      <w:pPr>
        <w:numPr>
          <w:ilvl w:val="1"/>
          <w:numId w:val="6"/>
        </w:numPr>
      </w:pPr>
      <w:r>
        <w:t>A sentence or two about the characteris</w:t>
      </w:r>
      <w:r>
        <w:t xml:space="preserve">tics and status of fisheries in the Caribbean….probably not a lot of scope for increased production without risk of </w:t>
      </w:r>
      <w:r>
        <w:lastRenderedPageBreak/>
        <w:t>overfishing and/or negative ecosystem impacts (e.g., algal overgrowth of reefs from overfishing herbivores)</w:t>
      </w:r>
    </w:p>
    <w:p w14:paraId="1E2FEC4B" w14:textId="77777777" w:rsidR="00BB7A85" w:rsidRDefault="00665C6C">
      <w:pPr>
        <w:numPr>
          <w:ilvl w:val="1"/>
          <w:numId w:val="6"/>
        </w:numPr>
      </w:pPr>
      <w:r>
        <w:t>Describe current aquaculture pro</w:t>
      </w:r>
      <w:r>
        <w:t>duction occurring in the Caribbean (minimal), and specifically marine</w:t>
      </w:r>
    </w:p>
    <w:p w14:paraId="2F88BACF" w14:textId="77777777" w:rsidR="00BB7A85" w:rsidRDefault="00665C6C">
      <w:pPr>
        <w:numPr>
          <w:ilvl w:val="1"/>
          <w:numId w:val="6"/>
        </w:numPr>
      </w:pPr>
      <w:r>
        <w:t>Recently, further development of aquaculture has been identified as a priority in the Caribbean to reduce reliance on imports and provide a new source of income and livelihoods.</w:t>
      </w:r>
    </w:p>
    <w:p w14:paraId="2B736E91" w14:textId="77777777" w:rsidR="00BB7A85" w:rsidRDefault="00665C6C">
      <w:pPr>
        <w:numPr>
          <w:ilvl w:val="1"/>
          <w:numId w:val="6"/>
        </w:numPr>
      </w:pPr>
      <w:r>
        <w:t>Potentia</w:t>
      </w:r>
      <w:r>
        <w:t>l for land-based and coastal aquaculture in the Caribbean is extremely limited (explain why…..limited space on land, limited freshwater, limited energy resources(e.g. reliable electricity), , environmental concerns with coastal aquaculture), suggesting the</w:t>
      </w:r>
      <w:r>
        <w:t xml:space="preserve"> need to look to offshore aquaculture</w:t>
      </w:r>
    </w:p>
    <w:p w14:paraId="06658294" w14:textId="77777777" w:rsidR="00BB7A85" w:rsidRDefault="00665C6C">
      <w:pPr>
        <w:numPr>
          <w:ilvl w:val="1"/>
          <w:numId w:val="6"/>
        </w:numPr>
      </w:pPr>
      <w:r>
        <w:t>Barriers to the development of aquaculture in the Caribbean are lack of infrastructure, and political and economic stability, risk factors that deter private sector investors (</w:t>
      </w:r>
      <w:r>
        <w:rPr>
          <w:b/>
        </w:rPr>
        <w:t>???</w:t>
      </w:r>
      <w:r>
        <w:t>). In general, both political and econo</w:t>
      </w:r>
      <w:r>
        <w:t>mic conditions of a country determine how much risk is associated with investing in that country, and thus how much foreign direct investment is likely to occur (Schneider and Frey 1985). Political and economic instability has been identified as a major li</w:t>
      </w:r>
      <w:r>
        <w:t>miting factor to aquaculture development in the Caribbean (Rojas and Wadsworth 2007), with potential investors concerned that policies affecting aquaculture business will shift before they are able to make a profit.</w:t>
      </w:r>
    </w:p>
    <w:p w14:paraId="7F4F0954" w14:textId="77777777" w:rsidR="00BB7A85" w:rsidRDefault="00665C6C">
      <w:pPr>
        <w:numPr>
          <w:ilvl w:val="0"/>
          <w:numId w:val="3"/>
        </w:numPr>
      </w:pPr>
      <w:r>
        <w:t>Offshore aquaculture is an emerging appr</w:t>
      </w:r>
      <w:r>
        <w:t>oach to mariculture where farms are some distance offshore</w:t>
      </w:r>
    </w:p>
    <w:p w14:paraId="1625EA1B" w14:textId="77777777" w:rsidR="00BB7A85" w:rsidRDefault="00665C6C">
      <w:pPr>
        <w:numPr>
          <w:ilvl w:val="1"/>
          <w:numId w:val="7"/>
        </w:numPr>
      </w:pPr>
      <w:r>
        <w:t>Overview of offshore aquaculture worldwide (very brief)</w:t>
      </w:r>
    </w:p>
    <w:p w14:paraId="4792DAC3" w14:textId="77777777" w:rsidR="00BB7A85" w:rsidRDefault="00665C6C">
      <w:pPr>
        <w:numPr>
          <w:ilvl w:val="1"/>
          <w:numId w:val="7"/>
        </w:numPr>
      </w:pPr>
      <w:r>
        <w:t>Brief discussion of advantages of offshore aquaculture (specifically in the Caribbean)</w:t>
      </w:r>
    </w:p>
    <w:p w14:paraId="67DF3338" w14:textId="77777777" w:rsidR="00BB7A85" w:rsidRDefault="00665C6C">
      <w:pPr>
        <w:numPr>
          <w:ilvl w:val="1"/>
          <w:numId w:val="7"/>
        </w:numPr>
      </w:pPr>
      <w:r>
        <w:t>Likely species/technology in the Caribbean (concluding that cobia is one of the more promising species because it is fast growing, has had demonstrated success in offshore farms, is a high value species, etc. and thus is the focus of our analysis)</w:t>
      </w:r>
    </w:p>
    <w:p w14:paraId="78BCD703" w14:textId="77777777" w:rsidR="00BB7A85" w:rsidRDefault="00665C6C">
      <w:pPr>
        <w:numPr>
          <w:ilvl w:val="0"/>
          <w:numId w:val="3"/>
        </w:numPr>
      </w:pPr>
      <w:r>
        <w:t>Overview</w:t>
      </w:r>
      <w:r>
        <w:t xml:space="preserve"> of cobia biology and cobia farming (this section should make it clear why SST was not a necessary layer in our suitability assessment , but was important to consider in our growth model).</w:t>
      </w:r>
    </w:p>
    <w:p w14:paraId="7F918EF7" w14:textId="77777777" w:rsidR="00BB7A85" w:rsidRDefault="00665C6C">
      <w:pPr>
        <w:numPr>
          <w:ilvl w:val="0"/>
          <w:numId w:val="3"/>
        </w:numPr>
      </w:pPr>
      <w:r>
        <w:t>Introducing our study</w:t>
      </w:r>
    </w:p>
    <w:p w14:paraId="0E2683C2" w14:textId="77777777" w:rsidR="00BB7A85" w:rsidRDefault="00665C6C">
      <w:pPr>
        <w:numPr>
          <w:ilvl w:val="1"/>
          <w:numId w:val="8"/>
        </w:numPr>
      </w:pPr>
      <w:r>
        <w:t>Offshore aquaculture is nearly untapped in th</w:t>
      </w:r>
      <w:r>
        <w:t>e Caribbean, raising questions about what the actual potential is, how that potential varies across the many EEZs of the Caribbean, and what factors are currently most likely to be limiting development</w:t>
      </w:r>
    </w:p>
    <w:p w14:paraId="76995DD9" w14:textId="77777777" w:rsidR="00BB7A85" w:rsidRDefault="00665C6C">
      <w:pPr>
        <w:numPr>
          <w:ilvl w:val="1"/>
          <w:numId w:val="8"/>
        </w:numPr>
      </w:pPr>
      <w:r>
        <w:lastRenderedPageBreak/>
        <w:t>Using high resolution spatial data, we develop a spati</w:t>
      </w:r>
      <w:r>
        <w:t>al bioeconomic model to estimate the total production potential (in terms of weight and revenue) of offshore cobia mariculture in the Caribbean region. We examine the spatial distribution of offshore mariculture potential to identify ‘hotspots’ locations (</w:t>
      </w:r>
      <w:r>
        <w:t>in terms of weight and revenue) for future offshore mariculture farm development. We examine the variation of individual farm profitability between and across EEZs to determine the importance of site selection in mariculture development and to quantify the</w:t>
      </w:r>
      <w:r>
        <w:t xml:space="preserve"> potential benefits of strategic spatial planning. We explore these results under several scenarios of cobia production using a supply and demand curve to set cobia market price. We also run sensitivity analyses on fixed parameters to identify and quantify</w:t>
      </w:r>
      <w:r>
        <w:t xml:space="preserve"> the effects of factors constraining our model. Our approach could be applied to other farmed species or applied to other regions, and our results can help to chart a course for a sustainable and economically prosperous offshore mariculture industry in the</w:t>
      </w:r>
      <w:r>
        <w:t xml:space="preserve"> Caribbean.</w:t>
      </w:r>
    </w:p>
    <w:p w14:paraId="74B24CC2" w14:textId="77777777" w:rsidR="00BB7A85" w:rsidRDefault="00665C6C">
      <w:pPr>
        <w:pStyle w:val="Heading1"/>
      </w:pPr>
      <w:bookmarkStart w:id="4" w:name="methods"/>
      <w:bookmarkStart w:id="5" w:name="_Toc483580693"/>
      <w:bookmarkEnd w:id="4"/>
      <w:r>
        <w:t>Methods</w:t>
      </w:r>
      <w:bookmarkEnd w:id="5"/>
    </w:p>
    <w:p w14:paraId="7737A349" w14:textId="77777777" w:rsidR="00BB7A85" w:rsidRDefault="00665C6C">
      <w:pPr>
        <w:pStyle w:val="Heading2"/>
      </w:pPr>
      <w:bookmarkStart w:id="6" w:name="description-of-study-region"/>
      <w:bookmarkStart w:id="7" w:name="_Toc483580694"/>
      <w:bookmarkEnd w:id="6"/>
      <w:r>
        <w:t>Description of Study Region</w:t>
      </w:r>
      <w:bookmarkEnd w:id="7"/>
    </w:p>
    <w:p w14:paraId="2C802E9E" w14:textId="77777777" w:rsidR="00BB7A85" w:rsidRDefault="00665C6C">
      <w:pPr>
        <w:pStyle w:val="FirstParagraph"/>
      </w:pPr>
      <w:r>
        <w:t>Our study domain includes the territorial waters and Exclusive Economic Zones (EEZs) surrounding the 28 island countries that comprise the Greater and Lesser Antilles of the Caribbean Sea (Figure 1). All anal</w:t>
      </w:r>
      <w:r>
        <w:t>yses were performed at a 1 km</w:t>
      </w:r>
      <w:r>
        <w:rPr>
          <w:vertAlign w:val="superscript"/>
        </w:rPr>
        <w:t>2</w:t>
      </w:r>
      <w:r>
        <w:t xml:space="preserve"> spatial resolution. We did not consider the potential of offshore aquaculture development in the high seas or disputed waters. A shapefile from VLIZ (2014) was used to define the maritime boundaries for all island countries.</w:t>
      </w:r>
    </w:p>
    <w:p w14:paraId="4C892A0E" w14:textId="77777777" w:rsidR="00BB7A85" w:rsidRDefault="00665C6C">
      <w:pPr>
        <w:pStyle w:val="FigurewithCaption"/>
      </w:pPr>
      <w:r>
        <w:rPr>
          <w:noProof/>
        </w:rPr>
        <w:lastRenderedPageBreak/>
        <w:drawing>
          <wp:inline distT="0" distB="0" distL="0" distR="0" wp14:anchorId="3C1AD12F" wp14:editId="6BD7DAF8">
            <wp:extent cx="5334000" cy="3282461"/>
            <wp:effectExtent l="0" t="0" r="0" b="0"/>
            <wp:docPr id="1" name="Picture" descr="The study area for this project is indicated in blue. EEZ boundary data were obtained from VLIZ (2016)."/>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fig1.tmap-1.png"/>
                    <pic:cNvPicPr>
                      <a:picLocks noChangeAspect="1" noChangeArrowheads="1"/>
                    </pic:cNvPicPr>
                  </pic:nvPicPr>
                  <pic:blipFill>
                    <a:blip r:embed="rId7"/>
                    <a:stretch>
                      <a:fillRect/>
                    </a:stretch>
                  </pic:blipFill>
                  <pic:spPr bwMode="auto">
                    <a:xfrm>
                      <a:off x="0" y="0"/>
                      <a:ext cx="5334000" cy="3282461"/>
                    </a:xfrm>
                    <a:prstGeom prst="rect">
                      <a:avLst/>
                    </a:prstGeom>
                    <a:noFill/>
                    <a:ln w="9525">
                      <a:noFill/>
                      <a:headEnd/>
                      <a:tailEnd/>
                    </a:ln>
                  </pic:spPr>
                </pic:pic>
              </a:graphicData>
            </a:graphic>
          </wp:inline>
        </w:drawing>
      </w:r>
    </w:p>
    <w:p w14:paraId="451F3FF0" w14:textId="77777777" w:rsidR="00BB7A85" w:rsidRDefault="00665C6C">
      <w:pPr>
        <w:pStyle w:val="ImageCaption"/>
      </w:pPr>
      <w:r>
        <w:t>The study area for this project is indicated in blue. EEZ boundary data were obtained from VLIZ (2016).</w:t>
      </w:r>
    </w:p>
    <w:p w14:paraId="5AE4C6C2" w14:textId="77777777" w:rsidR="00BB7A85" w:rsidRDefault="00665C6C">
      <w:pPr>
        <w:pStyle w:val="Heading2"/>
      </w:pPr>
      <w:bookmarkStart w:id="8" w:name="overview"/>
      <w:bookmarkStart w:id="9" w:name="_Toc483580695"/>
      <w:bookmarkEnd w:id="8"/>
      <w:r>
        <w:t>Overview</w:t>
      </w:r>
      <w:bookmarkEnd w:id="9"/>
    </w:p>
    <w:p w14:paraId="15A9E1E3" w14:textId="77777777" w:rsidR="00BB7A85" w:rsidRDefault="00665C6C">
      <w:pPr>
        <w:pStyle w:val="FirstParagraph"/>
      </w:pPr>
      <w:r>
        <w:t>We develop a spatial bioeconomic model to estimate the production potential (in terms of biomass (</w:t>
      </w:r>
      <w:r>
        <w:rPr>
          <w:i/>
        </w:rPr>
        <w:t>t</w:t>
      </w:r>
      <w:r>
        <w:t>) and Net Present Value (NPV)) for offshore cobia mariculture in the Caribbean region (Figure 1). The first steps of our analyses are to identify 1 km</w:t>
      </w:r>
      <w:r>
        <w:rPr>
          <w:vertAlign w:val="superscript"/>
        </w:rPr>
        <w:t>2</w:t>
      </w:r>
      <w:r>
        <w:t xml:space="preserve"> sites throughout the study region that would be suitable for mariculture development and create a hypoth</w:t>
      </w:r>
      <w:r>
        <w:t>etical farm design to apply to all suitable sites. Next, we apply a temperature performance curve (TPC) to predict temperature-dependent growth of cobia at each farm and we establish supply curves to determine national and Caribbean-wide cobia production t</w:t>
      </w:r>
      <w:r>
        <w:t>hat would be achieved under several scenarios of cobia price and production costs. We also develop a demand curve to consider a scenario where Caribbean production affects the global price of cobia. Finally, we use the estimated price parameter and the cos</w:t>
      </w:r>
      <w:r>
        <w:t>t parameters derived from the literature to calculate Net Present Value (</w:t>
      </w:r>
      <w:r>
        <w:rPr>
          <w:i/>
        </w:rPr>
        <w:t>NPV</w:t>
      </w:r>
      <w:r>
        <w:t>) over a 10 year time horizon. We assume that only farms that have a positive NPV will be developed.</w:t>
      </w:r>
    </w:p>
    <w:p w14:paraId="314B7A09" w14:textId="77777777" w:rsidR="00BB7A85" w:rsidRDefault="00665C6C">
      <w:pPr>
        <w:pStyle w:val="FigurewithCaption"/>
      </w:pPr>
      <w:r>
        <w:rPr>
          <w:noProof/>
        </w:rPr>
        <w:lastRenderedPageBreak/>
        <w:drawing>
          <wp:inline distT="0" distB="0" distL="0" distR="0" wp14:anchorId="52F84405" wp14:editId="19564B43">
            <wp:extent cx="5334000" cy="3000375"/>
            <wp:effectExtent l="0" t="0" r="0" b="0"/>
            <wp:docPr id="2" name="Picture" descr="Model schematic for estimating cobia aquaculture production potential. Green squares indicate model inputs, blue squares indicate model components, and orange squares indicate model outputs."/>
            <wp:cNvGraphicFramePr/>
            <a:graphic xmlns:a="http://schemas.openxmlformats.org/drawingml/2006/main">
              <a:graphicData uri="http://schemas.openxmlformats.org/drawingml/2006/picture">
                <pic:pic xmlns:pic="http://schemas.openxmlformats.org/drawingml/2006/picture">
                  <pic:nvPicPr>
                    <pic:cNvPr id="0" name="Picture" descr="modelflow/modelflow2/Slide1.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37958A6E" w14:textId="77777777" w:rsidR="00BB7A85" w:rsidRDefault="00665C6C">
      <w:pPr>
        <w:pStyle w:val="ImageCaption"/>
      </w:pPr>
      <w:r>
        <w:t xml:space="preserve">Model schematic for estimating cobia aquaculture production potential. Green </w:t>
      </w:r>
      <w:r>
        <w:t>squares indicate model inputs, blue squares indicate model components, and orange squares indicate model outputs.</w:t>
      </w:r>
    </w:p>
    <w:p w14:paraId="7EEC6BA8" w14:textId="77777777" w:rsidR="00BB7A85" w:rsidRDefault="00665C6C">
      <w:pPr>
        <w:pStyle w:val="Heading2"/>
      </w:pPr>
      <w:bookmarkStart w:id="10" w:name="suitability-assessment"/>
      <w:bookmarkStart w:id="11" w:name="_Toc483580696"/>
      <w:bookmarkEnd w:id="10"/>
      <w:r>
        <w:t>Suitability Assessment</w:t>
      </w:r>
      <w:bookmarkEnd w:id="11"/>
    </w:p>
    <w:p w14:paraId="4EEB1A18" w14:textId="77777777" w:rsidR="00BB7A85" w:rsidRDefault="00665C6C">
      <w:pPr>
        <w:pStyle w:val="FirstParagraph"/>
      </w:pPr>
      <w:r>
        <w:t>The first step in our analysis was to conduct an assessment to identify areas that are potentially suitable for the dev</w:t>
      </w:r>
      <w:r>
        <w:t>elopment of offshore mariculture. To determine what areas are suitable, we considered six factors: depth, current speed, coral reef presence, shipping activity, oil structures, and areas designated for conservation (Table 1).</w:t>
      </w:r>
    </w:p>
    <w:p w14:paraId="2C54F38C" w14:textId="77777777" w:rsidR="00BB7A85" w:rsidRDefault="00665C6C">
      <w:pPr>
        <w:pStyle w:val="TableCaption"/>
      </w:pPr>
      <w:r>
        <w:t>Table 1: Description of spatia</w:t>
      </w:r>
      <w:r>
        <w:t>l data layers and criteria used to identify cells suitable for development of offshore aquaculture in the Caribbean</w:t>
      </w:r>
    </w:p>
    <w:tbl>
      <w:tblPr>
        <w:tblW w:w="5000" w:type="pct"/>
        <w:tblLook w:val="07E0" w:firstRow="1" w:lastRow="1" w:firstColumn="1" w:lastColumn="1" w:noHBand="1" w:noVBand="1"/>
        <w:tblCaption w:val="Table 1: Description of spatial data layers and criteria used to identify cells suitable for development of offshore aquaculture in the Caribbean"/>
      </w:tblPr>
      <w:tblGrid>
        <w:gridCol w:w="1241"/>
        <w:gridCol w:w="835"/>
        <w:gridCol w:w="2250"/>
        <w:gridCol w:w="1520"/>
        <w:gridCol w:w="3730"/>
      </w:tblGrid>
      <w:tr w:rsidR="00BB7A85" w14:paraId="5452A91A" w14:textId="77777777">
        <w:tc>
          <w:tcPr>
            <w:tcW w:w="0" w:type="auto"/>
            <w:tcBorders>
              <w:bottom w:val="single" w:sz="0" w:space="0" w:color="auto"/>
            </w:tcBorders>
            <w:vAlign w:val="bottom"/>
          </w:tcPr>
          <w:p w14:paraId="520FF9C1" w14:textId="77777777" w:rsidR="00BB7A85" w:rsidRDefault="00665C6C">
            <w:pPr>
              <w:pStyle w:val="Compact"/>
              <w:jc w:val="center"/>
            </w:pPr>
            <w:r>
              <w:t>Layer</w:t>
            </w:r>
          </w:p>
        </w:tc>
        <w:tc>
          <w:tcPr>
            <w:tcW w:w="0" w:type="auto"/>
            <w:tcBorders>
              <w:bottom w:val="single" w:sz="0" w:space="0" w:color="auto"/>
            </w:tcBorders>
            <w:vAlign w:val="bottom"/>
          </w:tcPr>
          <w:p w14:paraId="49ED4E49" w14:textId="77777777" w:rsidR="00BB7A85" w:rsidRDefault="00665C6C">
            <w:pPr>
              <w:pStyle w:val="Compact"/>
              <w:jc w:val="center"/>
            </w:pPr>
            <w:r>
              <w:t>Year</w:t>
            </w:r>
          </w:p>
        </w:tc>
        <w:tc>
          <w:tcPr>
            <w:tcW w:w="0" w:type="auto"/>
            <w:tcBorders>
              <w:bottom w:val="single" w:sz="0" w:space="0" w:color="auto"/>
            </w:tcBorders>
            <w:vAlign w:val="bottom"/>
          </w:tcPr>
          <w:p w14:paraId="2FE112F3" w14:textId="77777777" w:rsidR="00BB7A85" w:rsidRDefault="00665C6C">
            <w:pPr>
              <w:pStyle w:val="Compact"/>
              <w:jc w:val="center"/>
            </w:pPr>
            <w:r>
              <w:t>Description</w:t>
            </w:r>
          </w:p>
        </w:tc>
        <w:tc>
          <w:tcPr>
            <w:tcW w:w="0" w:type="auto"/>
            <w:tcBorders>
              <w:bottom w:val="single" w:sz="0" w:space="0" w:color="auto"/>
            </w:tcBorders>
            <w:vAlign w:val="bottom"/>
          </w:tcPr>
          <w:p w14:paraId="68A0B23E" w14:textId="77777777" w:rsidR="00BB7A85" w:rsidRDefault="00665C6C">
            <w:pPr>
              <w:pStyle w:val="Compact"/>
              <w:jc w:val="center"/>
            </w:pPr>
            <w:r>
              <w:t>Criteria</w:t>
            </w:r>
          </w:p>
        </w:tc>
        <w:tc>
          <w:tcPr>
            <w:tcW w:w="0" w:type="auto"/>
            <w:tcBorders>
              <w:bottom w:val="single" w:sz="0" w:space="0" w:color="auto"/>
            </w:tcBorders>
            <w:vAlign w:val="bottom"/>
          </w:tcPr>
          <w:p w14:paraId="77E2D6AD" w14:textId="77777777" w:rsidR="00BB7A85" w:rsidRDefault="00665C6C">
            <w:pPr>
              <w:pStyle w:val="Compact"/>
              <w:jc w:val="center"/>
            </w:pPr>
            <w:r>
              <w:t>Source</w:t>
            </w:r>
          </w:p>
        </w:tc>
      </w:tr>
      <w:tr w:rsidR="00BB7A85" w14:paraId="535D07D7" w14:textId="77777777">
        <w:tc>
          <w:tcPr>
            <w:tcW w:w="0" w:type="auto"/>
          </w:tcPr>
          <w:p w14:paraId="022E26D6" w14:textId="77777777" w:rsidR="00BB7A85" w:rsidRDefault="00665C6C">
            <w:pPr>
              <w:pStyle w:val="Compact"/>
              <w:jc w:val="center"/>
            </w:pPr>
            <w:r>
              <w:t>Marine Protected Areas</w:t>
            </w:r>
          </w:p>
        </w:tc>
        <w:tc>
          <w:tcPr>
            <w:tcW w:w="0" w:type="auto"/>
          </w:tcPr>
          <w:p w14:paraId="3F9491CB" w14:textId="77777777" w:rsidR="00BB7A85" w:rsidRDefault="00665C6C">
            <w:pPr>
              <w:pStyle w:val="Compact"/>
              <w:jc w:val="center"/>
            </w:pPr>
            <w:r>
              <w:t>2016</w:t>
            </w:r>
          </w:p>
        </w:tc>
        <w:tc>
          <w:tcPr>
            <w:tcW w:w="0" w:type="auto"/>
          </w:tcPr>
          <w:p w14:paraId="41A9FF7A" w14:textId="77777777" w:rsidR="00BB7A85" w:rsidRDefault="00665C6C">
            <w:pPr>
              <w:pStyle w:val="Compact"/>
              <w:jc w:val="center"/>
            </w:pPr>
            <w:r>
              <w:t xml:space="preserve">The most comprehensive global database on conservation areas which includes marine protected areas (MPAs) and areas that achieve conservation in the long-term, referred to as other effective area-based conservation measures (OECMs). </w:t>
            </w:r>
            <w:r>
              <w:lastRenderedPageBreak/>
              <w:t>We filtered this data s</w:t>
            </w:r>
            <w:r>
              <w:t>et to include protected areas that are located partially or completely within the marine environment. Areas classified as designated or proposed, in addition to those already established, were included to be conservative in terms of limiting aquaculture de</w:t>
            </w:r>
            <w:r>
              <w:t>velopment in areas of high conservation priority.</w:t>
            </w:r>
          </w:p>
        </w:tc>
        <w:tc>
          <w:tcPr>
            <w:tcW w:w="0" w:type="auto"/>
          </w:tcPr>
          <w:p w14:paraId="31BAB6ED" w14:textId="77777777" w:rsidR="00BB7A85" w:rsidRDefault="00665C6C">
            <w:pPr>
              <w:pStyle w:val="Compact"/>
              <w:jc w:val="center"/>
            </w:pPr>
            <w:r>
              <w:lastRenderedPageBreak/>
              <w:t>Not an established, designated or proposed Marine Protected Area</w:t>
            </w:r>
          </w:p>
        </w:tc>
        <w:tc>
          <w:tcPr>
            <w:tcW w:w="0" w:type="auto"/>
          </w:tcPr>
          <w:p w14:paraId="63086023" w14:textId="77777777" w:rsidR="00BB7A85" w:rsidRDefault="00665C6C">
            <w:pPr>
              <w:pStyle w:val="Compact"/>
              <w:jc w:val="center"/>
            </w:pPr>
            <w:r>
              <w:t>IUCN and UNEP-WCMC 2016</w:t>
            </w:r>
          </w:p>
        </w:tc>
      </w:tr>
      <w:tr w:rsidR="00BB7A85" w14:paraId="3829CD9F" w14:textId="77777777">
        <w:tc>
          <w:tcPr>
            <w:tcW w:w="0" w:type="auto"/>
          </w:tcPr>
          <w:p w14:paraId="330296E0" w14:textId="77777777" w:rsidR="00BB7A85" w:rsidRDefault="00665C6C">
            <w:pPr>
              <w:pStyle w:val="Compact"/>
              <w:jc w:val="center"/>
            </w:pPr>
            <w:r>
              <w:lastRenderedPageBreak/>
              <w:t>Oil Rigs</w:t>
            </w:r>
          </w:p>
        </w:tc>
        <w:tc>
          <w:tcPr>
            <w:tcW w:w="0" w:type="auto"/>
          </w:tcPr>
          <w:p w14:paraId="0562EC11" w14:textId="77777777" w:rsidR="00BB7A85" w:rsidRDefault="00665C6C">
            <w:pPr>
              <w:pStyle w:val="Compact"/>
              <w:jc w:val="center"/>
            </w:pPr>
            <w:r>
              <w:t>2003</w:t>
            </w:r>
          </w:p>
        </w:tc>
        <w:tc>
          <w:tcPr>
            <w:tcW w:w="0" w:type="auto"/>
          </w:tcPr>
          <w:p w14:paraId="3F06EFBD" w14:textId="77777777" w:rsidR="00BB7A85" w:rsidRDefault="00665C6C">
            <w:pPr>
              <w:pStyle w:val="Compact"/>
              <w:jc w:val="center"/>
            </w:pPr>
            <w:r>
              <w:t>Stable light flares from NOAA's National Geophysical Data Center (NGDC) with ephemeral sources of ligh</w:t>
            </w:r>
            <w:r>
              <w:t>ts removed were isolated using spectra analysis to identify location of oil rigs in the ocean.</w:t>
            </w:r>
          </w:p>
        </w:tc>
        <w:tc>
          <w:tcPr>
            <w:tcW w:w="0" w:type="auto"/>
          </w:tcPr>
          <w:p w14:paraId="0827FBE8" w14:textId="77777777" w:rsidR="00BB7A85" w:rsidRDefault="00665C6C">
            <w:pPr>
              <w:pStyle w:val="Compact"/>
              <w:jc w:val="center"/>
            </w:pPr>
            <w:r>
              <w:t>No existing benthic oil structures</w:t>
            </w:r>
          </w:p>
        </w:tc>
        <w:tc>
          <w:tcPr>
            <w:tcW w:w="0" w:type="auto"/>
          </w:tcPr>
          <w:p w14:paraId="00F7A962" w14:textId="77777777" w:rsidR="00BB7A85" w:rsidRDefault="00665C6C">
            <w:pPr>
              <w:pStyle w:val="Compact"/>
              <w:jc w:val="center"/>
            </w:pPr>
            <w:r>
              <w:t>Halpern et al. 2008</w:t>
            </w:r>
          </w:p>
        </w:tc>
      </w:tr>
      <w:tr w:rsidR="00BB7A85" w14:paraId="06FC1517" w14:textId="77777777">
        <w:tc>
          <w:tcPr>
            <w:tcW w:w="0" w:type="auto"/>
          </w:tcPr>
          <w:p w14:paraId="36C22F5F" w14:textId="77777777" w:rsidR="00BB7A85" w:rsidRDefault="00665C6C">
            <w:pPr>
              <w:pStyle w:val="Compact"/>
              <w:jc w:val="center"/>
            </w:pPr>
            <w:r>
              <w:t>Shipping</w:t>
            </w:r>
          </w:p>
        </w:tc>
        <w:tc>
          <w:tcPr>
            <w:tcW w:w="0" w:type="auto"/>
          </w:tcPr>
          <w:p w14:paraId="52A00FF3" w14:textId="77777777" w:rsidR="00BB7A85" w:rsidRDefault="00665C6C">
            <w:pPr>
              <w:pStyle w:val="Compact"/>
              <w:jc w:val="center"/>
            </w:pPr>
            <w:r>
              <w:t>2005</w:t>
            </w:r>
          </w:p>
        </w:tc>
        <w:tc>
          <w:tcPr>
            <w:tcW w:w="0" w:type="auto"/>
          </w:tcPr>
          <w:p w14:paraId="6190BF35" w14:textId="77777777" w:rsidR="00BB7A85" w:rsidRDefault="00665C6C">
            <w:pPr>
              <w:pStyle w:val="Compact"/>
              <w:jc w:val="center"/>
            </w:pPr>
            <w:r>
              <w:t>Mobile data on 3,374 large (&gt; 1000 gross tonnage) commercial and research vessels at sea in</w:t>
            </w:r>
            <w:r>
              <w:t xml:space="preserve"> 2005 were obtained from the World Meteorological Organization </w:t>
            </w:r>
            <w:r>
              <w:lastRenderedPageBreak/>
              <w:t>Voluntary Observing Ships Scheme. Ship tracks were then created assuming ships travel in straight lines. Values ranged from 0 to 1,158 and represent the number of ship tracks recorded in a sing</w:t>
            </w:r>
            <w:r>
              <w:t>le 1 km2 cell over a one year period</w:t>
            </w:r>
          </w:p>
        </w:tc>
        <w:tc>
          <w:tcPr>
            <w:tcW w:w="0" w:type="auto"/>
          </w:tcPr>
          <w:p w14:paraId="09043D9B" w14:textId="77777777" w:rsidR="00BB7A85" w:rsidRDefault="00665C6C">
            <w:pPr>
              <w:pStyle w:val="Compact"/>
              <w:jc w:val="center"/>
            </w:pPr>
            <w:r>
              <w:lastRenderedPageBreak/>
              <w:t>Not included in the top 10% of relative shipping activity in the Caribbean</w:t>
            </w:r>
          </w:p>
        </w:tc>
        <w:tc>
          <w:tcPr>
            <w:tcW w:w="0" w:type="auto"/>
          </w:tcPr>
          <w:p w14:paraId="02BC25A0" w14:textId="77777777" w:rsidR="00BB7A85" w:rsidRDefault="00665C6C">
            <w:pPr>
              <w:pStyle w:val="Compact"/>
              <w:jc w:val="center"/>
            </w:pPr>
            <w:r>
              <w:t>Halpern et al. 2008</w:t>
            </w:r>
          </w:p>
        </w:tc>
      </w:tr>
      <w:tr w:rsidR="00BB7A85" w14:paraId="247C171F" w14:textId="77777777">
        <w:tc>
          <w:tcPr>
            <w:tcW w:w="0" w:type="auto"/>
          </w:tcPr>
          <w:p w14:paraId="0FC1BC0C" w14:textId="77777777" w:rsidR="00BB7A85" w:rsidRDefault="00665C6C">
            <w:pPr>
              <w:pStyle w:val="Compact"/>
              <w:jc w:val="center"/>
            </w:pPr>
            <w:r>
              <w:lastRenderedPageBreak/>
              <w:t>Coral Reefs</w:t>
            </w:r>
          </w:p>
        </w:tc>
        <w:tc>
          <w:tcPr>
            <w:tcW w:w="0" w:type="auto"/>
          </w:tcPr>
          <w:p w14:paraId="1657D4AC" w14:textId="77777777" w:rsidR="00BB7A85" w:rsidRDefault="00665C6C">
            <w:pPr>
              <w:pStyle w:val="Compact"/>
              <w:jc w:val="center"/>
            </w:pPr>
            <w:r>
              <w:t>2010</w:t>
            </w:r>
          </w:p>
        </w:tc>
        <w:tc>
          <w:tcPr>
            <w:tcW w:w="0" w:type="auto"/>
          </w:tcPr>
          <w:p w14:paraId="4286772E" w14:textId="77777777" w:rsidR="00BB7A85" w:rsidRDefault="00665C6C">
            <w:pPr>
              <w:pStyle w:val="Compact"/>
              <w:jc w:val="center"/>
            </w:pPr>
            <w:r>
              <w:t>Dataset on the distribution of coral reefs in tropical and subtropical regions. Data sources include the Millennium coral Reef Mapping Project (2005) and the World Atlas of Coral Reefs (Spaliding 2001).</w:t>
            </w:r>
          </w:p>
        </w:tc>
        <w:tc>
          <w:tcPr>
            <w:tcW w:w="0" w:type="auto"/>
          </w:tcPr>
          <w:p w14:paraId="3B96F3BE" w14:textId="77777777" w:rsidR="00BB7A85" w:rsidRDefault="00665C6C">
            <w:pPr>
              <w:pStyle w:val="Compact"/>
              <w:jc w:val="center"/>
            </w:pPr>
            <w:r>
              <w:t>No coral reefs are present in the 1 km2 area</w:t>
            </w:r>
          </w:p>
        </w:tc>
        <w:tc>
          <w:tcPr>
            <w:tcW w:w="0" w:type="auto"/>
          </w:tcPr>
          <w:p w14:paraId="2911A1E2" w14:textId="77777777" w:rsidR="00BB7A85" w:rsidRDefault="00665C6C">
            <w:pPr>
              <w:pStyle w:val="Compact"/>
              <w:jc w:val="center"/>
            </w:pPr>
            <w:r>
              <w:t>UNEP-WCM</w:t>
            </w:r>
            <w:r>
              <w:t>C, WorldFish Centre,¾WRI,¾TNC¾2010</w:t>
            </w:r>
          </w:p>
        </w:tc>
      </w:tr>
      <w:tr w:rsidR="00BB7A85" w14:paraId="36771A17" w14:textId="77777777">
        <w:tc>
          <w:tcPr>
            <w:tcW w:w="0" w:type="auto"/>
          </w:tcPr>
          <w:p w14:paraId="478FC6B2" w14:textId="77777777" w:rsidR="00BB7A85" w:rsidRDefault="00665C6C">
            <w:pPr>
              <w:pStyle w:val="Compact"/>
              <w:jc w:val="center"/>
            </w:pPr>
            <w:r>
              <w:t>Depth</w:t>
            </w:r>
          </w:p>
        </w:tc>
        <w:tc>
          <w:tcPr>
            <w:tcW w:w="0" w:type="auto"/>
          </w:tcPr>
          <w:p w14:paraId="71C66A9C" w14:textId="77777777" w:rsidR="00BB7A85" w:rsidRDefault="00665C6C">
            <w:pPr>
              <w:pStyle w:val="Compact"/>
              <w:jc w:val="center"/>
            </w:pPr>
            <w:r>
              <w:t>2009</w:t>
            </w:r>
          </w:p>
        </w:tc>
        <w:tc>
          <w:tcPr>
            <w:tcW w:w="0" w:type="auto"/>
          </w:tcPr>
          <w:p w14:paraId="63F4DB9B" w14:textId="77777777" w:rsidR="00BB7A85" w:rsidRDefault="00665C6C">
            <w:pPr>
              <w:pStyle w:val="Compact"/>
              <w:jc w:val="center"/>
            </w:pPr>
            <w:r>
              <w:t>Global measured and estimated seafloor topography data from satellite altimetry and ship depth soundings</w:t>
            </w:r>
          </w:p>
        </w:tc>
        <w:tc>
          <w:tcPr>
            <w:tcW w:w="0" w:type="auto"/>
          </w:tcPr>
          <w:p w14:paraId="4399A9BE" w14:textId="77777777" w:rsidR="00BB7A85" w:rsidRDefault="00665C6C">
            <w:pPr>
              <w:pStyle w:val="Compact"/>
              <w:jc w:val="center"/>
            </w:pPr>
            <w:r>
              <w:t>Depths &gt;=25 and &lt; = 100</w:t>
            </w:r>
          </w:p>
        </w:tc>
        <w:tc>
          <w:tcPr>
            <w:tcW w:w="0" w:type="auto"/>
          </w:tcPr>
          <w:p w14:paraId="7911AF18" w14:textId="77777777" w:rsidR="00BB7A85" w:rsidRDefault="00665C6C">
            <w:pPr>
              <w:pStyle w:val="Compact"/>
              <w:jc w:val="center"/>
            </w:pPr>
            <w:r>
              <w:t>Kapetsky et al. 2013</w:t>
            </w:r>
          </w:p>
        </w:tc>
      </w:tr>
      <w:tr w:rsidR="00BB7A85" w14:paraId="7C241A7A" w14:textId="77777777">
        <w:tc>
          <w:tcPr>
            <w:tcW w:w="0" w:type="auto"/>
          </w:tcPr>
          <w:p w14:paraId="1230AD44" w14:textId="77777777" w:rsidR="00BB7A85" w:rsidRDefault="00665C6C">
            <w:pPr>
              <w:pStyle w:val="Compact"/>
              <w:jc w:val="center"/>
            </w:pPr>
            <w:r>
              <w:t>Current Velocity</w:t>
            </w:r>
          </w:p>
        </w:tc>
        <w:tc>
          <w:tcPr>
            <w:tcW w:w="0" w:type="auto"/>
          </w:tcPr>
          <w:p w14:paraId="7073B310" w14:textId="77777777" w:rsidR="00BB7A85" w:rsidRDefault="00665C6C">
            <w:pPr>
              <w:pStyle w:val="Compact"/>
              <w:jc w:val="center"/>
            </w:pPr>
            <w:r>
              <w:t>2005-2015</w:t>
            </w:r>
          </w:p>
        </w:tc>
        <w:tc>
          <w:tcPr>
            <w:tcW w:w="0" w:type="auto"/>
          </w:tcPr>
          <w:p w14:paraId="21A950D8" w14:textId="77777777" w:rsidR="00BB7A85" w:rsidRDefault="00665C6C">
            <w:pPr>
              <w:pStyle w:val="Compact"/>
              <w:jc w:val="center"/>
            </w:pPr>
            <w:r>
              <w:t>OSCAR (Ocean Surface Current An</w:t>
            </w:r>
            <w:r>
              <w:t xml:space="preserve">alysis Real-time) contains near-surface ocean current estimates, derived using quasi-linear and steady flow momentum </w:t>
            </w:r>
            <w:r>
              <w:lastRenderedPageBreak/>
              <w:t>equations. The horizontal velocity is directly estimated from sea surface height, surface vector wind and sea surface temperature. These da</w:t>
            </w:r>
            <w:r>
              <w:t>ta were collected from the various satellites and in situ instruments. The model formulation combines geostrophic, Ekman and Stommel shear dynamics, and a complementary term from the surface buoyancy gradient. Data are on a one third degree grid with a 5 d</w:t>
            </w:r>
            <w:r>
              <w:t>ay resolution. OSCAR is generated by Earth Space Research (ESR).</w:t>
            </w:r>
          </w:p>
        </w:tc>
        <w:tc>
          <w:tcPr>
            <w:tcW w:w="0" w:type="auto"/>
          </w:tcPr>
          <w:p w14:paraId="778F34D3" w14:textId="77777777" w:rsidR="00BB7A85" w:rsidRDefault="00665C6C">
            <w:pPr>
              <w:pStyle w:val="Compact"/>
              <w:jc w:val="center"/>
            </w:pPr>
            <w:r>
              <w:lastRenderedPageBreak/>
              <w:t>Maximum average monthly zonal or meridional current velocity &lt; 1</w:t>
            </w:r>
          </w:p>
        </w:tc>
        <w:tc>
          <w:tcPr>
            <w:tcW w:w="0" w:type="auto"/>
          </w:tcPr>
          <w:p w14:paraId="4BEA71FF" w14:textId="77777777" w:rsidR="00BB7A85" w:rsidRDefault="00665C6C">
            <w:pPr>
              <w:pStyle w:val="Compact"/>
              <w:jc w:val="center"/>
            </w:pPr>
            <w:r>
              <w:t>ESR 2009</w:t>
            </w:r>
          </w:p>
        </w:tc>
      </w:tr>
      <w:tr w:rsidR="00BB7A85" w14:paraId="7DB59196" w14:textId="77777777">
        <w:tc>
          <w:tcPr>
            <w:tcW w:w="0" w:type="auto"/>
          </w:tcPr>
          <w:p w14:paraId="1018A82B" w14:textId="77777777" w:rsidR="00BB7A85" w:rsidRDefault="00665C6C">
            <w:pPr>
              <w:pStyle w:val="Compact"/>
              <w:jc w:val="center"/>
            </w:pPr>
            <w:r>
              <w:lastRenderedPageBreak/>
              <w:t>Deep sea bed mining claims</w:t>
            </w:r>
          </w:p>
        </w:tc>
        <w:tc>
          <w:tcPr>
            <w:tcW w:w="0" w:type="auto"/>
          </w:tcPr>
          <w:p w14:paraId="1CF83830" w14:textId="77777777" w:rsidR="00BB7A85" w:rsidRDefault="00665C6C">
            <w:pPr>
              <w:pStyle w:val="Compact"/>
              <w:jc w:val="center"/>
            </w:pPr>
            <w:r>
              <w:t>2016</w:t>
            </w:r>
          </w:p>
        </w:tc>
        <w:tc>
          <w:tcPr>
            <w:tcW w:w="0" w:type="auto"/>
          </w:tcPr>
          <w:p w14:paraId="7990569C" w14:textId="77777777" w:rsidR="00BB7A85" w:rsidRDefault="00665C6C">
            <w:pPr>
              <w:pStyle w:val="Compact"/>
              <w:jc w:val="center"/>
            </w:pPr>
            <w:r>
              <w:t>Worldwide spatial locations of contracts for seabed mining exploration and deep sea mining claims issued by the International Seabed Authority</w:t>
            </w:r>
          </w:p>
        </w:tc>
        <w:tc>
          <w:tcPr>
            <w:tcW w:w="0" w:type="auto"/>
          </w:tcPr>
          <w:p w14:paraId="3157A252" w14:textId="77777777" w:rsidR="00BB7A85" w:rsidRDefault="00665C6C">
            <w:pPr>
              <w:pStyle w:val="Compact"/>
              <w:jc w:val="center"/>
            </w:pPr>
            <w:r>
              <w:t>No mining claim or contract present</w:t>
            </w:r>
          </w:p>
        </w:tc>
        <w:tc>
          <w:tcPr>
            <w:tcW w:w="0" w:type="auto"/>
          </w:tcPr>
          <w:p w14:paraId="09FB032D" w14:textId="77777777" w:rsidR="00BB7A85" w:rsidRDefault="00665C6C">
            <w:pPr>
              <w:pStyle w:val="Compact"/>
              <w:jc w:val="center"/>
            </w:pPr>
            <w:r>
              <w:t>deepseaminingwatch.ms.ucsb.edu</w:t>
            </w:r>
          </w:p>
        </w:tc>
      </w:tr>
    </w:tbl>
    <w:p w14:paraId="399F2932" w14:textId="77777777" w:rsidR="00BB7A85" w:rsidRDefault="00665C6C">
      <w:pPr>
        <w:pStyle w:val="BodyText"/>
      </w:pPr>
      <w:r>
        <w:t>We conducted our suitability assessment assum</w:t>
      </w:r>
      <w:r>
        <w:t>ing the use of SeaStation cages, which are submersible, self-tensioned, single rim cages and are the most widely used offshore aquaculture cages in the U.S. [Loverich (2010); Open Blue 2016]. The minimum site depth for installation of a SeaStation cage, li</w:t>
      </w:r>
      <w:r>
        <w:t xml:space="preserve">sted by the original manufacturer, is 25 m (OceanSpar 2013). The maximum suitable depth for cage installation for this analysis was set at 100 m because in waters deeper than 100 m, cage installation and inspection of mooring and anchoring systems is more </w:t>
      </w:r>
      <w:r>
        <w:t>difficult and costly (</w:t>
      </w:r>
      <w:r>
        <w:rPr>
          <w:b/>
        </w:rPr>
        <w:t>???</w:t>
      </w:r>
      <w:r>
        <w:t xml:space="preserve">; Kapetsky, Aguilar-Manjarrez, and Jenness 2013). We obtained spatial bathymetry data for our study region, and areas that </w:t>
      </w:r>
      <w:r>
        <w:lastRenderedPageBreak/>
        <w:t>fell within a 25 - 100 m depth were scored as suitable for offshore mariculture development. Additionally, S</w:t>
      </w:r>
      <w:r>
        <w:t>eaStation cages (or fish?) can withstand consistent current velocities up to 1 m/s (Loverich 2010). To identify areas with unsuitably high current velocities, we obtained 10 years (2005-2015) of average daily zonal and meridional current velocity. The abso</w:t>
      </w:r>
      <w:r>
        <w:t>lute maximum zonal and meridional average daily velocities that occurred over the 10-year time period were extracted for each cell, and any cell with a maximum zonal or meridional velocity greater than 1 m/s were scored as unsuitable. To minimize the ecolo</w:t>
      </w:r>
      <w:r>
        <w:t>gical impact of offshore mariculture development, we also identified any cells with coral reef habitat present as unsuitable.</w:t>
      </w:r>
    </w:p>
    <w:p w14:paraId="29FC26D3" w14:textId="77777777" w:rsidR="00BB7A85" w:rsidRDefault="00665C6C">
      <w:pPr>
        <w:pStyle w:val="BodyText"/>
      </w:pPr>
      <w:r>
        <w:t xml:space="preserve">To identify areas currently designated or utilized for purposes that would preclude offshore mariculture development, we obtained </w:t>
      </w:r>
      <w:r>
        <w:t xml:space="preserve">spatial data on: shipping activity, existing benthic oil structures, areas permitted for deep sea bed mining, and areas that have been designated as Marine Protected Areas or conservation priority areas (Table 1). Areas that fell in the 10% of the highest </w:t>
      </w:r>
      <w:r>
        <w:t>relative shipping activity areas designated for conservation or deep sea bed mining purposes, and areas with existing benthic oil structures were considered unsuitable for offshore mariculture development.</w:t>
      </w:r>
    </w:p>
    <w:p w14:paraId="496A4751" w14:textId="77777777" w:rsidR="00BB7A85" w:rsidRDefault="00665C6C">
      <w:pPr>
        <w:pStyle w:val="BodyText"/>
      </w:pPr>
      <w:r>
        <w:t>All spatial data layers listed in Table 1 were con</w:t>
      </w:r>
      <w:r>
        <w:t>verted to raster format with a 1 km</w:t>
      </w:r>
      <w:r>
        <w:rPr>
          <w:vertAlign w:val="superscript"/>
        </w:rPr>
        <w:t>2</w:t>
      </w:r>
      <w:r>
        <w:t xml:space="preserve"> spatial resolution. Data files that had a resolution &gt; 1 km</w:t>
      </w:r>
      <w:r>
        <w:rPr>
          <w:vertAlign w:val="superscript"/>
        </w:rPr>
        <w:t>2</w:t>
      </w:r>
      <w:r>
        <w:t xml:space="preserve"> were interpolated to the 1 km</w:t>
      </w:r>
      <w:r>
        <w:rPr>
          <w:vertAlign w:val="superscript"/>
        </w:rPr>
        <w:t>2</w:t>
      </w:r>
      <w:r>
        <w:t xml:space="preserve"> grid using 'nearest neighbor technique' in R's </w:t>
      </w:r>
      <w:hyperlink r:id="rId9">
        <w:r>
          <w:rPr>
            <w:rStyle w:val="Hyperlink"/>
          </w:rPr>
          <w:t>ras</w:t>
        </w:r>
        <w:r>
          <w:rPr>
            <w:rStyle w:val="Hyperlink"/>
          </w:rPr>
          <w:t>ter</w:t>
        </w:r>
      </w:hyperlink>
      <w:r>
        <w:t xml:space="preserve"> package. All 1 km</w:t>
      </w:r>
      <w:r>
        <w:rPr>
          <w:vertAlign w:val="superscript"/>
        </w:rPr>
        <w:t>2</w:t>
      </w:r>
      <w:r>
        <w:t xml:space="preserve"> cells from each layer that fell outside of the suitable threshold were given a score of zero and cells falling within the threshold were given a score of 1. We then overlaid all data layers and multiplied the values of all layers in </w:t>
      </w:r>
      <w:r>
        <w:t>each cell. This resulted in a final single data layer, where cells suitable for offshore aquaculture development based on all criteria listed in Table 1 had a score of 1, and unsuitable cells had a value of 0</w:t>
      </w:r>
    </w:p>
    <w:p w14:paraId="0D3EC007" w14:textId="77777777" w:rsidR="00BB7A85" w:rsidRDefault="00665C6C">
      <w:pPr>
        <w:pStyle w:val="Heading2"/>
      </w:pPr>
      <w:bookmarkStart w:id="12" w:name="farm-design"/>
      <w:bookmarkStart w:id="13" w:name="_Toc483580697"/>
      <w:bookmarkEnd w:id="12"/>
      <w:r>
        <w:t>Farm Design</w:t>
      </w:r>
      <w:bookmarkEnd w:id="13"/>
    </w:p>
    <w:p w14:paraId="3B59789A" w14:textId="77777777" w:rsidR="00BB7A85" w:rsidRDefault="00665C6C">
      <w:pPr>
        <w:pStyle w:val="FirstParagraph"/>
      </w:pPr>
      <w:r>
        <w:t xml:space="preserve">To estimate production, we assumed </w:t>
      </w:r>
      <w:r>
        <w:t>a fixed farm design, per 1 km</w:t>
      </w:r>
      <w:r>
        <w:rPr>
          <w:vertAlign w:val="superscript"/>
        </w:rPr>
        <w:t>2</w:t>
      </w:r>
      <w:r>
        <w:t xml:space="preserve"> sites, across our study region. SeaStation cages are typically configured using a mooring system that includes a grid, anchor, and mooring lines secured at varying distances from the cages (</w:t>
      </w:r>
      <w:r>
        <w:rPr>
          <w:b/>
        </w:rPr>
        <w:t>???</w:t>
      </w:r>
      <w:r>
        <w:t>; Xu, Zhu, and Miao 2015).We dev</w:t>
      </w:r>
      <w:r>
        <w:t>eloped a hypothetical farm design for a 1 km</w:t>
      </w:r>
      <w:r>
        <w:rPr>
          <w:vertAlign w:val="superscript"/>
        </w:rPr>
        <w:t>2</w:t>
      </w:r>
      <w:r>
        <w:t xml:space="preserve"> cell that has 16 SeaStation cages (each 6,400 m</w:t>
      </w:r>
      <w:r>
        <w:rPr>
          <w:vertAlign w:val="superscript"/>
        </w:rPr>
        <w:t>3</w:t>
      </w:r>
      <w:r>
        <w:t>) configured in two eight-cell grid mooring systems that occupy a total space of approximately ~ 0.48 km</w:t>
      </w:r>
      <w:r>
        <w:rPr>
          <w:vertAlign w:val="superscript"/>
        </w:rPr>
        <w:t>2</w:t>
      </w:r>
      <w:r>
        <w:t xml:space="preserve"> and provide a total cage capacity of 102,400 m</w:t>
      </w:r>
      <w:r>
        <w:rPr>
          <w:vertAlign w:val="superscript"/>
        </w:rPr>
        <w:t>3</w:t>
      </w:r>
      <w:r>
        <w:t xml:space="preserve"> (Figure </w:t>
      </w:r>
      <w:r>
        <w:t>2). The cages are held in position by the mooring system at depths of 15-20 m below the surface(Loverich 2010).</w:t>
      </w:r>
    </w:p>
    <w:p w14:paraId="72747E4A" w14:textId="77777777" w:rsidR="00BB7A85" w:rsidRDefault="00665C6C">
      <w:pPr>
        <w:pStyle w:val="BodyText"/>
      </w:pPr>
      <w:r>
        <w:t>This cage configuration is similar to a 0.4 km</w:t>
      </w:r>
      <w:r>
        <w:rPr>
          <w:vertAlign w:val="superscript"/>
        </w:rPr>
        <w:t>2</w:t>
      </w:r>
      <w:r>
        <w:t xml:space="preserve"> offshore mariculture farm located off the coast of Kona, Hawaii that has an eight-cage SeaStatio</w:t>
      </w:r>
      <w:r>
        <w:t>n array with a total cage volume of 64,000 m</w:t>
      </w:r>
      <w:r>
        <w:rPr>
          <w:vertAlign w:val="superscript"/>
        </w:rPr>
        <w:t>3</w:t>
      </w:r>
      <w:r>
        <w:t xml:space="preserve"> (Sims 2017). The total cage volume per unit of total farm area for our hypothetical farm design falls within the range of total cage volume per unit area of farm area for the Kona farm (Sims 2017) and another o</w:t>
      </w:r>
      <w:r>
        <w:t>ffshore farm using SeaStation cages in the Gulf of Maine (D. W. Fredriksson et al. 2004); (J. DeCew et al. 2010). Additionally, the total space occupied by the farm's infrastructure (0.48 km</w:t>
      </w:r>
      <w:r>
        <w:rPr>
          <w:vertAlign w:val="superscript"/>
        </w:rPr>
        <w:t>2</w:t>
      </w:r>
      <w:r>
        <w:t>) follows the guidelines issued in NOAA's Fishery Management Plan</w:t>
      </w:r>
      <w:r>
        <w:t xml:space="preserve"> (FMP) for offshore aquaculture development in the Gulf </w:t>
      </w:r>
      <w:r>
        <w:lastRenderedPageBreak/>
        <w:t>of Mexico that specifies the total mariculture farm area should be twice the size of the total area occupied by farm infrastructure.</w:t>
      </w:r>
    </w:p>
    <w:p w14:paraId="7A1DCE9F" w14:textId="77777777" w:rsidR="00BB7A85" w:rsidRDefault="00665C6C">
      <w:pPr>
        <w:pStyle w:val="BodyText"/>
      </w:pPr>
      <w:r>
        <w:t>To maintain a steady supply of product, commercial mariculture farm</w:t>
      </w:r>
      <w:r>
        <w:t xml:space="preserve">s typically stage the stocking of cages so that fish of a harvestable size are available year-round.Cobia take twelve months on average to grow from fingerling (~3 kg) to a harvestable size of 5 - 6 kg (Holland, n.d.) . For our cobia farms, we assume that </w:t>
      </w:r>
      <w:r>
        <w:t>5 cages are stocked with cobia fingerlings during the first month, and that one cage is stocked with fingerlings each of hte remaining months. The number of fingerlings stocked in each cage remained constant, and was calculated assuming a conservative harv</w:t>
      </w:r>
      <w:r>
        <w:t xml:space="preserve">est density of 15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t xml:space="preserve"> ), (or 16,000 individual fish per cage).</w:t>
      </w:r>
    </w:p>
    <w:p w14:paraId="648C9FC6" w14:textId="77777777" w:rsidR="00BB7A85" w:rsidRDefault="00665C6C">
      <w:pPr>
        <w:pStyle w:val="TableCaption"/>
      </w:pPr>
      <w:r>
        <w:t>Table 2: Farm design specification for hypothetical 1 square kilometer offshore cobia farms</w:t>
      </w:r>
    </w:p>
    <w:tbl>
      <w:tblPr>
        <w:tblW w:w="3611" w:type="pct"/>
        <w:tblLook w:val="07E0" w:firstRow="1" w:lastRow="1" w:firstColumn="1" w:lastColumn="1" w:noHBand="1" w:noVBand="1"/>
        <w:tblCaption w:val="Table 2: Farm design specification for hypothetical 1 square kilometer offshore cobia farms"/>
      </w:tblPr>
      <w:tblGrid>
        <w:gridCol w:w="5763"/>
        <w:gridCol w:w="1153"/>
      </w:tblGrid>
      <w:tr w:rsidR="00BB7A85" w14:paraId="0A0653BF" w14:textId="77777777">
        <w:tc>
          <w:tcPr>
            <w:tcW w:w="0" w:type="auto"/>
            <w:tcBorders>
              <w:bottom w:val="single" w:sz="0" w:space="0" w:color="auto"/>
            </w:tcBorders>
            <w:vAlign w:val="bottom"/>
          </w:tcPr>
          <w:p w14:paraId="01DA4C12" w14:textId="77777777" w:rsidR="00BB7A85" w:rsidRDefault="00665C6C">
            <w:pPr>
              <w:pStyle w:val="Compact"/>
              <w:jc w:val="center"/>
            </w:pPr>
            <w:r>
              <w:t>Farm Specification</w:t>
            </w:r>
          </w:p>
        </w:tc>
        <w:tc>
          <w:tcPr>
            <w:tcW w:w="0" w:type="auto"/>
            <w:tcBorders>
              <w:bottom w:val="single" w:sz="0" w:space="0" w:color="auto"/>
            </w:tcBorders>
            <w:vAlign w:val="bottom"/>
          </w:tcPr>
          <w:p w14:paraId="2EA4F98D" w14:textId="77777777" w:rsidR="00BB7A85" w:rsidRDefault="00665C6C">
            <w:pPr>
              <w:pStyle w:val="Compact"/>
              <w:jc w:val="center"/>
            </w:pPr>
            <w:r>
              <w:t>Value</w:t>
            </w:r>
          </w:p>
        </w:tc>
      </w:tr>
      <w:tr w:rsidR="00BB7A85" w14:paraId="0CCC7BB4" w14:textId="77777777">
        <w:tc>
          <w:tcPr>
            <w:tcW w:w="0" w:type="auto"/>
          </w:tcPr>
          <w:p w14:paraId="2FC76F60" w14:textId="77777777" w:rsidR="00BB7A85" w:rsidRDefault="00665C6C">
            <w:pPr>
              <w:pStyle w:val="Compact"/>
              <w:jc w:val="center"/>
            </w:pPr>
            <w:r>
              <w:t>Cage volume (m3)</w:t>
            </w:r>
          </w:p>
        </w:tc>
        <w:tc>
          <w:tcPr>
            <w:tcW w:w="0" w:type="auto"/>
          </w:tcPr>
          <w:p w14:paraId="11087711" w14:textId="77777777" w:rsidR="00BB7A85" w:rsidRDefault="00665C6C">
            <w:pPr>
              <w:pStyle w:val="Compact"/>
              <w:jc w:val="center"/>
            </w:pPr>
            <w:r>
              <w:t>6,400</w:t>
            </w:r>
          </w:p>
        </w:tc>
      </w:tr>
      <w:tr w:rsidR="00BB7A85" w14:paraId="6FCF7BB3" w14:textId="77777777">
        <w:tc>
          <w:tcPr>
            <w:tcW w:w="0" w:type="auto"/>
          </w:tcPr>
          <w:p w14:paraId="1BB26888" w14:textId="77777777" w:rsidR="00BB7A85" w:rsidRDefault="00665C6C">
            <w:pPr>
              <w:pStyle w:val="Compact"/>
              <w:jc w:val="center"/>
            </w:pPr>
            <w:r>
              <w:t>Number of cages</w:t>
            </w:r>
          </w:p>
        </w:tc>
        <w:tc>
          <w:tcPr>
            <w:tcW w:w="0" w:type="auto"/>
          </w:tcPr>
          <w:p w14:paraId="2660EF77" w14:textId="77777777" w:rsidR="00BB7A85" w:rsidRDefault="00665C6C">
            <w:pPr>
              <w:pStyle w:val="Compact"/>
              <w:jc w:val="center"/>
            </w:pPr>
            <w:r>
              <w:t>16</w:t>
            </w:r>
          </w:p>
        </w:tc>
      </w:tr>
      <w:tr w:rsidR="00BB7A85" w14:paraId="175B1497" w14:textId="77777777">
        <w:tc>
          <w:tcPr>
            <w:tcW w:w="0" w:type="auto"/>
          </w:tcPr>
          <w:p w14:paraId="05C96935" w14:textId="77777777" w:rsidR="00BB7A85" w:rsidRDefault="00665C6C">
            <w:pPr>
              <w:pStyle w:val="Compact"/>
              <w:jc w:val="center"/>
            </w:pPr>
            <w:r>
              <w:t>Harvest size (kg)</w:t>
            </w:r>
          </w:p>
        </w:tc>
        <w:tc>
          <w:tcPr>
            <w:tcW w:w="0" w:type="auto"/>
          </w:tcPr>
          <w:p w14:paraId="1AD5CE61" w14:textId="77777777" w:rsidR="00BB7A85" w:rsidRDefault="00665C6C">
            <w:pPr>
              <w:pStyle w:val="Compact"/>
              <w:jc w:val="center"/>
            </w:pPr>
            <w:r>
              <w:t>5</w:t>
            </w:r>
          </w:p>
        </w:tc>
      </w:tr>
      <w:tr w:rsidR="00BB7A85" w14:paraId="44DC663E" w14:textId="77777777">
        <w:tc>
          <w:tcPr>
            <w:tcW w:w="0" w:type="auto"/>
          </w:tcPr>
          <w:p w14:paraId="1C31A4EC" w14:textId="77777777" w:rsidR="00BB7A85" w:rsidRDefault="00665C6C">
            <w:pPr>
              <w:pStyle w:val="Compact"/>
              <w:jc w:val="center"/>
            </w:pPr>
            <w:r>
              <w:t>Harvest density (kg/m3)</w:t>
            </w:r>
          </w:p>
        </w:tc>
        <w:tc>
          <w:tcPr>
            <w:tcW w:w="0" w:type="auto"/>
          </w:tcPr>
          <w:p w14:paraId="3790B0D3" w14:textId="77777777" w:rsidR="00BB7A85" w:rsidRDefault="00665C6C">
            <w:pPr>
              <w:pStyle w:val="Compact"/>
              <w:jc w:val="center"/>
            </w:pPr>
            <w:r>
              <w:t>15</w:t>
            </w:r>
          </w:p>
        </w:tc>
      </w:tr>
      <w:tr w:rsidR="00BB7A85" w14:paraId="05064FFB" w14:textId="77777777">
        <w:tc>
          <w:tcPr>
            <w:tcW w:w="0" w:type="auto"/>
          </w:tcPr>
          <w:p w14:paraId="564B3F53" w14:textId="77777777" w:rsidR="00BB7A85" w:rsidRDefault="00665C6C">
            <w:pPr>
              <w:pStyle w:val="Compact"/>
              <w:jc w:val="center"/>
            </w:pPr>
            <w:r>
              <w:t>Harvest desnity (# of individiuals per cage)</w:t>
            </w:r>
          </w:p>
        </w:tc>
        <w:tc>
          <w:tcPr>
            <w:tcW w:w="0" w:type="auto"/>
          </w:tcPr>
          <w:p w14:paraId="1FC93516" w14:textId="77777777" w:rsidR="00BB7A85" w:rsidRDefault="00665C6C">
            <w:pPr>
              <w:pStyle w:val="Compact"/>
              <w:jc w:val="center"/>
            </w:pPr>
            <w:r>
              <w:t>16,000</w:t>
            </w:r>
          </w:p>
        </w:tc>
      </w:tr>
      <w:tr w:rsidR="00BB7A85" w14:paraId="3F4717EB" w14:textId="77777777">
        <w:tc>
          <w:tcPr>
            <w:tcW w:w="0" w:type="auto"/>
          </w:tcPr>
          <w:p w14:paraId="5E37127E" w14:textId="77777777" w:rsidR="00BB7A85" w:rsidRDefault="00665C6C">
            <w:pPr>
              <w:pStyle w:val="Compact"/>
              <w:jc w:val="center"/>
            </w:pPr>
            <w:r>
              <w:t>Natural mortality rate (M)</w:t>
            </w:r>
          </w:p>
        </w:tc>
        <w:tc>
          <w:tcPr>
            <w:tcW w:w="0" w:type="auto"/>
          </w:tcPr>
          <w:p w14:paraId="01CD6277" w14:textId="77777777" w:rsidR="00BB7A85" w:rsidRDefault="00BB7A85"/>
        </w:tc>
      </w:tr>
      <w:tr w:rsidR="00BB7A85" w14:paraId="6562AC3B" w14:textId="77777777">
        <w:tc>
          <w:tcPr>
            <w:tcW w:w="0" w:type="auto"/>
          </w:tcPr>
          <w:p w14:paraId="256D5E0E" w14:textId="77777777" w:rsidR="00BB7A85" w:rsidRDefault="00665C6C">
            <w:pPr>
              <w:pStyle w:val="Compact"/>
              <w:jc w:val="center"/>
            </w:pPr>
            <w:r>
              <w:t>Stocking density (# of individuals per cage)</w:t>
            </w:r>
          </w:p>
        </w:tc>
        <w:tc>
          <w:tcPr>
            <w:tcW w:w="0" w:type="auto"/>
          </w:tcPr>
          <w:p w14:paraId="6FBDF4BB" w14:textId="77777777" w:rsidR="00BB7A85" w:rsidRDefault="00BB7A85"/>
        </w:tc>
      </w:tr>
    </w:tbl>
    <w:p w14:paraId="15764ED8" w14:textId="77777777" w:rsidR="00BB7A85" w:rsidRDefault="00665C6C">
      <w:pPr>
        <w:pStyle w:val="Heading2"/>
      </w:pPr>
      <w:bookmarkStart w:id="14" w:name="bioeconomic-model"/>
      <w:bookmarkStart w:id="15" w:name="_Toc483580698"/>
      <w:bookmarkEnd w:id="14"/>
      <w:r>
        <w:t>Bioeconomic Model</w:t>
      </w:r>
      <w:bookmarkEnd w:id="15"/>
    </w:p>
    <w:p w14:paraId="76BB6E29" w14:textId="77777777" w:rsidR="00BB7A85" w:rsidRDefault="00665C6C">
      <w:pPr>
        <w:pStyle w:val="Heading3"/>
      </w:pPr>
      <w:bookmarkStart w:id="16" w:name="temperature-performance-curve"/>
      <w:bookmarkStart w:id="17" w:name="_Toc483580699"/>
      <w:bookmarkEnd w:id="16"/>
      <w:r>
        <w:t>Temperature Performance Curve</w:t>
      </w:r>
      <w:bookmarkEnd w:id="17"/>
    </w:p>
    <w:p w14:paraId="0F7E15DB" w14:textId="77777777" w:rsidR="00BB7A85" w:rsidRDefault="00665C6C">
      <w:pPr>
        <w:pStyle w:val="FirstParagraph"/>
      </w:pPr>
      <w:r>
        <w:t>Temperature is one of the primary abiotic factors controlling growth in ecotherms, including cobia (Brett 1979), and is a factor that cannot be easily controlled in offshore mariculture grow-out settings (Tidwell 2012). To reflect spatial differences in pr</w:t>
      </w:r>
      <w:r>
        <w:t>oductivity across farms attributed to temperature variations, we used a thermal performance curve (TPC) to model temperature dependent individual growth of cobia (Dane ref). We used 10 years of satellite-based sea surface temperature (SST) data (NASA 2014)</w:t>
      </w:r>
      <w:r>
        <w:t xml:space="preserve"> to calculate 1 km</w:t>
      </w:r>
      <w:r>
        <w:rPr>
          <w:vertAlign w:val="superscript"/>
        </w:rPr>
        <w:t>2</w:t>
      </w:r>
      <w:r>
        <w:t xml:space="preserve"> resolution spatial data layers of average monthly SST. Monthly biomass (</w:t>
      </w:r>
      <m:oMath>
        <m:sSub>
          <m:sSubPr>
            <m:ctrlPr>
              <w:rPr>
                <w:rFonts w:ascii="Cambria Math" w:hAnsi="Cambria Math"/>
              </w:rPr>
            </m:ctrlPr>
          </m:sSubPr>
          <m:e>
            <m:r>
              <w:rPr>
                <w:rFonts w:ascii="Cambria Math" w:hAnsi="Cambria Math"/>
              </w:rPr>
              <m:t>B</m:t>
            </m:r>
          </m:e>
          <m:sub>
            <m:r>
              <w:rPr>
                <w:rFonts w:ascii="Cambria Math" w:hAnsi="Cambria Math"/>
              </w:rPr>
              <m:t>m</m:t>
            </m:r>
          </m:sub>
        </m:sSub>
      </m:oMath>
      <w:r>
        <w:t>)for each cage was then calculated as:</w:t>
      </w:r>
    </w:p>
    <w:p w14:paraId="731928E1" w14:textId="77777777" w:rsidR="00BB7A85" w:rsidRDefault="00665C6C">
      <w:pPr>
        <w:pStyle w:val="BodyText"/>
      </w:pPr>
      <w:r>
        <w:rPr>
          <w:i/>
        </w:rPr>
        <w:t>insert TPC equation</w:t>
      </w:r>
    </w:p>
    <w:p w14:paraId="27423407" w14:textId="77777777" w:rsidR="00BB7A85" w:rsidRDefault="00665C6C">
      <w:pPr>
        <w:pStyle w:val="BodyText"/>
      </w:pPr>
      <w:r>
        <w:t xml:space="preserve">where </w:t>
      </w: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in</m:t>
        </m:r>
      </m:oMath>
      <w:r>
        <w:t xml:space="preserve"> is 22 </w:t>
      </w:r>
      <m:oMath>
        <m:sSup>
          <m:sSupPr>
            <m:ctrlPr>
              <w:rPr>
                <w:rFonts w:ascii="Cambria Math" w:hAnsi="Cambria Math"/>
              </w:rPr>
            </m:ctrlPr>
          </m:sSupPr>
          <m:e/>
          <m:sup>
            <m:r>
              <w:rPr>
                <w:rFonts w:ascii="Cambria Math" w:hAnsi="Cambria Math"/>
              </w:rPr>
              <m:t>∘</m:t>
            </m:r>
          </m:sup>
        </m:sSup>
      </m:oMath>
      <w:r>
        <w:t>C, t_</w:t>
      </w:r>
      <w:r>
        <w:rPr>
          <w:i/>
        </w:rPr>
        <w:t>max</w:t>
      </w:r>
      <w:r>
        <w:t xml:space="preserve"> is 32 </w:t>
      </w:r>
      <m:oMath>
        <m:sSup>
          <m:sSupPr>
            <m:ctrlPr>
              <w:rPr>
                <w:rFonts w:ascii="Cambria Math" w:hAnsi="Cambria Math"/>
              </w:rPr>
            </m:ctrlPr>
          </m:sSupPr>
          <m:e/>
          <m:sup>
            <m:r>
              <w:rPr>
                <w:rFonts w:ascii="Cambria Math" w:hAnsi="Cambria Math"/>
              </w:rPr>
              <m:t>∘</m:t>
            </m:r>
          </m:sup>
        </m:sSup>
      </m:oMath>
      <w:r>
        <w:t>C, and max growth occurs at t_</w:t>
      </w:r>
      <w:r>
        <w:rPr>
          <w:i/>
        </w:rPr>
        <w:t>opt</w:t>
      </w:r>
      <w:r>
        <w:t xml:space="preserve"> (29 </w:t>
      </w:r>
      <m:oMath>
        <m:sSup>
          <m:sSupPr>
            <m:ctrlPr>
              <w:rPr>
                <w:rFonts w:ascii="Cambria Math" w:hAnsi="Cambria Math"/>
              </w:rPr>
            </m:ctrlPr>
          </m:sSupPr>
          <m:e/>
          <m:sup>
            <m:r>
              <w:rPr>
                <w:rFonts w:ascii="Cambria Math" w:hAnsi="Cambria Math"/>
              </w:rPr>
              <m:t>∘</m:t>
            </m:r>
          </m:sup>
        </m:sSup>
      </m:oMath>
      <w:r>
        <w:t>C), and SST is the avera</w:t>
      </w:r>
      <w:r>
        <w:t xml:space="preserve">ge monthly SST over the last 10 years for locations, </w:t>
      </w:r>
      <m:oMath>
        <m:r>
          <w:rPr>
            <w:rFonts w:ascii="Cambria Math" w:hAnsi="Cambria Math"/>
          </w:rPr>
          <m:t>D</m:t>
        </m:r>
      </m:oMath>
      <w:r>
        <w:t xml:space="preserve">, is the initial stocking density of each cage, and </w:t>
      </w:r>
      <m:oMath>
        <m:r>
          <w:rPr>
            <w:rFonts w:ascii="Cambria Math" w:hAnsi="Cambria Math"/>
          </w:rPr>
          <m:t>S</m:t>
        </m:r>
      </m:oMath>
      <w:r>
        <w:t>, the total surviva</w:t>
      </w:r>
      <w:bookmarkStart w:id="18" w:name="_GoBack"/>
      <w:bookmarkEnd w:id="18"/>
      <w:r>
        <w:t>l rate is assumed to be 85% (Benetti et al. 2008).</w:t>
      </w:r>
    </w:p>
    <w:p w14:paraId="31D2C6C9" w14:textId="77777777" w:rsidR="00BB7A85" w:rsidRDefault="00665C6C">
      <w:pPr>
        <w:pStyle w:val="BodyText"/>
      </w:pPr>
      <w:r>
        <w:t>Annual production (</w:t>
      </w:r>
      <m:oMath>
        <m:sSub>
          <m:sSubPr>
            <m:ctrlPr>
              <w:rPr>
                <w:rFonts w:ascii="Cambria Math" w:hAnsi="Cambria Math"/>
              </w:rPr>
            </m:ctrlPr>
          </m:sSubPr>
          <m:e>
            <m:r>
              <w:rPr>
                <w:rFonts w:ascii="Cambria Math" w:hAnsi="Cambria Math"/>
              </w:rPr>
              <m:t>B</m:t>
            </m:r>
          </m:e>
          <m:sub>
            <m:r>
              <w:rPr>
                <w:rFonts w:ascii="Cambria Math" w:hAnsi="Cambria Math"/>
              </w:rPr>
              <m:t>t</m:t>
            </m:r>
          </m:sub>
        </m:sSub>
      </m:oMath>
      <w:r>
        <w:t>) at each farm is then calculated as:</w:t>
      </w:r>
    </w:p>
    <w:p w14:paraId="7E20E97A" w14:textId="77777777" w:rsidR="00BB7A85" w:rsidRDefault="00665C6C">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r>
            <w:rPr>
              <w:rFonts w:ascii="Cambria Math" w:hAnsi="Cambria Math"/>
            </w:rPr>
            <m:t>cages</m:t>
          </m:r>
          <m:r>
            <w:rPr>
              <w:rFonts w:ascii="Cambria Math" w:hAnsi="Cambria Math"/>
            </w:rPr>
            <m:t>*</m:t>
          </m:r>
          <m:nary>
            <m:naryPr>
              <m:chr m:val="∑"/>
              <m:limLoc m:val="undOvr"/>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12</m:t>
              </m:r>
            </m:sup>
            <m:e>
              <m:r>
                <w:rPr>
                  <w:rFonts w:ascii="Cambria Math" w:hAnsi="Cambria Math"/>
                </w:rPr>
                <m:t>*</m:t>
              </m:r>
            </m:e>
          </m:nary>
          <m:sSub>
            <m:sSubPr>
              <m:ctrlPr>
                <w:rPr>
                  <w:rFonts w:ascii="Cambria Math" w:hAnsi="Cambria Math"/>
                </w:rPr>
              </m:ctrlPr>
            </m:sSubPr>
            <m:e>
              <m:r>
                <w:rPr>
                  <w:rFonts w:ascii="Cambria Math" w:hAnsi="Cambria Math"/>
                </w:rPr>
                <m:t>B</m:t>
              </m:r>
            </m:e>
            <m:sub>
              <m:r>
                <w:rPr>
                  <w:rFonts w:ascii="Cambria Math" w:hAnsi="Cambria Math"/>
                </w:rPr>
                <m:t>m</m:t>
              </m:r>
            </m:sub>
          </m:sSub>
        </m:oMath>
      </m:oMathPara>
    </w:p>
    <w:p w14:paraId="4FA9F311" w14:textId="77777777" w:rsidR="00BB7A85" w:rsidRDefault="00665C6C">
      <w:pPr>
        <w:pStyle w:val="BodyText"/>
      </w:pPr>
      <w:r>
        <w:t xml:space="preserve">Where </w:t>
      </w:r>
      <w:r>
        <w:rPr>
          <w:i/>
        </w:rPr>
        <w:t>cages</w:t>
      </w:r>
      <w:r>
        <w:t xml:space="preserve"> is the number of cages per farm and </w:t>
      </w:r>
      <m:oMath>
        <m:sSub>
          <m:sSubPr>
            <m:ctrlPr>
              <w:rPr>
                <w:rFonts w:ascii="Cambria Math" w:hAnsi="Cambria Math"/>
              </w:rPr>
            </m:ctrlPr>
          </m:sSubPr>
          <m:e>
            <m:r>
              <w:rPr>
                <w:rFonts w:ascii="Cambria Math" w:hAnsi="Cambria Math"/>
              </w:rPr>
              <m:t>B</m:t>
            </m:r>
          </m:e>
          <m:sub>
            <m:r>
              <w:rPr>
                <w:rFonts w:ascii="Cambria Math" w:hAnsi="Cambria Math"/>
              </w:rPr>
              <m:t>m</m:t>
            </m:r>
          </m:sub>
        </m:sSub>
      </m:oMath>
      <w:r>
        <w:t xml:space="preserve"> is the monthly total biomass per cage.</w:t>
      </w:r>
    </w:p>
    <w:p w14:paraId="45DEB5DB" w14:textId="77777777" w:rsidR="00BB7A85" w:rsidRDefault="00665C6C">
      <w:pPr>
        <w:pStyle w:val="Heading3"/>
      </w:pPr>
      <w:bookmarkStart w:id="19" w:name="economic-model"/>
      <w:bookmarkStart w:id="20" w:name="_Toc483580700"/>
      <w:bookmarkEnd w:id="19"/>
      <w:r>
        <w:t>Economic Model</w:t>
      </w:r>
      <w:bookmarkEnd w:id="20"/>
    </w:p>
    <w:p w14:paraId="0BF374DE" w14:textId="77777777" w:rsidR="00BB7A85" w:rsidRDefault="00665C6C">
      <w:pPr>
        <w:pStyle w:val="Heading4"/>
      </w:pPr>
      <w:bookmarkStart w:id="21" w:name="costs"/>
      <w:bookmarkEnd w:id="21"/>
      <w:r>
        <w:t>Costs</w:t>
      </w:r>
    </w:p>
    <w:p w14:paraId="15D7281E" w14:textId="77777777" w:rsidR="00BB7A85" w:rsidRDefault="00665C6C">
      <w:pPr>
        <w:pStyle w:val="FirstParagraph"/>
      </w:pPr>
      <w:r>
        <w:t xml:space="preserve">The total cost </w:t>
      </w:r>
      <m:oMath>
        <m:r>
          <w:rPr>
            <w:rFonts w:ascii="Cambria Math" w:hAnsi="Cambria Math"/>
          </w:rPr>
          <m:t>TC</m:t>
        </m:r>
      </m:oMath>
      <w:r>
        <w:t xml:space="preserve"> of production consists of start up costs (</w:t>
      </w:r>
      <m:oMath>
        <m:r>
          <w:rPr>
            <w:rFonts w:ascii="Cambria Math" w:hAnsi="Cambria Math"/>
          </w:rPr>
          <m:t>SC</m:t>
        </m:r>
      </m:oMath>
      <w:r>
        <w:t>) and operating costs (</w:t>
      </w:r>
      <m:oMath>
        <m:r>
          <w:rPr>
            <w:rFonts w:ascii="Cambria Math" w:hAnsi="Cambria Math"/>
          </w:rPr>
          <m:t>OC</m:t>
        </m:r>
      </m:oMath>
      <w:r>
        <w:t xml:space="preserve">) for each farm </w:t>
      </w:r>
      <m:oMath>
        <m:r>
          <w:rPr>
            <w:rFonts w:ascii="Cambria Math" w:hAnsi="Cambria Math"/>
          </w:rPr>
          <m:t>i</m:t>
        </m:r>
      </m:oMath>
      <w:r>
        <w:t xml:space="preserve"> at </w:t>
      </w:r>
      <m:oMath>
        <m:r>
          <w:rPr>
            <w:rFonts w:ascii="Cambria Math" w:hAnsi="Cambria Math"/>
          </w:rPr>
          <m:t>t</m:t>
        </m:r>
        <m:r>
          <w:rPr>
            <w:rFonts w:ascii="Cambria Math" w:hAnsi="Cambria Math"/>
          </w:rPr>
          <m:t>=1</m:t>
        </m:r>
      </m:oMath>
      <w:r>
        <w:t xml:space="preserve"> year as:</w:t>
      </w:r>
    </w:p>
    <w:p w14:paraId="7A2AB49A" w14:textId="77777777" w:rsidR="00BB7A85" w:rsidRDefault="00665C6C">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oMath>
      </m:oMathPara>
    </w:p>
    <w:p w14:paraId="535F7081" w14:textId="77777777" w:rsidR="00BB7A85" w:rsidRDefault="00665C6C">
      <w:pPr>
        <w:pStyle w:val="BodyText"/>
      </w:pPr>
      <w:r>
        <w:t xml:space="preserve">and </w:t>
      </w:r>
      <m:oMath>
        <m:r>
          <w:rPr>
            <w:rFonts w:ascii="Cambria Math" w:hAnsi="Cambria Math"/>
          </w:rPr>
          <m:t>TC</m:t>
        </m:r>
      </m:oMath>
      <w:r>
        <w:t xml:space="preserve"> for all subsequent years (</w:t>
      </w:r>
      <m:oMath>
        <m:r>
          <w:rPr>
            <w:rFonts w:ascii="Cambria Math" w:hAnsi="Cambria Math"/>
          </w:rPr>
          <m:t>t</m:t>
        </m:r>
        <m:r>
          <w:rPr>
            <w:rFonts w:ascii="Cambria Math" w:hAnsi="Cambria Math"/>
          </w:rPr>
          <m:t>&gt;1</m:t>
        </m:r>
      </m:oMath>
      <w:r>
        <w:t>):</w:t>
      </w:r>
    </w:p>
    <w:p w14:paraId="0F6BE8BF" w14:textId="77777777" w:rsidR="00BB7A85" w:rsidRDefault="00665C6C">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&gt;1</m:t>
              </m:r>
            </m:sub>
          </m:sSub>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&gt;1</m:t>
              </m:r>
            </m:sub>
          </m:sSub>
        </m:oMath>
      </m:oMathPara>
    </w:p>
    <w:p w14:paraId="39CC9FBC" w14:textId="77777777" w:rsidR="00BB7A85" w:rsidRDefault="00665C6C">
      <w:pPr>
        <w:pStyle w:val="BodyText"/>
      </w:pPr>
      <w:r>
        <w:t>Start-up costs (</w:t>
      </w:r>
      <m:oMath>
        <m:r>
          <w:rPr>
            <w:rFonts w:ascii="Cambria Math" w:hAnsi="Cambria Math"/>
          </w:rPr>
          <m:t>SC</m:t>
        </m:r>
      </m:oMath>
      <w:r>
        <w:t xml:space="preserve">) include initial capital expenditures as a function of average site depth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oMath>
      <w:r>
        <w:t>, installation costs as a function of distance fr</w:t>
      </w:r>
      <w:r>
        <w:t>om port and EEZ (</w:t>
      </w: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EEZ</m:t>
        </m:r>
        <m:r>
          <w:rPr>
            <w:rFonts w:ascii="Cambria Math" w:hAnsi="Cambria Math"/>
          </w:rPr>
          <m:t>)</m:t>
        </m:r>
      </m:oMath>
      <w:r>
        <w:t xml:space="preserve">), and EEZ-specific permit and/or lease cost </w:t>
      </w:r>
      <m:oMath>
        <m:sSub>
          <m:sSubPr>
            <m:ctrlPr>
              <w:rPr>
                <w:rFonts w:ascii="Cambria Math" w:hAnsi="Cambria Math"/>
              </w:rPr>
            </m:ctrlPr>
          </m:sSubPr>
          <m:e>
            <m:r>
              <w:rPr>
                <w:rFonts w:ascii="Cambria Math" w:hAnsi="Cambria Math"/>
              </w:rPr>
              <m:t>P</m:t>
            </m:r>
          </m:e>
          <m:sub>
            <m:r>
              <w:rPr>
                <w:rFonts w:ascii="Cambria Math" w:hAnsi="Cambria Math"/>
              </w:rPr>
              <m:t>EEZ</m:t>
            </m:r>
          </m:sub>
        </m:sSub>
      </m:oMath>
      <w:r>
        <w:t>:</w:t>
      </w:r>
    </w:p>
    <w:p w14:paraId="7A18B98C" w14:textId="77777777" w:rsidR="00BB7A85" w:rsidRDefault="00665C6C">
      <w:pPr>
        <w:pStyle w:val="BodyText"/>
      </w:pPr>
      <m:oMathPara>
        <m:oMath>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EEZ</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EEZ</m:t>
              </m:r>
            </m:sub>
          </m:sSub>
        </m:oMath>
      </m:oMathPara>
    </w:p>
    <w:p w14:paraId="2193304A" w14:textId="77777777" w:rsidR="00BB7A85" w:rsidRDefault="00665C6C">
      <w:pPr>
        <w:pStyle w:val="BodyText"/>
      </w:pPr>
      <w:r>
        <w:t xml:space="preserve">Annual operating costs in year </w:t>
      </w:r>
      <m:oMath>
        <m:r>
          <w:rPr>
            <w:rFonts w:ascii="Cambria Math" w:hAnsi="Cambria Math"/>
          </w:rPr>
          <m:t>t</m:t>
        </m:r>
      </m:oMath>
      <w:r>
        <w:t xml:space="preserve"> at site </w:t>
      </w:r>
      <m:oMath>
        <m:r>
          <w:rPr>
            <w:rFonts w:ascii="Cambria Math" w:hAnsi="Cambria Math"/>
          </w:rPr>
          <m:t>i</m:t>
        </m:r>
      </m:oMath>
      <w:r>
        <w:t xml:space="preserve"> are modeled as follows:</w:t>
      </w:r>
    </w:p>
    <w:p w14:paraId="26B04740" w14:textId="77777777" w:rsidR="00BB7A85" w:rsidRDefault="00665C6C">
      <w:pPr>
        <w:pStyle w:val="BodyText"/>
      </w:pPr>
      <m:oMathPara>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rPr>
            <m:t>wave</m:t>
          </m:r>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f>
            <m:fPr>
              <m:ctrlPr>
                <w:rPr>
                  <w:rFonts w:ascii="Cambria Math" w:hAnsi="Cambria Math"/>
                </w:rPr>
              </m:ctrlPr>
            </m:fPr>
            <m:num>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b</m:t>
              </m:r>
            </m:den>
          </m:f>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r>
            <w:rPr>
              <w:rFonts w:ascii="Cambria Math" w:hAnsi="Cambria Math"/>
            </w:rPr>
            <m:t>r</m:t>
          </m:r>
          <m:r>
            <w:rPr>
              <w:rFonts w:ascii="Cambria Math" w:hAnsi="Cambria Math"/>
            </w:rPr>
            <m:t>)+(</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EEZ</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53AA16D9" w14:textId="77777777" w:rsidR="00BB7A85" w:rsidRDefault="00665C6C">
      <w:pPr>
        <w:pStyle w:val="BodyText"/>
      </w:pPr>
      <w:r>
        <w:t xml:space="preserve">Where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is the hours required at site </w:t>
      </w:r>
      <m:oMath>
        <m:r>
          <w:rPr>
            <w:rFonts w:ascii="Cambria Math" w:hAnsi="Cambria Math"/>
          </w:rPr>
          <m:t>i</m:t>
        </m:r>
      </m:oMath>
      <w:r>
        <w:t xml:space="preserve"> as a function of wave exposure; </w:t>
      </w:r>
      <m:oMath>
        <m:r>
          <w:rPr>
            <w:rFonts w:ascii="Cambria Math" w:hAnsi="Cambria Math"/>
          </w:rPr>
          <m:t>w</m:t>
        </m:r>
      </m:oMath>
      <w:r>
        <w:t xml:space="preserve"> is the number of workers required to service a farm; </w:t>
      </w:r>
      <m:oMath>
        <m:r>
          <w:rPr>
            <w:rFonts w:ascii="Cambria Math" w:hAnsi="Cambria Math"/>
          </w:rPr>
          <m:t>d</m:t>
        </m:r>
      </m:oMath>
      <w:r>
        <w:t xml:space="preserve"> is the EEZ-specific hourly wage; </w:t>
      </w:r>
      <m:oMath>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distance from shore (km); </w:t>
      </w:r>
      <m:oMath>
        <m:r>
          <w:rPr>
            <w:rFonts w:ascii="Cambria Math" w:hAnsi="Cambria Math"/>
          </w:rPr>
          <m:t>b</m:t>
        </m:r>
      </m:oMath>
      <w:r>
        <w:t xml:space="preserve"> is average boat speed to farm sites; </w:t>
      </w:r>
      <m:oMath>
        <m:r>
          <w:rPr>
            <w:rFonts w:ascii="Cambria Math" w:hAnsi="Cambria Math"/>
          </w:rPr>
          <m:t>r</m:t>
        </m:r>
      </m:oMath>
      <w:r>
        <w:t xml:space="preserve"> is the number of trips required per month for running the farm; </w:t>
      </w:r>
      <m:oMath>
        <m:r>
          <w:rPr>
            <w:rFonts w:ascii="Cambria Math" w:hAnsi="Cambria Math"/>
          </w:rPr>
          <m:t>g</m:t>
        </m:r>
      </m:oMath>
      <w:r>
        <w:t xml:space="preserve"> is the cost of fuel as a function of EEZ; </w:t>
      </w:r>
      <m:oMath>
        <m:r>
          <w:rPr>
            <w:rFonts w:ascii="Cambria Math" w:hAnsi="Cambria Math"/>
          </w:rPr>
          <m:t>e</m:t>
        </m:r>
      </m:oMath>
      <w:r>
        <w:t xml:space="preserve"> is the average fuel efficiency of the vessel; </w:t>
      </w:r>
      <m:oMath>
        <m:r>
          <w:rPr>
            <w:rFonts w:ascii="Cambria Math" w:hAnsi="Cambria Math"/>
          </w:rPr>
          <m:t>f</m:t>
        </m:r>
      </m:oMath>
      <w:r>
        <w:t xml:space="preserve"> </w:t>
      </w:r>
      <w:r>
        <w:t xml:space="preserve">is the fixed cost of fingerlings for a individual farm in year </w:t>
      </w:r>
      <m:oMath>
        <m:r>
          <w:rPr>
            <w:rFonts w:ascii="Cambria Math" w:hAnsi="Cambria Math"/>
          </w:rPr>
          <m:t>t</m:t>
        </m:r>
      </m:oMath>
      <w:r>
        <w:t xml:space="preserve">; and </w:t>
      </w:r>
      <m:oMath>
        <m:r>
          <w:rPr>
            <w:rFonts w:ascii="Cambria Math" w:hAnsi="Cambria Math"/>
          </w:rPr>
          <m:t>h</m:t>
        </m:r>
      </m:oMath>
      <w:r>
        <w:t xml:space="preserve"> is the fixed cost of feed in year </w:t>
      </w:r>
      <m:oMath>
        <m:r>
          <w:rPr>
            <w:rFonts w:ascii="Cambria Math" w:hAnsi="Cambria Math"/>
          </w:rPr>
          <m:t>t</m:t>
        </m:r>
      </m:oMath>
      <w:r>
        <w:t xml:space="preserve"> for a individual farm.</w:t>
      </w:r>
    </w:p>
    <w:p w14:paraId="3F3B704D" w14:textId="77777777" w:rsidR="00BB7A85" w:rsidRDefault="00665C6C">
      <w:pPr>
        <w:pStyle w:val="Heading4"/>
      </w:pPr>
      <w:bookmarkStart w:id="22" w:name="revenues"/>
      <w:bookmarkEnd w:id="22"/>
      <w:r>
        <w:t>Revenues</w:t>
      </w:r>
    </w:p>
    <w:p w14:paraId="66502245" w14:textId="77777777" w:rsidR="00BB7A85" w:rsidRDefault="00665C6C">
      <w:pPr>
        <w:pStyle w:val="FirstParagraph"/>
      </w:pPr>
      <w:r>
        <w:t>Total revenue (</w:t>
      </w:r>
      <m:oMath>
        <m:r>
          <w:rPr>
            <w:rFonts w:ascii="Cambria Math" w:hAnsi="Cambria Math"/>
          </w:rPr>
          <m:t>TR</m:t>
        </m:r>
      </m:oMath>
      <w:r>
        <w:t xml:space="preserve">) during each year </w:t>
      </w:r>
      <m:oMath>
        <m:r>
          <w:rPr>
            <w:rFonts w:ascii="Cambria Math" w:hAnsi="Cambria Math"/>
          </w:rPr>
          <m:t>t</m:t>
        </m:r>
      </m:oMath>
      <w:r>
        <w:t xml:space="preserve"> for each farm </w:t>
      </w:r>
      <m:oMath>
        <m:r>
          <w:rPr>
            <w:rFonts w:ascii="Cambria Math" w:hAnsi="Cambria Math"/>
          </w:rPr>
          <m:t>i</m:t>
        </m:r>
      </m:oMath>
      <w:r>
        <w:t xml:space="preserve"> is calculated as:</w:t>
      </w:r>
    </w:p>
    <w:p w14:paraId="2B3FAB47" w14:textId="77777777" w:rsidR="00BB7A85" w:rsidRDefault="00665C6C">
      <w:pPr>
        <w:pStyle w:val="BodyText"/>
      </w:pPr>
      <m:oMathPara>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r>
                <w:rPr>
                  <w:rFonts w:ascii="Cambria Math" w:hAnsi="Cambria Math"/>
                </w:rPr>
                <m:t>E</m:t>
              </m:r>
              <m:r>
                <w:rPr>
                  <w:rFonts w:ascii="Cambria Math" w:hAnsi="Cambria Math"/>
                </w:rPr>
                <m:t>Z</m:t>
              </m:r>
            </m:sub>
          </m:sSub>
        </m:oMath>
      </m:oMathPara>
    </w:p>
    <w:p w14:paraId="449A8016" w14:textId="77777777" w:rsidR="00BB7A85" w:rsidRDefault="00665C6C">
      <w:pPr>
        <w:pStyle w:val="BodyText"/>
      </w:pPr>
      <w:r>
        <w:t xml:space="preserve">Where </w:t>
      </w:r>
      <m:oMath>
        <m:r>
          <w:rPr>
            <w:rFonts w:ascii="Cambria Math" w:hAnsi="Cambria Math"/>
          </w:rPr>
          <m:t>B</m:t>
        </m:r>
      </m:oMath>
      <w:r>
        <w:t xml:space="preserve"> is the total biomass of cobia at farm </w:t>
      </w:r>
      <m:oMath>
        <m:r>
          <w:rPr>
            <w:rFonts w:ascii="Cambria Math" w:hAnsi="Cambria Math"/>
          </w:rPr>
          <m:t>i</m:t>
        </m:r>
      </m:oMath>
      <w:r>
        <w:t xml:space="preserve"> in year </w:t>
      </w:r>
      <m:oMath>
        <m:r>
          <w:rPr>
            <w:rFonts w:ascii="Cambria Math" w:hAnsi="Cambria Math"/>
          </w:rPr>
          <m:t>t</m:t>
        </m:r>
      </m:oMath>
      <w:r>
        <w:t xml:space="preserve">, </w:t>
      </w:r>
      <m:oMath>
        <m:r>
          <w:rPr>
            <w:rFonts w:ascii="Cambria Math" w:hAnsi="Cambria Math"/>
          </w:rPr>
          <m:t>k</m:t>
        </m:r>
      </m:oMath>
      <w:r>
        <w:t xml:space="preserve"> is the export tax as a function of EEZ, and </w:t>
      </w:r>
      <m:oMath>
        <m:r>
          <w:rPr>
            <w:rFonts w:ascii="Cambria Math" w:hAnsi="Cambria Math"/>
          </w:rPr>
          <m:t>p</m:t>
        </m:r>
      </m:oMath>
      <w:r>
        <w:t xml:space="preserve"> is the global price of cobia in year </w:t>
      </w:r>
      <m:oMath>
        <m:r>
          <w:rPr>
            <w:rFonts w:ascii="Cambria Math" w:hAnsi="Cambria Math"/>
          </w:rPr>
          <m:t>t</m:t>
        </m:r>
      </m:oMath>
      <w:r>
        <w:t xml:space="preserve"> (see Production Scenarios section for explanation of global price values used in our analyses). Cobi</w:t>
      </w:r>
      <w:r>
        <w:t xml:space="preserve">a farms in the Caribbean are assumed to be price takers and thus production in year </w:t>
      </w:r>
      <m:oMath>
        <m:r>
          <w:rPr>
            <w:rFonts w:ascii="Cambria Math" w:hAnsi="Cambria Math"/>
          </w:rPr>
          <m:t>t</m:t>
        </m:r>
      </m:oMath>
      <w:r>
        <w:t xml:space="preserve"> does not affect price in year </w:t>
      </w:r>
      <m:oMath>
        <m:r>
          <w:rPr>
            <w:rFonts w:ascii="Cambria Math" w:hAnsi="Cambria Math"/>
          </w:rPr>
          <m:t>t</m:t>
        </m:r>
        <m:r>
          <w:rPr>
            <w:rFonts w:ascii="Cambria Math" w:hAnsi="Cambria Math"/>
          </w:rPr>
          <m:t>+1</m:t>
        </m:r>
      </m:oMath>
      <w:r>
        <w:t>.</w:t>
      </w:r>
    </w:p>
    <w:p w14:paraId="763095CB" w14:textId="77777777" w:rsidR="00BB7A85" w:rsidRDefault="00665C6C">
      <w:pPr>
        <w:pStyle w:val="BodyText"/>
      </w:pPr>
      <w:r>
        <w:t>Total annual farm profit (</w:t>
      </w:r>
      <m:oMath>
        <m:r>
          <w:rPr>
            <w:rFonts w:ascii="Cambria Math" w:hAnsi="Cambria Math"/>
          </w:rPr>
          <m:t>π</m:t>
        </m:r>
      </m:oMath>
      <w:r>
        <w:t xml:space="preserve">) for farm </w:t>
      </w:r>
      <m:oMath>
        <m:r>
          <w:rPr>
            <w:rFonts w:ascii="Cambria Math" w:hAnsi="Cambria Math"/>
          </w:rPr>
          <m:t>i</m:t>
        </m:r>
      </m:oMath>
      <w:r>
        <w:t xml:space="preserve"> at year </w:t>
      </w:r>
      <m:oMath>
        <m:r>
          <w:rPr>
            <w:rFonts w:ascii="Cambria Math" w:hAnsi="Cambria Math"/>
          </w:rPr>
          <m:t>t</m:t>
        </m:r>
      </m:oMath>
      <w:r>
        <w:t xml:space="preserve"> is then total farm revenue </w:t>
      </w:r>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oMath>
      <w:r>
        <w:t xml:space="preserve"> less total farm costs </w:t>
      </w:r>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oMath>
      <w:r>
        <w:t>.</w:t>
      </w:r>
    </w:p>
    <w:p w14:paraId="40EF89BA" w14:textId="77777777" w:rsidR="00BB7A85" w:rsidRDefault="00665C6C">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oMath>
      </m:oMathPara>
    </w:p>
    <w:p w14:paraId="40837D83" w14:textId="77777777" w:rsidR="00BB7A85" w:rsidRDefault="00665C6C">
      <w:pPr>
        <w:pStyle w:val="BodyText"/>
      </w:pPr>
      <w:r>
        <w:t xml:space="preserve">We then calculate the 10-year net present value (NPV) of farm </w:t>
      </w:r>
      <m:oMath>
        <m:r>
          <w:rPr>
            <w:rFonts w:ascii="Cambria Math" w:hAnsi="Cambria Math"/>
          </w:rPr>
          <m:t>i</m:t>
        </m:r>
      </m:oMath>
      <w:r>
        <w:t xml:space="preserve"> using EEZ-specific discount rates (</w:t>
      </w:r>
      <m:oMath>
        <m:sSub>
          <m:sSubPr>
            <m:ctrlPr>
              <w:rPr>
                <w:rFonts w:ascii="Cambria Math" w:hAnsi="Cambria Math"/>
              </w:rPr>
            </m:ctrlPr>
          </m:sSubPr>
          <m:e>
            <m:r>
              <w:rPr>
                <w:rFonts w:ascii="Cambria Math" w:hAnsi="Cambria Math"/>
              </w:rPr>
              <m:t>δ</m:t>
            </m:r>
          </m:e>
          <m:sub>
            <m:r>
              <w:rPr>
                <w:rFonts w:ascii="Cambria Math" w:hAnsi="Cambria Math"/>
              </w:rPr>
              <m:t>EEZ</m:t>
            </m:r>
          </m:sub>
        </m:sSub>
      </m:oMath>
      <w:r>
        <w:t>) (Table 5):</w:t>
      </w:r>
    </w:p>
    <w:p w14:paraId="0F72D55F" w14:textId="77777777" w:rsidR="00BB7A85" w:rsidRDefault="00665C6C">
      <w:pPr>
        <w:pStyle w:val="BodyText"/>
      </w:pPr>
      <m:oMathPara>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r>
                <w:rPr>
                  <w:rFonts w:ascii="Cambria Math" w:hAnsi="Cambria Math"/>
                </w:rPr>
                <m:t>=0</m:t>
              </m:r>
            </m:sub>
            <m:sup>
              <m:r>
                <w:rPr>
                  <w:rFonts w:ascii="Cambria Math" w:hAnsi="Cambria Math"/>
                </w:rPr>
                <m:t>t</m:t>
              </m:r>
              <m:r>
                <w:rPr>
                  <w:rFonts w:ascii="Cambria Math" w:hAnsi="Cambria Math"/>
                </w:rPr>
                <m:t>=10</m:t>
              </m:r>
            </m:sup>
            <m:e>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i</m:t>
                      </m:r>
                    </m:sup>
                  </m:sSubSup>
                </m:num>
                <m:den>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EEZ</m:t>
                      </m:r>
                    </m:sub>
                  </m:sSub>
                  <m:sSup>
                    <m:sSupPr>
                      <m:ctrlPr>
                        <w:rPr>
                          <w:rFonts w:ascii="Cambria Math" w:hAnsi="Cambria Math"/>
                        </w:rPr>
                      </m:ctrlPr>
                    </m:sSupPr>
                    <m:e>
                      <m:r>
                        <w:rPr>
                          <w:rFonts w:ascii="Cambria Math" w:hAnsi="Cambria Math"/>
                        </w:rPr>
                        <m:t>)</m:t>
                      </m:r>
                    </m:e>
                    <m:sup>
                      <m:r>
                        <w:rPr>
                          <w:rFonts w:ascii="Cambria Math" w:hAnsi="Cambria Math"/>
                        </w:rPr>
                        <m:t>t</m:t>
                      </m:r>
                    </m:sup>
                  </m:sSup>
                </m:den>
              </m:f>
            </m:e>
          </m:nary>
        </m:oMath>
      </m:oMathPara>
    </w:p>
    <w:p w14:paraId="43705BA1" w14:textId="77777777" w:rsidR="00BB7A85" w:rsidRDefault="00665C6C">
      <w:pPr>
        <w:pStyle w:val="Heading4"/>
      </w:pPr>
      <w:bookmarkStart w:id="23" w:name="discount-rate"/>
      <w:bookmarkEnd w:id="23"/>
      <w:r>
        <w:t>Discount Rate</w:t>
      </w:r>
    </w:p>
    <w:p w14:paraId="4877F938" w14:textId="77777777" w:rsidR="00BB7A85" w:rsidRDefault="00665C6C">
      <w:pPr>
        <w:pStyle w:val="FirstParagraph"/>
      </w:pPr>
      <w:r>
        <w:t>We incorporate the foreign investment risk associated with a cou</w:t>
      </w:r>
      <w:r>
        <w:t>ntry into the discount rate. We modify previously published methodologies to quantify a country’s relative investment risk in the Caribbean, where limited data on economic and political conditions are available. Bhalla (1983) developed the Foreign Investme</w:t>
      </w:r>
      <w:r>
        <w:t>nt Risk Matrix (FIRM) to assist investors in classifying the political and economic risks associated with investing in different countries using discrete risk categories. An expanded version of FIRM was developed by McGowan and Moeller (2009) that utilizes</w:t>
      </w:r>
      <w:r>
        <w:t xml:space="preserve"> three political and three economic continuous risk variables that are readily available for most countries (Table 1). For each variable, a country’s rating is determined by transforming the data for that variable to a scale of 1 (low risk) to 5 (high risk</w:t>
      </w:r>
      <w:r>
        <w:t>) and multiplying by the specified weight to determine the variable’s final score (R x W) (Table XX). Political and economic risk scores are calculated by taking the sum of final scores for all three variables, and the total risk score is calculated by mul</w:t>
      </w:r>
      <w:r>
        <w:t>tiplying the political and economic risk scores by the specified weight and summing the values. The weights shown in Table 1 were arbitrarily chosen by McGowan and Moeller (2009). In practice, they recommend weighting variables according to relevance and i</w:t>
      </w:r>
      <w:r>
        <w:t>mportance to the particular project that is being assessed.</w:t>
      </w:r>
    </w:p>
    <w:p w14:paraId="3DA0A8FE" w14:textId="77777777" w:rsidR="00BB7A85" w:rsidRDefault="00665C6C">
      <w:pPr>
        <w:pStyle w:val="BodyText"/>
      </w:pPr>
      <w:r>
        <w:t xml:space="preserve">Limited data was available for the risk variables decried by McGowan and Moeller (2009) </w:t>
      </w:r>
      <w:r>
        <w:t>for Caribbean island countries. Only three countries in our study had data available for the “conflict” variable and only nine had data available for all five of the other McGowan and Moeller risk variables. Therefore, to calculate risk scores for the isla</w:t>
      </w:r>
      <w:r>
        <w:t>nd countries in our region, we identified comparable, substitute risk variables for each of McGowan and Moeller’s risk variables that had data more widely available for the region. We then calculated Pearson’s correlation coefficients and significance vale</w:t>
      </w:r>
      <w:r>
        <w:t>s between McGowan and Moeller’s risk variables and our selected substitute variables using countries that had data available for both sets to validate our substitute variables (Table XX). Although there were not enough data for the conflict variable in the</w:t>
      </w:r>
      <w:r>
        <w:t xml:space="preserve"> Caribbean to calculate a correlation coefficient, we assumed WRI’s political stability score was a logical substitute. GDP per capita data were widely available, thus a substitute component for this variable was not necessary.</w:t>
      </w:r>
    </w:p>
    <w:p w14:paraId="577FF555" w14:textId="77777777" w:rsidR="00BB7A85" w:rsidRDefault="00665C6C">
      <w:pPr>
        <w:pStyle w:val="Heading3"/>
      </w:pPr>
      <w:bookmarkStart w:id="24" w:name="supply-curves"/>
      <w:bookmarkStart w:id="25" w:name="_Toc483580701"/>
      <w:bookmarkEnd w:id="24"/>
      <w:r>
        <w:t>Supply Curves</w:t>
      </w:r>
      <w:bookmarkEnd w:id="25"/>
    </w:p>
    <w:p w14:paraId="62F3AEA5" w14:textId="77777777" w:rsidR="00BB7A85" w:rsidRDefault="00665C6C">
      <w:pPr>
        <w:pStyle w:val="FirstParagraph"/>
      </w:pPr>
      <w:r>
        <w:t>Using the cost</w:t>
      </w:r>
      <w:r>
        <w:t xml:space="preserve"> function described in equation X, we construct national and Caribbean-wide supply curves for cobia by aggregating farm-level supply curves. For a given price, only farms that generate positive profits are considered feasible for development. We then </w:t>
      </w:r>
      <w:r>
        <w:lastRenderedPageBreak/>
        <w:t>calcu</w:t>
      </w:r>
      <w:r>
        <w:t xml:space="preserve">late the total summed biomass (MT), </w:t>
      </w:r>
      <m:oMath>
        <m:sSub>
          <m:sSubPr>
            <m:ctrlPr>
              <w:rPr>
                <w:rFonts w:ascii="Cambria Math" w:hAnsi="Cambria Math"/>
              </w:rPr>
            </m:ctrlPr>
          </m:sSubPr>
          <m:e>
            <m:r>
              <w:rPr>
                <w:rFonts w:ascii="Cambria Math" w:hAnsi="Cambria Math"/>
              </w:rPr>
              <m:t>B</m:t>
            </m:r>
          </m:e>
          <m:sub>
            <m:r>
              <w:rPr>
                <w:rFonts w:ascii="Cambria Math" w:hAnsi="Cambria Math"/>
              </w:rPr>
              <m:t>EEZ</m:t>
            </m:r>
          </m:sub>
        </m:sSub>
      </m:oMath>
      <w:r>
        <w:t>, and NPV (</w:t>
      </w:r>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EEZ</m:t>
            </m:r>
          </m:sub>
        </m:sSub>
      </m:oMath>
      <w:r>
        <w:t>) over a 10-year period produced by all profitable farms in an EEZ across a range of prices (X-XXX).</w:t>
      </w:r>
    </w:p>
    <w:p w14:paraId="397FD7F1" w14:textId="77777777" w:rsidR="00BB7A85" w:rsidRDefault="00665C6C">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EEZ</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oMath>
      </m:oMathPara>
    </w:p>
    <w:p w14:paraId="788C16E2" w14:textId="77777777" w:rsidR="00BB7A85" w:rsidRDefault="00665C6C">
      <w:pPr>
        <w:pStyle w:val="BodyText"/>
      </w:pPr>
      <m:oMathPara>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EEZ</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N</m:t>
              </m:r>
            </m:e>
          </m:nary>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3156D03E" w14:textId="77777777" w:rsidR="00BB7A85" w:rsidRDefault="00665C6C">
      <w:pPr>
        <w:pStyle w:val="BodyText"/>
      </w:pPr>
      <w:r>
        <w:t>National supply curves are aggregated into a</w:t>
      </w:r>
      <w:r>
        <w:t xml:space="preserve"> single Caribbean-wide supply curve to estimate total potential cobia production and NPV for the Caribbean over a 10-year period.</w:t>
      </w:r>
    </w:p>
    <w:p w14:paraId="6A7FA2FA" w14:textId="77777777" w:rsidR="00BB7A85" w:rsidRDefault="00665C6C">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Caribbean</m:t>
              </m:r>
            </m:sub>
          </m:sSub>
          <m:r>
            <w:rPr>
              <w:rFonts w:ascii="Cambria Math" w:hAnsi="Cambria Math"/>
            </w:rPr>
            <m:t>=</m:t>
          </m:r>
          <m:nary>
            <m:naryPr>
              <m:chr m:val="∑"/>
              <m:limLoc m:val="undOvr"/>
              <m:ctrlPr>
                <w:rPr>
                  <w:rFonts w:ascii="Cambria Math" w:hAnsi="Cambria Math"/>
                </w:rPr>
              </m:ctrlPr>
            </m:naryPr>
            <m:sub>
              <m:r>
                <w:rPr>
                  <w:rFonts w:ascii="Cambria Math" w:hAnsi="Cambria Math"/>
                </w:rPr>
                <m:t>EEZ</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EEZ</m:t>
                  </m:r>
                </m:sub>
              </m:sSub>
            </m:e>
          </m:nary>
        </m:oMath>
      </m:oMathPara>
    </w:p>
    <w:p w14:paraId="3D9C4376" w14:textId="77777777" w:rsidR="00BB7A85" w:rsidRDefault="00665C6C">
      <w:pPr>
        <w:pStyle w:val="BodyText"/>
      </w:pPr>
      <m:oMathPara>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Caribbean</m:t>
              </m:r>
            </m:sub>
          </m:sSub>
          <m:r>
            <w:rPr>
              <w:rFonts w:ascii="Cambria Math" w:hAnsi="Cambria Math"/>
            </w:rPr>
            <m:t>=</m:t>
          </m:r>
          <m:nary>
            <m:naryPr>
              <m:chr m:val="∑"/>
              <m:limLoc m:val="undOvr"/>
              <m:ctrlPr>
                <w:rPr>
                  <w:rFonts w:ascii="Cambria Math" w:hAnsi="Cambria Math"/>
                </w:rPr>
              </m:ctrlPr>
            </m:naryPr>
            <m:sub>
              <m:r>
                <w:rPr>
                  <w:rFonts w:ascii="Cambria Math" w:hAnsi="Cambria Math"/>
                </w:rPr>
                <m:t>EEZ</m:t>
              </m:r>
            </m:sub>
            <m:sup>
              <m:r>
                <w:rPr>
                  <w:rFonts w:ascii="Cambria Math" w:hAnsi="Cambria Math"/>
                </w:rPr>
                <m:t>n</m:t>
              </m:r>
            </m:sup>
            <m:e>
              <m:r>
                <w:rPr>
                  <w:rFonts w:ascii="Cambria Math" w:hAnsi="Cambria Math"/>
                </w:rPr>
                <m:t>N</m:t>
              </m:r>
            </m:e>
          </m:nary>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EEZ</m:t>
              </m:r>
            </m:sub>
          </m:sSub>
        </m:oMath>
      </m:oMathPara>
    </w:p>
    <w:p w14:paraId="2ED4DC43" w14:textId="77777777" w:rsidR="00BB7A85" w:rsidRDefault="00665C6C">
      <w:pPr>
        <w:pStyle w:val="BodyText"/>
      </w:pPr>
      <w:r>
        <w:t>Lastly, feasible farms within each EEZ are</w:t>
      </w:r>
      <w:r>
        <w:t xml:space="preserve"> ranked according to yield and profit (highest to lowest) and compared ranges for farm-scale yield and revenue were compared within and across EEZs.</w:t>
      </w:r>
    </w:p>
    <w:p w14:paraId="3712BA60" w14:textId="77777777" w:rsidR="00BB7A85" w:rsidRDefault="00665C6C">
      <w:pPr>
        <w:pStyle w:val="Heading3"/>
      </w:pPr>
      <w:bookmarkStart w:id="26" w:name="discount-rate-1"/>
      <w:bookmarkStart w:id="27" w:name="_Toc483580702"/>
      <w:bookmarkEnd w:id="26"/>
      <w:r>
        <w:t>Discount Rate</w:t>
      </w:r>
      <w:bookmarkEnd w:id="27"/>
    </w:p>
    <w:p w14:paraId="6484CC04" w14:textId="77777777" w:rsidR="00BB7A85" w:rsidRDefault="00665C6C">
      <w:pPr>
        <w:pStyle w:val="FirstParagraph"/>
      </w:pPr>
      <w:r>
        <w:t xml:space="preserve">Individual discount rates were determined for each Caribbean country based on measures of economic and political risk. Scores for all risk components used to calculate final risk value are presented in Table 3. We then transformed the data in Table 3 to a </w:t>
      </w:r>
      <w:r>
        <w:t>relative scale of 1 (low risk) to 5 (high risk). All political and economic variables were given an equal weight by taking the average of the three economic and political variables, respectively. The final risk score was calculated by taking the average of</w:t>
      </w:r>
      <w:r>
        <w:t xml:space="preserve"> the political and economic score for each country (Table 4).</w:t>
      </w:r>
    </w:p>
    <w:p w14:paraId="559398CF" w14:textId="77777777" w:rsidR="00BB7A85" w:rsidRDefault="00665C6C">
      <w:pPr>
        <w:pStyle w:val="BodyText"/>
      </w:pPr>
      <w:r>
        <w:t>Averages of political and economic variables were calculated by removing any variables for which data were not available for that country. In some cases this meant that the only data used to cal</w:t>
      </w:r>
      <w:r>
        <w:t>culate the final relative risk score was GDP per capita. We assumed when other data were not available using only GDP per capita to determine risk was a reasonable approach because Bhalla (1983) states that this variable is one of the most important in det</w:t>
      </w:r>
      <w:r>
        <w:t>ermining both political and economic risk because income per capita reflects both the underlying economy and the effectiveness of political management. For the 14 countries that had data available for all variables, we found GDP to be a significant (r = 0.</w:t>
      </w:r>
      <w:r>
        <w:t xml:space="preserve">88, </w:t>
      </w:r>
      <w:r>
        <w:rPr>
          <w:i/>
        </w:rPr>
        <w:t>p</w:t>
      </w:r>
      <w:r>
        <w:t>-value = &lt; 0.001) predictor of the final risk score, providing further support for this approach (Figure 1).</w:t>
      </w:r>
    </w:p>
    <w:p w14:paraId="1A5A117F" w14:textId="77777777" w:rsidR="00BB7A85" w:rsidRDefault="00665C6C">
      <w:pPr>
        <w:pStyle w:val="Heading2"/>
      </w:pPr>
      <w:bookmarkStart w:id="28" w:name="production-scenarios"/>
      <w:bookmarkStart w:id="29" w:name="_Toc483580703"/>
      <w:bookmarkEnd w:id="28"/>
      <w:r>
        <w:lastRenderedPageBreak/>
        <w:t>Production Scenarios</w:t>
      </w:r>
      <w:bookmarkEnd w:id="29"/>
    </w:p>
    <w:p w14:paraId="0C5DF5E1" w14:textId="77777777" w:rsidR="00BB7A85" w:rsidRDefault="00665C6C">
      <w:pPr>
        <w:pStyle w:val="FirstParagraph"/>
      </w:pPr>
      <w:r>
        <w:t>We apply our bioeconomic model to three production scenarios that consider different price and cost structures:</w:t>
      </w:r>
    </w:p>
    <w:p w14:paraId="0BAE69D2" w14:textId="77777777" w:rsidR="00BB7A85" w:rsidRDefault="00665C6C">
      <w:pPr>
        <w:pStyle w:val="Compact"/>
        <w:numPr>
          <w:ilvl w:val="0"/>
          <w:numId w:val="9"/>
        </w:numPr>
      </w:pPr>
      <w:r>
        <w:t>Fixed Pri</w:t>
      </w:r>
      <w:r>
        <w:t>ce Scenarios:</w:t>
      </w:r>
    </w:p>
    <w:p w14:paraId="3D1E4FCB" w14:textId="77777777" w:rsidR="00BB7A85" w:rsidRDefault="00665C6C">
      <w:pPr>
        <w:pStyle w:val="Compact"/>
        <w:numPr>
          <w:ilvl w:val="1"/>
          <w:numId w:val="10"/>
        </w:numPr>
      </w:pPr>
      <w:r>
        <w:t>Maximum production scenario: All suitable cells are developed (and estimate what the global price would have to be to make all suitable cells profitable)</w:t>
      </w:r>
    </w:p>
    <w:p w14:paraId="4EE7E28E" w14:textId="77777777" w:rsidR="00BB7A85" w:rsidRDefault="00665C6C">
      <w:pPr>
        <w:pStyle w:val="Compact"/>
        <w:numPr>
          <w:ilvl w:val="1"/>
          <w:numId w:val="10"/>
        </w:numPr>
      </w:pPr>
      <w:r>
        <w:t>Current market scenario: Total production assuming current market price (insert value an</w:t>
      </w:r>
      <w:r>
        <w:t>d reference) of cobia and costs of production</w:t>
      </w:r>
    </w:p>
    <w:p w14:paraId="30EB4A30" w14:textId="77777777" w:rsidR="00BB7A85" w:rsidRDefault="00665C6C">
      <w:pPr>
        <w:pStyle w:val="Compact"/>
        <w:numPr>
          <w:ilvl w:val="0"/>
          <w:numId w:val="9"/>
        </w:numPr>
      </w:pPr>
      <w:r>
        <w:t>Demand Curve Scenario: We assume a global demand curve for cobia and estimate total production assuming the price of cobia in year t + 1 adjusts to Caribbean supply in year t</w:t>
      </w:r>
    </w:p>
    <w:p w14:paraId="4D89DCCB" w14:textId="77777777" w:rsidR="00BB7A85" w:rsidRDefault="00665C6C">
      <w:pPr>
        <w:pStyle w:val="FirstParagraph"/>
      </w:pPr>
      <w:r>
        <w:t>For each scenario, we examine and c</w:t>
      </w:r>
      <w:r>
        <w:t>ompare the following:</w:t>
      </w:r>
    </w:p>
    <w:p w14:paraId="3CE82AEB" w14:textId="77777777" w:rsidR="00BB7A85" w:rsidRDefault="00665C6C">
      <w:pPr>
        <w:pStyle w:val="Compact"/>
        <w:numPr>
          <w:ilvl w:val="0"/>
          <w:numId w:val="11"/>
        </w:numPr>
      </w:pPr>
      <w:r>
        <w:t>Total production (in terms of profit and weight) for the entire study (Caribbean) region (do economic constraints restrict things to below ecological limits (see below).... if its below then economic constraints will keep it below eco</w:t>
      </w:r>
      <w:r>
        <w:t>logical capacity)</w:t>
      </w:r>
    </w:p>
    <w:p w14:paraId="31C344AD" w14:textId="77777777" w:rsidR="00BB7A85" w:rsidRDefault="00665C6C">
      <w:pPr>
        <w:pStyle w:val="Compact"/>
        <w:numPr>
          <w:ilvl w:val="0"/>
          <w:numId w:val="11"/>
        </w:numPr>
      </w:pPr>
      <w:r>
        <w:t>Total production (in terms of profit and weight) for each EEZ</w:t>
      </w:r>
    </w:p>
    <w:p w14:paraId="2B2E6961" w14:textId="77777777" w:rsidR="00BB7A85" w:rsidRDefault="00665C6C">
      <w:pPr>
        <w:pStyle w:val="Compact"/>
        <w:numPr>
          <w:ilvl w:val="0"/>
          <w:numId w:val="11"/>
        </w:numPr>
      </w:pPr>
      <w:r>
        <w:t>Range of individual farm production within EEZs (to see potential gains of strategic spatial planning) and across EEZs (to determine the island countries with the greatest pote</w:t>
      </w:r>
      <w:r>
        <w:t>ntial for offshore aquaculture development)</w:t>
      </w:r>
    </w:p>
    <w:p w14:paraId="2E8D817C" w14:textId="77777777" w:rsidR="00BB7A85" w:rsidRDefault="00665C6C">
      <w:pPr>
        <w:pStyle w:val="Heading3"/>
      </w:pPr>
      <w:bookmarkStart w:id="30" w:name="ecological-carrying-capacity"/>
      <w:bookmarkStart w:id="31" w:name="_Toc483580704"/>
      <w:bookmarkEnd w:id="30"/>
      <w:r>
        <w:t>Ecological Carrying Capacity</w:t>
      </w:r>
      <w:bookmarkEnd w:id="31"/>
    </w:p>
    <w:p w14:paraId="05AD4452" w14:textId="77777777" w:rsidR="00BB7A85" w:rsidRDefault="00665C6C">
      <w:pPr>
        <w:pStyle w:val="FirstParagraph"/>
      </w:pPr>
      <w:r>
        <w:t xml:space="preserve">Determining the aquaculture production level that a given region (in this case, an EEZ) can sustain without resulting in negative impacts to the surrounding ecosystem and environment </w:t>
      </w:r>
      <w:r>
        <w:t>is difficult, and will depend on the specific local oceanographic conditions and ecosystem dynamics. Although models have been developed to simulate conditions of a local area and to generate impacts of given aquaculture production scenarios on the surroun</w:t>
      </w:r>
      <w:r>
        <w:t>ding ecosystem (CA SeaGrant study), currently, limited empirical evidence exists to estimate the ecological carrying capacity for aquaculture production at a regional scale.</w:t>
      </w:r>
    </w:p>
    <w:p w14:paraId="6322C232" w14:textId="77777777" w:rsidR="00BB7A85" w:rsidRDefault="00665C6C">
      <w:pPr>
        <w:pStyle w:val="BodyText"/>
      </w:pPr>
      <w:r>
        <w:t>We examine the production estimates for each scenario and determine how they compa</w:t>
      </w:r>
      <w:r>
        <w:t>re to two proxies we define as ecological capacity limits:</w:t>
      </w:r>
    </w:p>
    <w:p w14:paraId="4780F226" w14:textId="77777777" w:rsidR="00BB7A85" w:rsidRDefault="00665C6C">
      <w:pPr>
        <w:pStyle w:val="Compact"/>
        <w:numPr>
          <w:ilvl w:val="0"/>
          <w:numId w:val="12"/>
        </w:numPr>
      </w:pPr>
      <w:r>
        <w:t>Existing practices capacity limit - Ecological production limit is determined by identifying the highest aquaculture per unit area of EEZ worldwide</w:t>
      </w:r>
    </w:p>
    <w:p w14:paraId="38D66A8E" w14:textId="77777777" w:rsidR="00BB7A85" w:rsidRDefault="00665C6C">
      <w:pPr>
        <w:pStyle w:val="Compact"/>
        <w:numPr>
          <w:ilvl w:val="0"/>
          <w:numId w:val="12"/>
        </w:numPr>
      </w:pPr>
      <w:r>
        <w:t>Precautionary ecological capacity limit - Aquaculture production per unit area allowed in the Gulf of Mexico by the current NOAA Fishery Management Plan (FMP) for offshore aquaculture development in the region.</w:t>
      </w:r>
    </w:p>
    <w:p w14:paraId="14C29FC2" w14:textId="77777777" w:rsidR="00BB7A85" w:rsidRDefault="00665C6C">
      <w:pPr>
        <w:pStyle w:val="Heading2"/>
      </w:pPr>
      <w:bookmarkStart w:id="32" w:name="sensitivity-analyses"/>
      <w:bookmarkStart w:id="33" w:name="_Toc483580705"/>
      <w:bookmarkEnd w:id="32"/>
      <w:r>
        <w:lastRenderedPageBreak/>
        <w:t>Sensitivity analyses</w:t>
      </w:r>
      <w:bookmarkEnd w:id="33"/>
    </w:p>
    <w:p w14:paraId="0977849C" w14:textId="77777777" w:rsidR="00BB7A85" w:rsidRDefault="00665C6C">
      <w:pPr>
        <w:pStyle w:val="FirstParagraph"/>
      </w:pPr>
      <w:r>
        <w:t>Finally, to identify the</w:t>
      </w:r>
      <w:r>
        <w:t xml:space="preserve"> current major hurdles to the development of offshore aquaculture in the Caribbean, we determined the main factors contributing to variability of farm and EEZ level aquaculture production by performing a suite of sensitivity analyses.</w:t>
      </w:r>
    </w:p>
    <w:p w14:paraId="492711D0" w14:textId="77777777" w:rsidR="00BB7A85" w:rsidRDefault="00665C6C">
      <w:pPr>
        <w:pStyle w:val="BodyText"/>
      </w:pPr>
      <w:r>
        <w:t>Specifically, we comp</w:t>
      </w:r>
      <w:r>
        <w:t>ared the output at both the individual farm, EEZ, and regional level by running the model under a range of values for the following parameters:</w:t>
      </w:r>
    </w:p>
    <w:p w14:paraId="7AE33ACA" w14:textId="77777777" w:rsidR="00BB7A85" w:rsidRDefault="00665C6C">
      <w:pPr>
        <w:pStyle w:val="Compact"/>
        <w:numPr>
          <w:ilvl w:val="0"/>
          <w:numId w:val="13"/>
        </w:numPr>
      </w:pPr>
      <w:r>
        <w:t>Range of suitable depths</w:t>
      </w:r>
    </w:p>
    <w:p w14:paraId="7A535C9A" w14:textId="77777777" w:rsidR="00BB7A85" w:rsidRDefault="00665C6C">
      <w:pPr>
        <w:pStyle w:val="Compact"/>
        <w:numPr>
          <w:ilvl w:val="0"/>
          <w:numId w:val="13"/>
        </w:numPr>
      </w:pPr>
      <w:r>
        <w:t>Costs fingerling and feed</w:t>
      </w:r>
    </w:p>
    <w:p w14:paraId="6B147EA6" w14:textId="77777777" w:rsidR="00BB7A85" w:rsidRDefault="00665C6C">
      <w:pPr>
        <w:pStyle w:val="Compact"/>
        <w:numPr>
          <w:ilvl w:val="0"/>
          <w:numId w:val="13"/>
        </w:numPr>
      </w:pPr>
      <w:r>
        <w:t>Cobia price</w:t>
      </w:r>
    </w:p>
    <w:p w14:paraId="0C4B8624" w14:textId="77777777" w:rsidR="00BB7A85" w:rsidRDefault="00665C6C">
      <w:pPr>
        <w:pStyle w:val="Compact"/>
        <w:numPr>
          <w:ilvl w:val="0"/>
          <w:numId w:val="13"/>
        </w:numPr>
      </w:pPr>
      <w:r>
        <w:t>shift in demand curve</w:t>
      </w:r>
    </w:p>
    <w:p w14:paraId="4865D2D8" w14:textId="77777777" w:rsidR="00BB7A85" w:rsidRDefault="00665C6C">
      <w:pPr>
        <w:pStyle w:val="Compact"/>
        <w:numPr>
          <w:ilvl w:val="0"/>
          <w:numId w:val="13"/>
        </w:numPr>
      </w:pPr>
      <w:r>
        <w:t>Risk parameters</w:t>
      </w:r>
    </w:p>
    <w:p w14:paraId="0556720D" w14:textId="77777777" w:rsidR="00BB7A85" w:rsidRDefault="00665C6C">
      <w:pPr>
        <w:pStyle w:val="Heading1"/>
      </w:pPr>
      <w:bookmarkStart w:id="34" w:name="results"/>
      <w:bookmarkStart w:id="35" w:name="_Toc483580706"/>
      <w:bookmarkEnd w:id="34"/>
      <w:r>
        <w:t>Results</w:t>
      </w:r>
      <w:bookmarkEnd w:id="35"/>
    </w:p>
    <w:p w14:paraId="60621E6F" w14:textId="77777777" w:rsidR="00BB7A85" w:rsidRDefault="00665C6C">
      <w:pPr>
        <w:pStyle w:val="Heading2"/>
      </w:pPr>
      <w:bookmarkStart w:id="36" w:name="suitability-assessment-1"/>
      <w:bookmarkStart w:id="37" w:name="_Toc483580707"/>
      <w:bookmarkEnd w:id="36"/>
      <w:r>
        <w:t>Sui</w:t>
      </w:r>
      <w:r>
        <w:t>tability Assessment</w:t>
      </w:r>
      <w:bookmarkEnd w:id="37"/>
    </w:p>
    <w:p w14:paraId="2F366DA1" w14:textId="77777777" w:rsidR="00BB7A85" w:rsidRDefault="00665C6C">
      <w:pPr>
        <w:pStyle w:val="FirstParagraph"/>
      </w:pPr>
      <w:r>
        <w:t>Based on the factors and criteria described in Table 1, we found a total of 50,380.6 km</w:t>
      </w:r>
      <w:r>
        <w:rPr>
          <w:vertAlign w:val="superscript"/>
        </w:rPr>
        <w:t>2</w:t>
      </w:r>
      <w:r>
        <w:t>, or 1.698449 % of EEZ area in the Caribbean, suitable for offshore aquaculture development (Figure 3).</w:t>
      </w:r>
    </w:p>
    <w:p w14:paraId="56188324" w14:textId="77777777" w:rsidR="00BB7A85" w:rsidRDefault="00665C6C">
      <w:pPr>
        <w:pStyle w:val="BodyText"/>
      </w:pPr>
      <w:r>
        <w:rPr>
          <w:noProof/>
        </w:rPr>
        <w:drawing>
          <wp:inline distT="0" distB="0" distL="0" distR="0" wp14:anchorId="1E91FBD8" wp14:editId="61775147">
            <wp:extent cx="5334000" cy="328246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fig.3-1.png"/>
                    <pic:cNvPicPr>
                      <a:picLocks noChangeAspect="1" noChangeArrowheads="1"/>
                    </pic:cNvPicPr>
                  </pic:nvPicPr>
                  <pic:blipFill>
                    <a:blip r:embed="rId10"/>
                    <a:stretch>
                      <a:fillRect/>
                    </a:stretch>
                  </pic:blipFill>
                  <pic:spPr bwMode="auto">
                    <a:xfrm>
                      <a:off x="0" y="0"/>
                      <a:ext cx="5334000" cy="3282461"/>
                    </a:xfrm>
                    <a:prstGeom prst="rect">
                      <a:avLst/>
                    </a:prstGeom>
                    <a:noFill/>
                    <a:ln w="9525">
                      <a:noFill/>
                      <a:headEnd/>
                      <a:tailEnd/>
                    </a:ln>
                  </pic:spPr>
                </pic:pic>
              </a:graphicData>
            </a:graphic>
          </wp:inline>
        </w:drawing>
      </w:r>
    </w:p>
    <w:p w14:paraId="056BEB20" w14:textId="77777777" w:rsidR="00BB7A85" w:rsidRDefault="00665C6C">
      <w:pPr>
        <w:pStyle w:val="BodyText"/>
      </w:pPr>
      <w:r>
        <w:t>The suitable area based on each of the fac</w:t>
      </w:r>
      <w:r>
        <w:t>tors considered in our analysis are listed in Table 4.</w:t>
      </w:r>
    </w:p>
    <w:p w14:paraId="1827E572" w14:textId="77777777" w:rsidR="00BB7A85" w:rsidRDefault="00665C6C">
      <w:pPr>
        <w:pStyle w:val="BodyText"/>
      </w:pPr>
      <w:r>
        <w:lastRenderedPageBreak/>
        <w:t>Depth was the largest constraining factor, with less than 2% of the total study area within the suitable depth range required for deployment of offshore SeaStation cages. Deep sea mining did not elimin</w:t>
      </w:r>
      <w:r>
        <w:t>ate any areas because currently no deep sea bed mining permits have been issued in the region. However, this may be an important factor to consider in other regions or in the future in the Caribbean. .</w:t>
      </w:r>
    </w:p>
    <w:p w14:paraId="4D9A1071" w14:textId="77777777" w:rsidR="00BB7A85" w:rsidRDefault="00665C6C">
      <w:pPr>
        <w:pStyle w:val="TableCaption"/>
      </w:pPr>
      <w:r>
        <w:t>Table XX: Estimated suitable area (km</w:t>
      </w:r>
      <w:r>
        <w:rPr>
          <w:vertAlign w:val="superscript"/>
        </w:rPr>
        <w:t>2</w:t>
      </w:r>
      <w:r>
        <w:t xml:space="preserve"> by EEZ) (contin</w:t>
      </w:r>
      <w:r>
        <w:t>ued below)</w:t>
      </w:r>
    </w:p>
    <w:tbl>
      <w:tblPr>
        <w:tblW w:w="4722" w:type="pct"/>
        <w:tblLook w:val="07E0" w:firstRow="1" w:lastRow="1" w:firstColumn="1" w:lastColumn="1" w:noHBand="1" w:noVBand="1"/>
        <w:tblCaption w:val="Table XX: Estimated suitable area (km2 by EEZ) (continued below)"/>
      </w:tblPr>
      <w:tblGrid>
        <w:gridCol w:w="501"/>
        <w:gridCol w:w="5756"/>
        <w:gridCol w:w="1262"/>
        <w:gridCol w:w="1525"/>
      </w:tblGrid>
      <w:tr w:rsidR="00BB7A85" w14:paraId="25A347CB" w14:textId="77777777">
        <w:tc>
          <w:tcPr>
            <w:tcW w:w="0" w:type="auto"/>
            <w:tcBorders>
              <w:bottom w:val="single" w:sz="0" w:space="0" w:color="auto"/>
            </w:tcBorders>
            <w:vAlign w:val="bottom"/>
          </w:tcPr>
          <w:p w14:paraId="2A75AA93" w14:textId="77777777" w:rsidR="00BB7A85" w:rsidRDefault="00665C6C">
            <w:pPr>
              <w:pStyle w:val="Compact"/>
              <w:jc w:val="center"/>
            </w:pPr>
            <w:r>
              <w:t> </w:t>
            </w:r>
          </w:p>
        </w:tc>
        <w:tc>
          <w:tcPr>
            <w:tcW w:w="0" w:type="auto"/>
            <w:tcBorders>
              <w:bottom w:val="single" w:sz="0" w:space="0" w:color="auto"/>
            </w:tcBorders>
            <w:vAlign w:val="bottom"/>
          </w:tcPr>
          <w:p w14:paraId="7F1D95FA" w14:textId="77777777" w:rsidR="00BB7A85" w:rsidRDefault="00665C6C">
            <w:pPr>
              <w:pStyle w:val="Compact"/>
              <w:jc w:val="center"/>
            </w:pPr>
            <w:r>
              <w:t>EEZ</w:t>
            </w:r>
          </w:p>
        </w:tc>
        <w:tc>
          <w:tcPr>
            <w:tcW w:w="0" w:type="auto"/>
            <w:tcBorders>
              <w:bottom w:val="single" w:sz="0" w:space="0" w:color="auto"/>
            </w:tcBorders>
            <w:vAlign w:val="bottom"/>
          </w:tcPr>
          <w:p w14:paraId="2D0F8A16" w14:textId="77777777" w:rsidR="00BB7A85" w:rsidRDefault="00665C6C">
            <w:pPr>
              <w:pStyle w:val="Compact"/>
              <w:jc w:val="center"/>
            </w:pPr>
            <w:r>
              <w:t>Total Area</w:t>
            </w:r>
          </w:p>
        </w:tc>
        <w:tc>
          <w:tcPr>
            <w:tcW w:w="0" w:type="auto"/>
            <w:tcBorders>
              <w:bottom w:val="single" w:sz="0" w:space="0" w:color="auto"/>
            </w:tcBorders>
            <w:vAlign w:val="bottom"/>
          </w:tcPr>
          <w:p w14:paraId="483147FB" w14:textId="77777777" w:rsidR="00BB7A85" w:rsidRDefault="00665C6C">
            <w:pPr>
              <w:pStyle w:val="Compact"/>
              <w:jc w:val="center"/>
            </w:pPr>
            <w:r>
              <w:t>Suitable Area</w:t>
            </w:r>
          </w:p>
        </w:tc>
      </w:tr>
      <w:tr w:rsidR="00BB7A85" w14:paraId="46D57C3A" w14:textId="77777777">
        <w:tc>
          <w:tcPr>
            <w:tcW w:w="0" w:type="auto"/>
          </w:tcPr>
          <w:p w14:paraId="040607E6" w14:textId="77777777" w:rsidR="00BB7A85" w:rsidRDefault="00665C6C">
            <w:pPr>
              <w:pStyle w:val="Compact"/>
              <w:jc w:val="center"/>
            </w:pPr>
            <w:r>
              <w:rPr>
                <w:b/>
              </w:rPr>
              <w:t>25</w:t>
            </w:r>
          </w:p>
        </w:tc>
        <w:tc>
          <w:tcPr>
            <w:tcW w:w="0" w:type="auto"/>
          </w:tcPr>
          <w:p w14:paraId="7669AB2A" w14:textId="77777777" w:rsidR="00BB7A85" w:rsidRDefault="00665C6C">
            <w:pPr>
              <w:pStyle w:val="Compact"/>
              <w:jc w:val="center"/>
            </w:pPr>
            <w:r>
              <w:t>Trinidad and Tobago Exclusive Economic Zone</w:t>
            </w:r>
          </w:p>
        </w:tc>
        <w:tc>
          <w:tcPr>
            <w:tcW w:w="0" w:type="auto"/>
          </w:tcPr>
          <w:p w14:paraId="4ED85554" w14:textId="77777777" w:rsidR="00BB7A85" w:rsidRDefault="00665C6C">
            <w:pPr>
              <w:pStyle w:val="Compact"/>
              <w:jc w:val="center"/>
            </w:pPr>
            <w:r>
              <w:t>76,575</w:t>
            </w:r>
          </w:p>
        </w:tc>
        <w:tc>
          <w:tcPr>
            <w:tcW w:w="0" w:type="auto"/>
          </w:tcPr>
          <w:p w14:paraId="5C4E6715" w14:textId="77777777" w:rsidR="00BB7A85" w:rsidRDefault="00665C6C">
            <w:pPr>
              <w:pStyle w:val="Compact"/>
              <w:jc w:val="center"/>
            </w:pPr>
            <w:r>
              <w:t>10,189</w:t>
            </w:r>
          </w:p>
        </w:tc>
      </w:tr>
      <w:tr w:rsidR="00BB7A85" w14:paraId="075B96EE" w14:textId="77777777">
        <w:tc>
          <w:tcPr>
            <w:tcW w:w="0" w:type="auto"/>
          </w:tcPr>
          <w:p w14:paraId="070B909F" w14:textId="77777777" w:rsidR="00BB7A85" w:rsidRDefault="00665C6C">
            <w:pPr>
              <w:pStyle w:val="Compact"/>
              <w:jc w:val="center"/>
            </w:pPr>
            <w:r>
              <w:rPr>
                <w:b/>
              </w:rPr>
              <w:t>17</w:t>
            </w:r>
          </w:p>
        </w:tc>
        <w:tc>
          <w:tcPr>
            <w:tcW w:w="0" w:type="auto"/>
          </w:tcPr>
          <w:p w14:paraId="61B7C52E" w14:textId="77777777" w:rsidR="00BB7A85" w:rsidRDefault="00665C6C">
            <w:pPr>
              <w:pStyle w:val="Compact"/>
              <w:jc w:val="center"/>
            </w:pPr>
            <w:r>
              <w:t>Saba Exclusive Economic Zone</w:t>
            </w:r>
          </w:p>
        </w:tc>
        <w:tc>
          <w:tcPr>
            <w:tcW w:w="0" w:type="auto"/>
          </w:tcPr>
          <w:p w14:paraId="62144FFF" w14:textId="77777777" w:rsidR="00BB7A85" w:rsidRDefault="00665C6C">
            <w:pPr>
              <w:pStyle w:val="Compact"/>
              <w:jc w:val="center"/>
            </w:pPr>
            <w:r>
              <w:t>9,488</w:t>
            </w:r>
          </w:p>
        </w:tc>
        <w:tc>
          <w:tcPr>
            <w:tcW w:w="0" w:type="auto"/>
          </w:tcPr>
          <w:p w14:paraId="404DE51E" w14:textId="77777777" w:rsidR="00BB7A85" w:rsidRDefault="00665C6C">
            <w:pPr>
              <w:pStyle w:val="Compact"/>
              <w:jc w:val="center"/>
            </w:pPr>
            <w:r>
              <w:t>1,050</w:t>
            </w:r>
          </w:p>
        </w:tc>
      </w:tr>
      <w:tr w:rsidR="00BB7A85" w14:paraId="48054483" w14:textId="77777777">
        <w:tc>
          <w:tcPr>
            <w:tcW w:w="0" w:type="auto"/>
          </w:tcPr>
          <w:p w14:paraId="5FB9D292" w14:textId="77777777" w:rsidR="00BB7A85" w:rsidRDefault="00665C6C">
            <w:pPr>
              <w:pStyle w:val="Compact"/>
              <w:jc w:val="center"/>
            </w:pPr>
            <w:r>
              <w:rPr>
                <w:b/>
              </w:rPr>
              <w:t>12</w:t>
            </w:r>
          </w:p>
        </w:tc>
        <w:tc>
          <w:tcPr>
            <w:tcW w:w="0" w:type="auto"/>
          </w:tcPr>
          <w:p w14:paraId="76D00806" w14:textId="77777777" w:rsidR="00BB7A85" w:rsidRDefault="00665C6C">
            <w:pPr>
              <w:pStyle w:val="Compact"/>
              <w:jc w:val="center"/>
            </w:pPr>
            <w:r>
              <w:t>Grenadian Exclusive Economic Zone</w:t>
            </w:r>
          </w:p>
        </w:tc>
        <w:tc>
          <w:tcPr>
            <w:tcW w:w="0" w:type="auto"/>
          </w:tcPr>
          <w:p w14:paraId="25D0B7FB" w14:textId="77777777" w:rsidR="00BB7A85" w:rsidRDefault="00665C6C">
            <w:pPr>
              <w:pStyle w:val="Compact"/>
              <w:jc w:val="center"/>
            </w:pPr>
            <w:r>
              <w:t>25,577</w:t>
            </w:r>
          </w:p>
        </w:tc>
        <w:tc>
          <w:tcPr>
            <w:tcW w:w="0" w:type="auto"/>
          </w:tcPr>
          <w:p w14:paraId="532EDDF1" w14:textId="77777777" w:rsidR="00BB7A85" w:rsidRDefault="00665C6C">
            <w:pPr>
              <w:pStyle w:val="Compact"/>
              <w:jc w:val="center"/>
            </w:pPr>
            <w:r>
              <w:t>1,142</w:t>
            </w:r>
          </w:p>
        </w:tc>
      </w:tr>
      <w:tr w:rsidR="00BB7A85" w14:paraId="1B75414F" w14:textId="77777777">
        <w:tc>
          <w:tcPr>
            <w:tcW w:w="0" w:type="auto"/>
          </w:tcPr>
          <w:p w14:paraId="0D2226E4" w14:textId="77777777" w:rsidR="00BB7A85" w:rsidRDefault="00665C6C">
            <w:pPr>
              <w:pStyle w:val="Compact"/>
              <w:jc w:val="center"/>
            </w:pPr>
            <w:r>
              <w:rPr>
                <w:b/>
              </w:rPr>
              <w:t>24</w:t>
            </w:r>
          </w:p>
        </w:tc>
        <w:tc>
          <w:tcPr>
            <w:tcW w:w="0" w:type="auto"/>
          </w:tcPr>
          <w:p w14:paraId="723AAF60" w14:textId="77777777" w:rsidR="00BB7A85" w:rsidRDefault="00665C6C">
            <w:pPr>
              <w:pStyle w:val="Compact"/>
              <w:jc w:val="center"/>
            </w:pPr>
            <w:r>
              <w:t>Sint-Maarten Exclusive Economic Zone</w:t>
            </w:r>
          </w:p>
        </w:tc>
        <w:tc>
          <w:tcPr>
            <w:tcW w:w="0" w:type="auto"/>
          </w:tcPr>
          <w:p w14:paraId="5066D8B4" w14:textId="77777777" w:rsidR="00BB7A85" w:rsidRDefault="00665C6C">
            <w:pPr>
              <w:pStyle w:val="Compact"/>
              <w:jc w:val="center"/>
            </w:pPr>
            <w:r>
              <w:t>466</w:t>
            </w:r>
          </w:p>
        </w:tc>
        <w:tc>
          <w:tcPr>
            <w:tcW w:w="0" w:type="auto"/>
          </w:tcPr>
          <w:p w14:paraId="149461B6" w14:textId="77777777" w:rsidR="00BB7A85" w:rsidRDefault="00665C6C">
            <w:pPr>
              <w:pStyle w:val="Compact"/>
              <w:jc w:val="center"/>
            </w:pPr>
            <w:r>
              <w:t>19.52</w:t>
            </w:r>
          </w:p>
        </w:tc>
      </w:tr>
      <w:tr w:rsidR="00BB7A85" w14:paraId="01667F59" w14:textId="77777777">
        <w:tc>
          <w:tcPr>
            <w:tcW w:w="0" w:type="auto"/>
          </w:tcPr>
          <w:p w14:paraId="7C574465" w14:textId="77777777" w:rsidR="00BB7A85" w:rsidRDefault="00665C6C">
            <w:pPr>
              <w:pStyle w:val="Compact"/>
              <w:jc w:val="center"/>
            </w:pPr>
            <w:r>
              <w:rPr>
                <w:b/>
              </w:rPr>
              <w:t>23</w:t>
            </w:r>
          </w:p>
        </w:tc>
        <w:tc>
          <w:tcPr>
            <w:tcW w:w="0" w:type="auto"/>
          </w:tcPr>
          <w:p w14:paraId="3AE7C895" w14:textId="77777777" w:rsidR="00BB7A85" w:rsidRDefault="00665C6C">
            <w:pPr>
              <w:pStyle w:val="Compact"/>
              <w:jc w:val="center"/>
            </w:pPr>
            <w:r>
              <w:t>Saint Vincent and the Grenadines Exclusive Economic Zone</w:t>
            </w:r>
          </w:p>
        </w:tc>
        <w:tc>
          <w:tcPr>
            <w:tcW w:w="0" w:type="auto"/>
          </w:tcPr>
          <w:p w14:paraId="6906D990" w14:textId="77777777" w:rsidR="00BB7A85" w:rsidRDefault="00665C6C">
            <w:pPr>
              <w:pStyle w:val="Compact"/>
              <w:jc w:val="center"/>
            </w:pPr>
            <w:r>
              <w:t>36,243</w:t>
            </w:r>
          </w:p>
        </w:tc>
        <w:tc>
          <w:tcPr>
            <w:tcW w:w="0" w:type="auto"/>
          </w:tcPr>
          <w:p w14:paraId="46D5568F" w14:textId="77777777" w:rsidR="00BB7A85" w:rsidRDefault="00665C6C">
            <w:pPr>
              <w:pStyle w:val="Compact"/>
              <w:jc w:val="center"/>
            </w:pPr>
            <w:r>
              <w:t>1,415</w:t>
            </w:r>
          </w:p>
        </w:tc>
      </w:tr>
      <w:tr w:rsidR="00BB7A85" w14:paraId="428CF855" w14:textId="77777777">
        <w:tc>
          <w:tcPr>
            <w:tcW w:w="0" w:type="auto"/>
          </w:tcPr>
          <w:p w14:paraId="5430332D" w14:textId="77777777" w:rsidR="00BB7A85" w:rsidRDefault="00665C6C">
            <w:pPr>
              <w:pStyle w:val="Compact"/>
              <w:jc w:val="center"/>
            </w:pPr>
            <w:r>
              <w:rPr>
                <w:b/>
              </w:rPr>
              <w:t>3</w:t>
            </w:r>
          </w:p>
        </w:tc>
        <w:tc>
          <w:tcPr>
            <w:tcW w:w="0" w:type="auto"/>
          </w:tcPr>
          <w:p w14:paraId="582827E1" w14:textId="77777777" w:rsidR="00BB7A85" w:rsidRDefault="00665C6C">
            <w:pPr>
              <w:pStyle w:val="Compact"/>
              <w:jc w:val="center"/>
            </w:pPr>
            <w:r>
              <w:t>Aruban Exclusive Economic Zone</w:t>
            </w:r>
          </w:p>
        </w:tc>
        <w:tc>
          <w:tcPr>
            <w:tcW w:w="0" w:type="auto"/>
          </w:tcPr>
          <w:p w14:paraId="178EC293" w14:textId="77777777" w:rsidR="00BB7A85" w:rsidRDefault="00665C6C">
            <w:pPr>
              <w:pStyle w:val="Compact"/>
              <w:jc w:val="center"/>
            </w:pPr>
            <w:r>
              <w:t>29,950</w:t>
            </w:r>
          </w:p>
        </w:tc>
        <w:tc>
          <w:tcPr>
            <w:tcW w:w="0" w:type="auto"/>
          </w:tcPr>
          <w:p w14:paraId="5ACB4117" w14:textId="77777777" w:rsidR="00BB7A85" w:rsidRDefault="00665C6C">
            <w:pPr>
              <w:pStyle w:val="Compact"/>
              <w:jc w:val="center"/>
            </w:pPr>
            <w:r>
              <w:t>945.9</w:t>
            </w:r>
          </w:p>
        </w:tc>
      </w:tr>
      <w:tr w:rsidR="00BB7A85" w14:paraId="47BD5B65" w14:textId="77777777">
        <w:tc>
          <w:tcPr>
            <w:tcW w:w="0" w:type="auto"/>
          </w:tcPr>
          <w:p w14:paraId="351F9AB7" w14:textId="77777777" w:rsidR="00BB7A85" w:rsidRDefault="00665C6C">
            <w:pPr>
              <w:pStyle w:val="Compact"/>
              <w:jc w:val="center"/>
            </w:pPr>
            <w:r>
              <w:rPr>
                <w:b/>
              </w:rPr>
              <w:t>19</w:t>
            </w:r>
          </w:p>
        </w:tc>
        <w:tc>
          <w:tcPr>
            <w:tcW w:w="0" w:type="auto"/>
          </w:tcPr>
          <w:p w14:paraId="187F1D0C" w14:textId="77777777" w:rsidR="00BB7A85" w:rsidRDefault="00665C6C">
            <w:pPr>
              <w:pStyle w:val="Compact"/>
              <w:jc w:val="center"/>
            </w:pPr>
            <w:r>
              <w:t>Sint-Eustatius Exclusive Economic Zone</w:t>
            </w:r>
          </w:p>
        </w:tc>
        <w:tc>
          <w:tcPr>
            <w:tcW w:w="0" w:type="auto"/>
          </w:tcPr>
          <w:p w14:paraId="5F8A2289" w14:textId="77777777" w:rsidR="00BB7A85" w:rsidRDefault="00665C6C">
            <w:pPr>
              <w:pStyle w:val="Compact"/>
              <w:jc w:val="center"/>
            </w:pPr>
            <w:r>
              <w:t>2,175</w:t>
            </w:r>
          </w:p>
        </w:tc>
        <w:tc>
          <w:tcPr>
            <w:tcW w:w="0" w:type="auto"/>
          </w:tcPr>
          <w:p w14:paraId="515BBF0E" w14:textId="77777777" w:rsidR="00BB7A85" w:rsidRDefault="00665C6C">
            <w:pPr>
              <w:pStyle w:val="Compact"/>
              <w:jc w:val="center"/>
            </w:pPr>
            <w:r>
              <w:t>65.25</w:t>
            </w:r>
          </w:p>
        </w:tc>
      </w:tr>
      <w:tr w:rsidR="00BB7A85" w14:paraId="0BFDA197" w14:textId="77777777">
        <w:tc>
          <w:tcPr>
            <w:tcW w:w="0" w:type="auto"/>
          </w:tcPr>
          <w:p w14:paraId="46680D54" w14:textId="77777777" w:rsidR="00BB7A85" w:rsidRDefault="00665C6C">
            <w:pPr>
              <w:pStyle w:val="Compact"/>
              <w:jc w:val="center"/>
            </w:pPr>
            <w:r>
              <w:rPr>
                <w:b/>
              </w:rPr>
              <w:t>20</w:t>
            </w:r>
          </w:p>
        </w:tc>
        <w:tc>
          <w:tcPr>
            <w:tcW w:w="0" w:type="auto"/>
          </w:tcPr>
          <w:p w14:paraId="20D42EFA" w14:textId="77777777" w:rsidR="00BB7A85" w:rsidRDefault="00665C6C">
            <w:pPr>
              <w:pStyle w:val="Compact"/>
              <w:jc w:val="center"/>
            </w:pPr>
            <w:r>
              <w:t>Saint Kitts and Nevis Exclusive Economic Zone</w:t>
            </w:r>
          </w:p>
        </w:tc>
        <w:tc>
          <w:tcPr>
            <w:tcW w:w="0" w:type="auto"/>
          </w:tcPr>
          <w:p w14:paraId="071AF009" w14:textId="77777777" w:rsidR="00BB7A85" w:rsidRDefault="00665C6C">
            <w:pPr>
              <w:pStyle w:val="Compact"/>
              <w:jc w:val="center"/>
            </w:pPr>
            <w:r>
              <w:t>9,502</w:t>
            </w:r>
          </w:p>
        </w:tc>
        <w:tc>
          <w:tcPr>
            <w:tcW w:w="0" w:type="auto"/>
          </w:tcPr>
          <w:p w14:paraId="2F773A20" w14:textId="77777777" w:rsidR="00BB7A85" w:rsidRDefault="00665C6C">
            <w:pPr>
              <w:pStyle w:val="Compact"/>
              <w:jc w:val="center"/>
            </w:pPr>
            <w:r>
              <w:t>256.3</w:t>
            </w:r>
          </w:p>
        </w:tc>
      </w:tr>
      <w:tr w:rsidR="00BB7A85" w14:paraId="1F37E17F" w14:textId="77777777">
        <w:tc>
          <w:tcPr>
            <w:tcW w:w="0" w:type="auto"/>
          </w:tcPr>
          <w:p w14:paraId="1C2CC7AB" w14:textId="77777777" w:rsidR="00BB7A85" w:rsidRDefault="00665C6C">
            <w:pPr>
              <w:pStyle w:val="Compact"/>
              <w:jc w:val="center"/>
            </w:pPr>
            <w:r>
              <w:rPr>
                <w:b/>
              </w:rPr>
              <w:t>4</w:t>
            </w:r>
          </w:p>
        </w:tc>
        <w:tc>
          <w:tcPr>
            <w:tcW w:w="0" w:type="auto"/>
          </w:tcPr>
          <w:p w14:paraId="7CF4AC3B" w14:textId="77777777" w:rsidR="00BB7A85" w:rsidRDefault="00665C6C">
            <w:pPr>
              <w:pStyle w:val="Compact"/>
              <w:jc w:val="center"/>
            </w:pPr>
            <w:r>
              <w:t>Bahamas Exclusive Economic Zone</w:t>
            </w:r>
          </w:p>
        </w:tc>
        <w:tc>
          <w:tcPr>
            <w:tcW w:w="0" w:type="auto"/>
          </w:tcPr>
          <w:p w14:paraId="51804DB7" w14:textId="77777777" w:rsidR="00BB7A85" w:rsidRDefault="00665C6C">
            <w:pPr>
              <w:pStyle w:val="Compact"/>
              <w:jc w:val="center"/>
            </w:pPr>
            <w:r>
              <w:t>618,667</w:t>
            </w:r>
          </w:p>
        </w:tc>
        <w:tc>
          <w:tcPr>
            <w:tcW w:w="0" w:type="auto"/>
          </w:tcPr>
          <w:p w14:paraId="4232501B" w14:textId="77777777" w:rsidR="00BB7A85" w:rsidRDefault="00665C6C">
            <w:pPr>
              <w:pStyle w:val="Compact"/>
              <w:jc w:val="center"/>
            </w:pPr>
            <w:r>
              <w:t>14,314</w:t>
            </w:r>
          </w:p>
        </w:tc>
      </w:tr>
      <w:tr w:rsidR="00BB7A85" w14:paraId="65EFFA00" w14:textId="77777777">
        <w:tc>
          <w:tcPr>
            <w:tcW w:w="0" w:type="auto"/>
          </w:tcPr>
          <w:p w14:paraId="3DD275C4" w14:textId="77777777" w:rsidR="00BB7A85" w:rsidRDefault="00665C6C">
            <w:pPr>
              <w:pStyle w:val="Compact"/>
              <w:jc w:val="center"/>
            </w:pPr>
            <w:r>
              <w:rPr>
                <w:b/>
              </w:rPr>
              <w:t>27</w:t>
            </w:r>
          </w:p>
        </w:tc>
        <w:tc>
          <w:tcPr>
            <w:tcW w:w="0" w:type="auto"/>
          </w:tcPr>
          <w:p w14:paraId="4DFCB59F" w14:textId="77777777" w:rsidR="00BB7A85" w:rsidRDefault="00665C6C">
            <w:pPr>
              <w:pStyle w:val="Compact"/>
              <w:jc w:val="center"/>
            </w:pPr>
            <w:r>
              <w:t>Virgin Islander Exclusive Economic Zone</w:t>
            </w:r>
          </w:p>
        </w:tc>
        <w:tc>
          <w:tcPr>
            <w:tcW w:w="0" w:type="auto"/>
          </w:tcPr>
          <w:p w14:paraId="72D0714C" w14:textId="77777777" w:rsidR="00BB7A85" w:rsidRDefault="00665C6C">
            <w:pPr>
              <w:pStyle w:val="Compact"/>
              <w:jc w:val="center"/>
            </w:pPr>
            <w:r>
              <w:t>38,290</w:t>
            </w:r>
          </w:p>
        </w:tc>
        <w:tc>
          <w:tcPr>
            <w:tcW w:w="0" w:type="auto"/>
          </w:tcPr>
          <w:p w14:paraId="419756F6" w14:textId="77777777" w:rsidR="00BB7A85" w:rsidRDefault="00665C6C">
            <w:pPr>
              <w:pStyle w:val="Compact"/>
              <w:jc w:val="center"/>
            </w:pPr>
            <w:r>
              <w:t>813.9</w:t>
            </w:r>
          </w:p>
        </w:tc>
      </w:tr>
      <w:tr w:rsidR="00BB7A85" w14:paraId="2D2B9D16" w14:textId="77777777">
        <w:tc>
          <w:tcPr>
            <w:tcW w:w="0" w:type="auto"/>
          </w:tcPr>
          <w:p w14:paraId="4256BBA6" w14:textId="77777777" w:rsidR="00BB7A85" w:rsidRDefault="00665C6C">
            <w:pPr>
              <w:pStyle w:val="Compact"/>
              <w:jc w:val="center"/>
            </w:pPr>
            <w:r>
              <w:rPr>
                <w:b/>
              </w:rPr>
              <w:t>21</w:t>
            </w:r>
          </w:p>
        </w:tc>
        <w:tc>
          <w:tcPr>
            <w:tcW w:w="0" w:type="auto"/>
          </w:tcPr>
          <w:p w14:paraId="1469AD7E" w14:textId="77777777" w:rsidR="00BB7A85" w:rsidRDefault="00665C6C">
            <w:pPr>
              <w:pStyle w:val="Compact"/>
              <w:jc w:val="center"/>
            </w:pPr>
            <w:r>
              <w:t>Saint Lucia Exclusive Economic Zone</w:t>
            </w:r>
          </w:p>
        </w:tc>
        <w:tc>
          <w:tcPr>
            <w:tcW w:w="0" w:type="auto"/>
          </w:tcPr>
          <w:p w14:paraId="35317A9D" w14:textId="77777777" w:rsidR="00BB7A85" w:rsidRDefault="00665C6C">
            <w:pPr>
              <w:pStyle w:val="Compact"/>
              <w:jc w:val="center"/>
            </w:pPr>
            <w:r>
              <w:t>15,413</w:t>
            </w:r>
          </w:p>
        </w:tc>
        <w:tc>
          <w:tcPr>
            <w:tcW w:w="0" w:type="auto"/>
          </w:tcPr>
          <w:p w14:paraId="4639A995" w14:textId="77777777" w:rsidR="00BB7A85" w:rsidRDefault="00665C6C">
            <w:pPr>
              <w:pStyle w:val="Compact"/>
              <w:jc w:val="center"/>
            </w:pPr>
            <w:r>
              <w:t>285.5</w:t>
            </w:r>
          </w:p>
        </w:tc>
      </w:tr>
      <w:tr w:rsidR="00BB7A85" w14:paraId="391E6CF8" w14:textId="77777777">
        <w:tc>
          <w:tcPr>
            <w:tcW w:w="0" w:type="auto"/>
          </w:tcPr>
          <w:p w14:paraId="7D36144E" w14:textId="77777777" w:rsidR="00BB7A85" w:rsidRDefault="00665C6C">
            <w:pPr>
              <w:pStyle w:val="Compact"/>
              <w:jc w:val="center"/>
            </w:pPr>
            <w:r>
              <w:rPr>
                <w:b/>
              </w:rPr>
              <w:t>14</w:t>
            </w:r>
          </w:p>
        </w:tc>
        <w:tc>
          <w:tcPr>
            <w:tcW w:w="0" w:type="auto"/>
          </w:tcPr>
          <w:p w14:paraId="1EB5E0D6" w14:textId="77777777" w:rsidR="00BB7A85" w:rsidRDefault="00665C6C">
            <w:pPr>
              <w:pStyle w:val="Compact"/>
              <w:jc w:val="center"/>
            </w:pPr>
            <w:r>
              <w:t>Jamaican Exclusive Economic Zone</w:t>
            </w:r>
          </w:p>
        </w:tc>
        <w:tc>
          <w:tcPr>
            <w:tcW w:w="0" w:type="auto"/>
          </w:tcPr>
          <w:p w14:paraId="427F25D1" w14:textId="77777777" w:rsidR="00BB7A85" w:rsidRDefault="00665C6C">
            <w:pPr>
              <w:pStyle w:val="Compact"/>
              <w:jc w:val="center"/>
            </w:pPr>
            <w:r>
              <w:t>257,049</w:t>
            </w:r>
          </w:p>
        </w:tc>
        <w:tc>
          <w:tcPr>
            <w:tcW w:w="0" w:type="auto"/>
          </w:tcPr>
          <w:p w14:paraId="22DAA5FC" w14:textId="77777777" w:rsidR="00BB7A85" w:rsidRDefault="00665C6C">
            <w:pPr>
              <w:pStyle w:val="Compact"/>
              <w:jc w:val="center"/>
            </w:pPr>
            <w:r>
              <w:t>4,720</w:t>
            </w:r>
          </w:p>
        </w:tc>
      </w:tr>
      <w:tr w:rsidR="00BB7A85" w14:paraId="7757EA62" w14:textId="77777777">
        <w:tc>
          <w:tcPr>
            <w:tcW w:w="0" w:type="auto"/>
          </w:tcPr>
          <w:p w14:paraId="5F473750" w14:textId="77777777" w:rsidR="00BB7A85" w:rsidRDefault="00665C6C">
            <w:pPr>
              <w:pStyle w:val="Compact"/>
              <w:jc w:val="center"/>
            </w:pPr>
            <w:r>
              <w:rPr>
                <w:b/>
              </w:rPr>
              <w:t>2</w:t>
            </w:r>
          </w:p>
        </w:tc>
        <w:tc>
          <w:tcPr>
            <w:tcW w:w="0" w:type="auto"/>
          </w:tcPr>
          <w:p w14:paraId="4A21F45E" w14:textId="77777777" w:rsidR="00BB7A85" w:rsidRDefault="00665C6C">
            <w:pPr>
              <w:pStyle w:val="Compact"/>
              <w:jc w:val="center"/>
            </w:pPr>
            <w:r>
              <w:t>Antigua and Barbuda Exclusive Economic Zone</w:t>
            </w:r>
          </w:p>
        </w:tc>
        <w:tc>
          <w:tcPr>
            <w:tcW w:w="0" w:type="auto"/>
          </w:tcPr>
          <w:p w14:paraId="13A8A11A" w14:textId="77777777" w:rsidR="00BB7A85" w:rsidRDefault="00665C6C">
            <w:pPr>
              <w:pStyle w:val="Compact"/>
              <w:jc w:val="center"/>
            </w:pPr>
            <w:r>
              <w:t>111,560</w:t>
            </w:r>
          </w:p>
        </w:tc>
        <w:tc>
          <w:tcPr>
            <w:tcW w:w="0" w:type="auto"/>
          </w:tcPr>
          <w:p w14:paraId="47392BF3" w14:textId="77777777" w:rsidR="00BB7A85" w:rsidRDefault="00665C6C">
            <w:pPr>
              <w:pStyle w:val="Compact"/>
              <w:jc w:val="center"/>
            </w:pPr>
            <w:r>
              <w:t>1,949</w:t>
            </w:r>
          </w:p>
        </w:tc>
      </w:tr>
      <w:tr w:rsidR="00BB7A85" w14:paraId="56656234" w14:textId="77777777">
        <w:tc>
          <w:tcPr>
            <w:tcW w:w="0" w:type="auto"/>
          </w:tcPr>
          <w:p w14:paraId="02C79B08" w14:textId="77777777" w:rsidR="00BB7A85" w:rsidRDefault="00665C6C">
            <w:pPr>
              <w:pStyle w:val="Compact"/>
              <w:jc w:val="center"/>
            </w:pPr>
            <w:r>
              <w:rPr>
                <w:b/>
              </w:rPr>
              <w:t>29</w:t>
            </w:r>
          </w:p>
        </w:tc>
        <w:tc>
          <w:tcPr>
            <w:tcW w:w="0" w:type="auto"/>
          </w:tcPr>
          <w:p w14:paraId="3E9324E6" w14:textId="77777777" w:rsidR="00BB7A85" w:rsidRDefault="00665C6C">
            <w:pPr>
              <w:pStyle w:val="Compact"/>
              <w:jc w:val="center"/>
            </w:pPr>
            <w:r>
              <w:t>Haitian Exclusive Economic Zone</w:t>
            </w:r>
          </w:p>
        </w:tc>
        <w:tc>
          <w:tcPr>
            <w:tcW w:w="0" w:type="auto"/>
          </w:tcPr>
          <w:p w14:paraId="2DFB5EBB" w14:textId="77777777" w:rsidR="00BB7A85" w:rsidRDefault="00665C6C">
            <w:pPr>
              <w:pStyle w:val="Compact"/>
              <w:jc w:val="center"/>
            </w:pPr>
            <w:r>
              <w:t>103,498</w:t>
            </w:r>
          </w:p>
        </w:tc>
        <w:tc>
          <w:tcPr>
            <w:tcW w:w="0" w:type="auto"/>
          </w:tcPr>
          <w:p w14:paraId="1F6DE7E1" w14:textId="77777777" w:rsidR="00BB7A85" w:rsidRDefault="00665C6C">
            <w:pPr>
              <w:pStyle w:val="Compact"/>
              <w:jc w:val="center"/>
            </w:pPr>
            <w:r>
              <w:t>1,780</w:t>
            </w:r>
          </w:p>
        </w:tc>
      </w:tr>
      <w:tr w:rsidR="00BB7A85" w14:paraId="14C8FAF5" w14:textId="77777777">
        <w:tc>
          <w:tcPr>
            <w:tcW w:w="0" w:type="auto"/>
          </w:tcPr>
          <w:p w14:paraId="0A7538F7" w14:textId="77777777" w:rsidR="00BB7A85" w:rsidRDefault="00665C6C">
            <w:pPr>
              <w:pStyle w:val="Compact"/>
              <w:jc w:val="center"/>
            </w:pPr>
            <w:r>
              <w:rPr>
                <w:b/>
              </w:rPr>
              <w:t>7</w:t>
            </w:r>
          </w:p>
        </w:tc>
        <w:tc>
          <w:tcPr>
            <w:tcW w:w="0" w:type="auto"/>
          </w:tcPr>
          <w:p w14:paraId="4E170790" w14:textId="77777777" w:rsidR="00BB7A85" w:rsidRDefault="00665C6C">
            <w:pPr>
              <w:pStyle w:val="Compact"/>
              <w:jc w:val="center"/>
            </w:pPr>
            <w:r>
              <w:t>British Virgin Islands Exclusive Economic Zone</w:t>
            </w:r>
          </w:p>
        </w:tc>
        <w:tc>
          <w:tcPr>
            <w:tcW w:w="0" w:type="auto"/>
          </w:tcPr>
          <w:p w14:paraId="648A031D" w14:textId="77777777" w:rsidR="00BB7A85" w:rsidRDefault="00665C6C">
            <w:pPr>
              <w:pStyle w:val="Compact"/>
              <w:jc w:val="center"/>
            </w:pPr>
            <w:r>
              <w:t>81,583</w:t>
            </w:r>
          </w:p>
        </w:tc>
        <w:tc>
          <w:tcPr>
            <w:tcW w:w="0" w:type="auto"/>
          </w:tcPr>
          <w:p w14:paraId="1DA66DA4" w14:textId="77777777" w:rsidR="00BB7A85" w:rsidRDefault="00665C6C">
            <w:pPr>
              <w:pStyle w:val="Compact"/>
              <w:jc w:val="center"/>
            </w:pPr>
            <w:r>
              <w:t>1,271</w:t>
            </w:r>
          </w:p>
        </w:tc>
      </w:tr>
      <w:tr w:rsidR="00BB7A85" w14:paraId="7EC97D60" w14:textId="77777777">
        <w:tc>
          <w:tcPr>
            <w:tcW w:w="0" w:type="auto"/>
          </w:tcPr>
          <w:p w14:paraId="7D503C54" w14:textId="77777777" w:rsidR="00BB7A85" w:rsidRDefault="00665C6C">
            <w:pPr>
              <w:pStyle w:val="Compact"/>
              <w:jc w:val="center"/>
            </w:pPr>
            <w:r>
              <w:rPr>
                <w:b/>
              </w:rPr>
              <w:t>1</w:t>
            </w:r>
          </w:p>
        </w:tc>
        <w:tc>
          <w:tcPr>
            <w:tcW w:w="0" w:type="auto"/>
          </w:tcPr>
          <w:p w14:paraId="0A274C9E" w14:textId="77777777" w:rsidR="00BB7A85" w:rsidRDefault="00665C6C">
            <w:pPr>
              <w:pStyle w:val="Compact"/>
              <w:jc w:val="center"/>
            </w:pPr>
            <w:r>
              <w:t>Anguilla Exclusive Economic Zone</w:t>
            </w:r>
          </w:p>
        </w:tc>
        <w:tc>
          <w:tcPr>
            <w:tcW w:w="0" w:type="auto"/>
          </w:tcPr>
          <w:p w14:paraId="20B304AB" w14:textId="77777777" w:rsidR="00BB7A85" w:rsidRDefault="00665C6C">
            <w:pPr>
              <w:pStyle w:val="Compact"/>
              <w:jc w:val="center"/>
            </w:pPr>
            <w:r>
              <w:t>90,154</w:t>
            </w:r>
          </w:p>
        </w:tc>
        <w:tc>
          <w:tcPr>
            <w:tcW w:w="0" w:type="auto"/>
          </w:tcPr>
          <w:p w14:paraId="0EC6E19A" w14:textId="77777777" w:rsidR="00BB7A85" w:rsidRDefault="00665C6C">
            <w:pPr>
              <w:pStyle w:val="Compact"/>
              <w:jc w:val="center"/>
            </w:pPr>
            <w:r>
              <w:t>1,221</w:t>
            </w:r>
          </w:p>
        </w:tc>
      </w:tr>
      <w:tr w:rsidR="00BB7A85" w14:paraId="13064BC9" w14:textId="77777777">
        <w:tc>
          <w:tcPr>
            <w:tcW w:w="0" w:type="auto"/>
          </w:tcPr>
          <w:p w14:paraId="12DBC111" w14:textId="77777777" w:rsidR="00BB7A85" w:rsidRDefault="00665C6C">
            <w:pPr>
              <w:pStyle w:val="Compact"/>
              <w:jc w:val="center"/>
            </w:pPr>
            <w:r>
              <w:rPr>
                <w:b/>
              </w:rPr>
              <w:t>26</w:t>
            </w:r>
          </w:p>
        </w:tc>
        <w:tc>
          <w:tcPr>
            <w:tcW w:w="0" w:type="auto"/>
          </w:tcPr>
          <w:p w14:paraId="138A5FF4" w14:textId="77777777" w:rsidR="00BB7A85" w:rsidRDefault="00665C6C">
            <w:pPr>
              <w:pStyle w:val="Compact"/>
              <w:jc w:val="center"/>
            </w:pPr>
            <w:r>
              <w:t>Turks and Caicos Exclusive Economic Zone</w:t>
            </w:r>
          </w:p>
        </w:tc>
        <w:tc>
          <w:tcPr>
            <w:tcW w:w="0" w:type="auto"/>
          </w:tcPr>
          <w:p w14:paraId="3E8FBEA6" w14:textId="77777777" w:rsidR="00BB7A85" w:rsidRDefault="00665C6C">
            <w:pPr>
              <w:pStyle w:val="Compact"/>
              <w:jc w:val="center"/>
            </w:pPr>
            <w:r>
              <w:t>91,028</w:t>
            </w:r>
          </w:p>
        </w:tc>
        <w:tc>
          <w:tcPr>
            <w:tcW w:w="0" w:type="auto"/>
          </w:tcPr>
          <w:p w14:paraId="2B91CA30" w14:textId="77777777" w:rsidR="00BB7A85" w:rsidRDefault="00665C6C">
            <w:pPr>
              <w:pStyle w:val="Compact"/>
              <w:jc w:val="center"/>
            </w:pPr>
            <w:r>
              <w:t>1,028</w:t>
            </w:r>
          </w:p>
        </w:tc>
      </w:tr>
      <w:tr w:rsidR="00BB7A85" w14:paraId="71CF4456" w14:textId="77777777">
        <w:tc>
          <w:tcPr>
            <w:tcW w:w="0" w:type="auto"/>
          </w:tcPr>
          <w:p w14:paraId="73962845" w14:textId="77777777" w:rsidR="00BB7A85" w:rsidRDefault="00665C6C">
            <w:pPr>
              <w:pStyle w:val="Compact"/>
              <w:jc w:val="center"/>
            </w:pPr>
            <w:r>
              <w:rPr>
                <w:b/>
              </w:rPr>
              <w:t>15</w:t>
            </w:r>
          </w:p>
        </w:tc>
        <w:tc>
          <w:tcPr>
            <w:tcW w:w="0" w:type="auto"/>
          </w:tcPr>
          <w:p w14:paraId="6293DF7E" w14:textId="77777777" w:rsidR="00BB7A85" w:rsidRDefault="00665C6C">
            <w:pPr>
              <w:pStyle w:val="Compact"/>
              <w:jc w:val="center"/>
            </w:pPr>
            <w:r>
              <w:t>Montserrat Exclusive Economic Zone</w:t>
            </w:r>
          </w:p>
        </w:tc>
        <w:tc>
          <w:tcPr>
            <w:tcW w:w="0" w:type="auto"/>
          </w:tcPr>
          <w:p w14:paraId="5DF1CB80" w14:textId="77777777" w:rsidR="00BB7A85" w:rsidRDefault="00665C6C">
            <w:pPr>
              <w:pStyle w:val="Compact"/>
              <w:jc w:val="center"/>
            </w:pPr>
            <w:r>
              <w:t>7,190</w:t>
            </w:r>
          </w:p>
        </w:tc>
        <w:tc>
          <w:tcPr>
            <w:tcW w:w="0" w:type="auto"/>
          </w:tcPr>
          <w:p w14:paraId="2018C877" w14:textId="77777777" w:rsidR="00BB7A85" w:rsidRDefault="00665C6C">
            <w:pPr>
              <w:pStyle w:val="Compact"/>
              <w:jc w:val="center"/>
            </w:pPr>
            <w:r>
              <w:t>73.67</w:t>
            </w:r>
          </w:p>
        </w:tc>
      </w:tr>
      <w:tr w:rsidR="00BB7A85" w14:paraId="0A9F7223" w14:textId="77777777">
        <w:tc>
          <w:tcPr>
            <w:tcW w:w="0" w:type="auto"/>
          </w:tcPr>
          <w:p w14:paraId="377D7F8B" w14:textId="77777777" w:rsidR="00BB7A85" w:rsidRDefault="00665C6C">
            <w:pPr>
              <w:pStyle w:val="Compact"/>
              <w:jc w:val="center"/>
            </w:pPr>
            <w:r>
              <w:rPr>
                <w:b/>
              </w:rPr>
              <w:t>16</w:t>
            </w:r>
          </w:p>
        </w:tc>
        <w:tc>
          <w:tcPr>
            <w:tcW w:w="0" w:type="auto"/>
          </w:tcPr>
          <w:p w14:paraId="6492CB57" w14:textId="77777777" w:rsidR="00BB7A85" w:rsidRDefault="00665C6C">
            <w:pPr>
              <w:pStyle w:val="Compact"/>
              <w:jc w:val="center"/>
            </w:pPr>
            <w:r>
              <w:t>Puerto Rican Exclusive Economic Zone</w:t>
            </w:r>
          </w:p>
        </w:tc>
        <w:tc>
          <w:tcPr>
            <w:tcW w:w="0" w:type="auto"/>
          </w:tcPr>
          <w:p w14:paraId="6E8FAC42" w14:textId="77777777" w:rsidR="00BB7A85" w:rsidRDefault="00665C6C">
            <w:pPr>
              <w:pStyle w:val="Compact"/>
              <w:jc w:val="center"/>
            </w:pPr>
            <w:r>
              <w:t>154,652</w:t>
            </w:r>
          </w:p>
        </w:tc>
        <w:tc>
          <w:tcPr>
            <w:tcW w:w="0" w:type="auto"/>
          </w:tcPr>
          <w:p w14:paraId="18D05026" w14:textId="77777777" w:rsidR="00BB7A85" w:rsidRDefault="00665C6C">
            <w:pPr>
              <w:pStyle w:val="Compact"/>
              <w:jc w:val="center"/>
            </w:pPr>
            <w:r>
              <w:t>1,515</w:t>
            </w:r>
          </w:p>
        </w:tc>
      </w:tr>
      <w:tr w:rsidR="00BB7A85" w14:paraId="6B456E97" w14:textId="77777777">
        <w:tc>
          <w:tcPr>
            <w:tcW w:w="0" w:type="auto"/>
          </w:tcPr>
          <w:p w14:paraId="21EA6243" w14:textId="77777777" w:rsidR="00BB7A85" w:rsidRDefault="00665C6C">
            <w:pPr>
              <w:pStyle w:val="Compact"/>
              <w:jc w:val="center"/>
            </w:pPr>
            <w:r>
              <w:rPr>
                <w:b/>
              </w:rPr>
              <w:t>11</w:t>
            </w:r>
          </w:p>
        </w:tc>
        <w:tc>
          <w:tcPr>
            <w:tcW w:w="0" w:type="auto"/>
          </w:tcPr>
          <w:p w14:paraId="37C86B00" w14:textId="77777777" w:rsidR="00BB7A85" w:rsidRDefault="00665C6C">
            <w:pPr>
              <w:pStyle w:val="Compact"/>
              <w:jc w:val="center"/>
            </w:pPr>
            <w:r>
              <w:t>Dominican Republic Exclusive Economic Zone</w:t>
            </w:r>
          </w:p>
        </w:tc>
        <w:tc>
          <w:tcPr>
            <w:tcW w:w="0" w:type="auto"/>
          </w:tcPr>
          <w:p w14:paraId="1EBD9D7E" w14:textId="77777777" w:rsidR="00BB7A85" w:rsidRDefault="00665C6C">
            <w:pPr>
              <w:pStyle w:val="Compact"/>
              <w:jc w:val="center"/>
            </w:pPr>
            <w:r>
              <w:t>350,698</w:t>
            </w:r>
          </w:p>
        </w:tc>
        <w:tc>
          <w:tcPr>
            <w:tcW w:w="0" w:type="auto"/>
          </w:tcPr>
          <w:p w14:paraId="6B4FB0FB" w14:textId="77777777" w:rsidR="00BB7A85" w:rsidRDefault="00665C6C">
            <w:pPr>
              <w:pStyle w:val="Compact"/>
              <w:jc w:val="center"/>
            </w:pPr>
            <w:r>
              <w:t>3,290</w:t>
            </w:r>
          </w:p>
        </w:tc>
      </w:tr>
      <w:tr w:rsidR="00BB7A85" w14:paraId="43FD7350" w14:textId="77777777">
        <w:tc>
          <w:tcPr>
            <w:tcW w:w="0" w:type="auto"/>
          </w:tcPr>
          <w:p w14:paraId="61B075CA" w14:textId="77777777" w:rsidR="00BB7A85" w:rsidRDefault="00665C6C">
            <w:pPr>
              <w:pStyle w:val="Compact"/>
              <w:jc w:val="center"/>
            </w:pPr>
            <w:r>
              <w:rPr>
                <w:b/>
              </w:rPr>
              <w:t>10</w:t>
            </w:r>
          </w:p>
        </w:tc>
        <w:tc>
          <w:tcPr>
            <w:tcW w:w="0" w:type="auto"/>
          </w:tcPr>
          <w:p w14:paraId="49A3A59E" w14:textId="77777777" w:rsidR="00BB7A85" w:rsidRDefault="00665C6C">
            <w:pPr>
              <w:pStyle w:val="Compact"/>
              <w:jc w:val="center"/>
            </w:pPr>
            <w:r>
              <w:t>Dominican Exclusive Economic Zone</w:t>
            </w:r>
          </w:p>
        </w:tc>
        <w:tc>
          <w:tcPr>
            <w:tcW w:w="0" w:type="auto"/>
          </w:tcPr>
          <w:p w14:paraId="26157312" w14:textId="77777777" w:rsidR="00BB7A85" w:rsidRDefault="00665C6C">
            <w:pPr>
              <w:pStyle w:val="Compact"/>
              <w:jc w:val="center"/>
            </w:pPr>
            <w:r>
              <w:t>28,590</w:t>
            </w:r>
          </w:p>
        </w:tc>
        <w:tc>
          <w:tcPr>
            <w:tcW w:w="0" w:type="auto"/>
          </w:tcPr>
          <w:p w14:paraId="1FEC36C2" w14:textId="77777777" w:rsidR="00BB7A85" w:rsidRDefault="00665C6C">
            <w:pPr>
              <w:pStyle w:val="Compact"/>
              <w:jc w:val="center"/>
            </w:pPr>
            <w:r>
              <w:t>242.3</w:t>
            </w:r>
          </w:p>
        </w:tc>
      </w:tr>
      <w:tr w:rsidR="00BB7A85" w14:paraId="1EA3F55F" w14:textId="77777777">
        <w:tc>
          <w:tcPr>
            <w:tcW w:w="0" w:type="auto"/>
          </w:tcPr>
          <w:p w14:paraId="6D3D9ECC" w14:textId="77777777" w:rsidR="00BB7A85" w:rsidRDefault="00665C6C">
            <w:pPr>
              <w:pStyle w:val="Compact"/>
              <w:jc w:val="center"/>
            </w:pPr>
            <w:r>
              <w:rPr>
                <w:b/>
              </w:rPr>
              <w:t>28</w:t>
            </w:r>
          </w:p>
        </w:tc>
        <w:tc>
          <w:tcPr>
            <w:tcW w:w="0" w:type="auto"/>
          </w:tcPr>
          <w:p w14:paraId="7001F709" w14:textId="77777777" w:rsidR="00BB7A85" w:rsidRDefault="00665C6C">
            <w:pPr>
              <w:pStyle w:val="Compact"/>
              <w:jc w:val="center"/>
            </w:pPr>
            <w:r>
              <w:t>Cuban Exclusive Economic Zone</w:t>
            </w:r>
          </w:p>
        </w:tc>
        <w:tc>
          <w:tcPr>
            <w:tcW w:w="0" w:type="auto"/>
          </w:tcPr>
          <w:p w14:paraId="166F0916" w14:textId="77777777" w:rsidR="00BB7A85" w:rsidRDefault="00665C6C">
            <w:pPr>
              <w:pStyle w:val="Compact"/>
              <w:jc w:val="center"/>
            </w:pPr>
            <w:r>
              <w:t>352,266</w:t>
            </w:r>
          </w:p>
        </w:tc>
        <w:tc>
          <w:tcPr>
            <w:tcW w:w="0" w:type="auto"/>
          </w:tcPr>
          <w:p w14:paraId="3CBC4B5D" w14:textId="77777777" w:rsidR="00BB7A85" w:rsidRDefault="00665C6C">
            <w:pPr>
              <w:pStyle w:val="Compact"/>
              <w:jc w:val="center"/>
            </w:pPr>
            <w:r>
              <w:t>2,475</w:t>
            </w:r>
          </w:p>
        </w:tc>
      </w:tr>
      <w:tr w:rsidR="00BB7A85" w14:paraId="7FA4462C" w14:textId="77777777">
        <w:tc>
          <w:tcPr>
            <w:tcW w:w="0" w:type="auto"/>
          </w:tcPr>
          <w:p w14:paraId="1308F509" w14:textId="77777777" w:rsidR="00BB7A85" w:rsidRDefault="00665C6C">
            <w:pPr>
              <w:pStyle w:val="Compact"/>
              <w:jc w:val="center"/>
            </w:pPr>
            <w:r>
              <w:rPr>
                <w:b/>
              </w:rPr>
              <w:t>6</w:t>
            </w:r>
          </w:p>
        </w:tc>
        <w:tc>
          <w:tcPr>
            <w:tcW w:w="0" w:type="auto"/>
          </w:tcPr>
          <w:p w14:paraId="59AD2499" w14:textId="77777777" w:rsidR="00BB7A85" w:rsidRDefault="00665C6C">
            <w:pPr>
              <w:pStyle w:val="Compact"/>
              <w:jc w:val="center"/>
            </w:pPr>
            <w:r>
              <w:t>Bonaire Exclusive Economic Zone</w:t>
            </w:r>
          </w:p>
        </w:tc>
        <w:tc>
          <w:tcPr>
            <w:tcW w:w="0" w:type="auto"/>
          </w:tcPr>
          <w:p w14:paraId="6261E29D" w14:textId="77777777" w:rsidR="00BB7A85" w:rsidRDefault="00665C6C">
            <w:pPr>
              <w:pStyle w:val="Compact"/>
              <w:jc w:val="center"/>
            </w:pPr>
            <w:r>
              <w:t>12,980</w:t>
            </w:r>
          </w:p>
        </w:tc>
        <w:tc>
          <w:tcPr>
            <w:tcW w:w="0" w:type="auto"/>
          </w:tcPr>
          <w:p w14:paraId="603F837D" w14:textId="77777777" w:rsidR="00BB7A85" w:rsidRDefault="00665C6C">
            <w:pPr>
              <w:pStyle w:val="Compact"/>
              <w:jc w:val="center"/>
            </w:pPr>
            <w:r>
              <w:t>42.62</w:t>
            </w:r>
          </w:p>
        </w:tc>
      </w:tr>
      <w:tr w:rsidR="00BB7A85" w14:paraId="468E59E2" w14:textId="77777777">
        <w:tc>
          <w:tcPr>
            <w:tcW w:w="0" w:type="auto"/>
          </w:tcPr>
          <w:p w14:paraId="5C24F82C" w14:textId="77777777" w:rsidR="00BB7A85" w:rsidRDefault="00665C6C">
            <w:pPr>
              <w:pStyle w:val="Compact"/>
              <w:jc w:val="center"/>
            </w:pPr>
            <w:r>
              <w:rPr>
                <w:b/>
              </w:rPr>
              <w:t>9</w:t>
            </w:r>
          </w:p>
        </w:tc>
        <w:tc>
          <w:tcPr>
            <w:tcW w:w="0" w:type="auto"/>
          </w:tcPr>
          <w:p w14:paraId="1151A94C" w14:textId="77777777" w:rsidR="00BB7A85" w:rsidRDefault="00665C6C">
            <w:pPr>
              <w:pStyle w:val="Compact"/>
              <w:jc w:val="center"/>
            </w:pPr>
            <w:r>
              <w:t>Curaçaoan Exclusive Economic Zone</w:t>
            </w:r>
          </w:p>
        </w:tc>
        <w:tc>
          <w:tcPr>
            <w:tcW w:w="0" w:type="auto"/>
          </w:tcPr>
          <w:p w14:paraId="04D87F03" w14:textId="77777777" w:rsidR="00BB7A85" w:rsidRDefault="00665C6C">
            <w:pPr>
              <w:pStyle w:val="Compact"/>
              <w:jc w:val="center"/>
            </w:pPr>
            <w:r>
              <w:t>25,397</w:t>
            </w:r>
          </w:p>
        </w:tc>
        <w:tc>
          <w:tcPr>
            <w:tcW w:w="0" w:type="auto"/>
          </w:tcPr>
          <w:p w14:paraId="008D44A0" w14:textId="77777777" w:rsidR="00BB7A85" w:rsidRDefault="00665C6C">
            <w:pPr>
              <w:pStyle w:val="Compact"/>
              <w:jc w:val="center"/>
            </w:pPr>
            <w:r>
              <w:t>71.02</w:t>
            </w:r>
          </w:p>
        </w:tc>
      </w:tr>
      <w:tr w:rsidR="00BB7A85" w14:paraId="06FC6C3D" w14:textId="77777777">
        <w:tc>
          <w:tcPr>
            <w:tcW w:w="0" w:type="auto"/>
          </w:tcPr>
          <w:p w14:paraId="5E1B0FF0" w14:textId="77777777" w:rsidR="00BB7A85" w:rsidRDefault="00665C6C">
            <w:pPr>
              <w:pStyle w:val="Compact"/>
              <w:jc w:val="center"/>
            </w:pPr>
            <w:r>
              <w:rPr>
                <w:b/>
              </w:rPr>
              <w:t>18</w:t>
            </w:r>
          </w:p>
        </w:tc>
        <w:tc>
          <w:tcPr>
            <w:tcW w:w="0" w:type="auto"/>
          </w:tcPr>
          <w:p w14:paraId="4F3F5183" w14:textId="77777777" w:rsidR="00BB7A85" w:rsidRDefault="00665C6C">
            <w:pPr>
              <w:pStyle w:val="Compact"/>
              <w:jc w:val="center"/>
            </w:pPr>
            <w:r>
              <w:t>Saint-Barthélemy Exclusive Economic Zone</w:t>
            </w:r>
          </w:p>
        </w:tc>
        <w:tc>
          <w:tcPr>
            <w:tcW w:w="0" w:type="auto"/>
          </w:tcPr>
          <w:p w14:paraId="4B26FAF0" w14:textId="77777777" w:rsidR="00BB7A85" w:rsidRDefault="00665C6C">
            <w:pPr>
              <w:pStyle w:val="Compact"/>
              <w:jc w:val="center"/>
            </w:pPr>
            <w:r>
              <w:t>4,179</w:t>
            </w:r>
          </w:p>
        </w:tc>
        <w:tc>
          <w:tcPr>
            <w:tcW w:w="0" w:type="auto"/>
          </w:tcPr>
          <w:p w14:paraId="317595B1" w14:textId="77777777" w:rsidR="00BB7A85" w:rsidRDefault="00665C6C">
            <w:pPr>
              <w:pStyle w:val="Compact"/>
              <w:jc w:val="center"/>
            </w:pPr>
            <w:r>
              <w:t>7.32</w:t>
            </w:r>
          </w:p>
        </w:tc>
      </w:tr>
      <w:tr w:rsidR="00BB7A85" w14:paraId="46FB0870" w14:textId="77777777">
        <w:tc>
          <w:tcPr>
            <w:tcW w:w="0" w:type="auto"/>
          </w:tcPr>
          <w:p w14:paraId="1CD117D6" w14:textId="77777777" w:rsidR="00BB7A85" w:rsidRDefault="00665C6C">
            <w:pPr>
              <w:pStyle w:val="Compact"/>
              <w:jc w:val="center"/>
            </w:pPr>
            <w:r>
              <w:rPr>
                <w:b/>
              </w:rPr>
              <w:t>8</w:t>
            </w:r>
          </w:p>
        </w:tc>
        <w:tc>
          <w:tcPr>
            <w:tcW w:w="0" w:type="auto"/>
          </w:tcPr>
          <w:p w14:paraId="1C8C1EA6" w14:textId="77777777" w:rsidR="00BB7A85" w:rsidRDefault="00665C6C">
            <w:pPr>
              <w:pStyle w:val="Compact"/>
              <w:jc w:val="center"/>
            </w:pPr>
            <w:r>
              <w:t>Cayman Islands Exclusive Economic Zone</w:t>
            </w:r>
          </w:p>
        </w:tc>
        <w:tc>
          <w:tcPr>
            <w:tcW w:w="0" w:type="auto"/>
          </w:tcPr>
          <w:p w14:paraId="468078BB" w14:textId="77777777" w:rsidR="00BB7A85" w:rsidRDefault="00665C6C">
            <w:pPr>
              <w:pStyle w:val="Compact"/>
              <w:jc w:val="center"/>
            </w:pPr>
            <w:r>
              <w:t>118,398</w:t>
            </w:r>
          </w:p>
        </w:tc>
        <w:tc>
          <w:tcPr>
            <w:tcW w:w="0" w:type="auto"/>
          </w:tcPr>
          <w:p w14:paraId="49A48123" w14:textId="77777777" w:rsidR="00BB7A85" w:rsidRDefault="00665C6C">
            <w:pPr>
              <w:pStyle w:val="Compact"/>
              <w:jc w:val="center"/>
            </w:pPr>
            <w:r>
              <w:t>114.4</w:t>
            </w:r>
          </w:p>
        </w:tc>
      </w:tr>
      <w:tr w:rsidR="00BB7A85" w14:paraId="19336DE4" w14:textId="77777777">
        <w:tc>
          <w:tcPr>
            <w:tcW w:w="0" w:type="auto"/>
          </w:tcPr>
          <w:p w14:paraId="277F79AB" w14:textId="77777777" w:rsidR="00BB7A85" w:rsidRDefault="00665C6C">
            <w:pPr>
              <w:pStyle w:val="Compact"/>
              <w:jc w:val="center"/>
            </w:pPr>
            <w:r>
              <w:rPr>
                <w:b/>
              </w:rPr>
              <w:t>5</w:t>
            </w:r>
          </w:p>
        </w:tc>
        <w:tc>
          <w:tcPr>
            <w:tcW w:w="0" w:type="auto"/>
          </w:tcPr>
          <w:p w14:paraId="606B6BD0" w14:textId="77777777" w:rsidR="00BB7A85" w:rsidRDefault="00665C6C">
            <w:pPr>
              <w:pStyle w:val="Compact"/>
              <w:jc w:val="center"/>
            </w:pPr>
            <w:r>
              <w:t>Barbados Exclusive Economic Zone</w:t>
            </w:r>
          </w:p>
        </w:tc>
        <w:tc>
          <w:tcPr>
            <w:tcW w:w="0" w:type="auto"/>
          </w:tcPr>
          <w:p w14:paraId="1413EA79" w14:textId="77777777" w:rsidR="00BB7A85" w:rsidRDefault="00665C6C">
            <w:pPr>
              <w:pStyle w:val="Compact"/>
              <w:jc w:val="center"/>
            </w:pPr>
            <w:r>
              <w:t>185,006</w:t>
            </w:r>
          </w:p>
        </w:tc>
        <w:tc>
          <w:tcPr>
            <w:tcW w:w="0" w:type="auto"/>
          </w:tcPr>
          <w:p w14:paraId="5B16EA9D" w14:textId="77777777" w:rsidR="00BB7A85" w:rsidRDefault="00665C6C">
            <w:pPr>
              <w:pStyle w:val="Compact"/>
              <w:jc w:val="center"/>
            </w:pPr>
            <w:r>
              <w:t>84.08</w:t>
            </w:r>
          </w:p>
        </w:tc>
      </w:tr>
      <w:tr w:rsidR="00BB7A85" w14:paraId="158369A1" w14:textId="77777777">
        <w:tc>
          <w:tcPr>
            <w:tcW w:w="0" w:type="auto"/>
          </w:tcPr>
          <w:p w14:paraId="650B8A09" w14:textId="77777777" w:rsidR="00BB7A85" w:rsidRDefault="00665C6C">
            <w:pPr>
              <w:pStyle w:val="Compact"/>
              <w:jc w:val="center"/>
            </w:pPr>
            <w:r>
              <w:rPr>
                <w:b/>
              </w:rPr>
              <w:t>13</w:t>
            </w:r>
          </w:p>
        </w:tc>
        <w:tc>
          <w:tcPr>
            <w:tcW w:w="0" w:type="auto"/>
          </w:tcPr>
          <w:p w14:paraId="06BB5CAE" w14:textId="77777777" w:rsidR="00BB7A85" w:rsidRDefault="00665C6C">
            <w:pPr>
              <w:pStyle w:val="Compact"/>
              <w:jc w:val="center"/>
            </w:pPr>
            <w:r>
              <w:t>Guadeloupean Exclusive Economic Zone</w:t>
            </w:r>
          </w:p>
        </w:tc>
        <w:tc>
          <w:tcPr>
            <w:tcW w:w="0" w:type="auto"/>
          </w:tcPr>
          <w:p w14:paraId="5CDF37C8" w14:textId="77777777" w:rsidR="00BB7A85" w:rsidRDefault="00665C6C">
            <w:pPr>
              <w:pStyle w:val="Compact"/>
              <w:jc w:val="center"/>
            </w:pPr>
            <w:r>
              <w:t>90,859</w:t>
            </w:r>
          </w:p>
        </w:tc>
        <w:tc>
          <w:tcPr>
            <w:tcW w:w="0" w:type="auto"/>
          </w:tcPr>
          <w:p w14:paraId="7A6BD2D0" w14:textId="77777777" w:rsidR="00BB7A85" w:rsidRDefault="00665C6C">
            <w:pPr>
              <w:pStyle w:val="Compact"/>
              <w:jc w:val="center"/>
            </w:pPr>
            <w:r>
              <w:t>0</w:t>
            </w:r>
          </w:p>
        </w:tc>
      </w:tr>
      <w:tr w:rsidR="00BB7A85" w14:paraId="57AE6BFB" w14:textId="77777777">
        <w:tc>
          <w:tcPr>
            <w:tcW w:w="0" w:type="auto"/>
          </w:tcPr>
          <w:p w14:paraId="6D7806E6" w14:textId="77777777" w:rsidR="00BB7A85" w:rsidRDefault="00665C6C">
            <w:pPr>
              <w:pStyle w:val="Compact"/>
              <w:jc w:val="center"/>
            </w:pPr>
            <w:r>
              <w:rPr>
                <w:b/>
              </w:rPr>
              <w:lastRenderedPageBreak/>
              <w:t>22</w:t>
            </w:r>
          </w:p>
        </w:tc>
        <w:tc>
          <w:tcPr>
            <w:tcW w:w="0" w:type="auto"/>
          </w:tcPr>
          <w:p w14:paraId="30AD9559" w14:textId="77777777" w:rsidR="00BB7A85" w:rsidRDefault="00665C6C">
            <w:pPr>
              <w:pStyle w:val="Compact"/>
              <w:jc w:val="center"/>
            </w:pPr>
            <w:r>
              <w:t>Saint-Martin Exclusive Economic Zone</w:t>
            </w:r>
          </w:p>
        </w:tc>
        <w:tc>
          <w:tcPr>
            <w:tcW w:w="0" w:type="auto"/>
          </w:tcPr>
          <w:p w14:paraId="0E475179" w14:textId="77777777" w:rsidR="00BB7A85" w:rsidRDefault="00665C6C">
            <w:pPr>
              <w:pStyle w:val="Compact"/>
              <w:jc w:val="center"/>
            </w:pPr>
            <w:r>
              <w:t>1,099</w:t>
            </w:r>
          </w:p>
        </w:tc>
        <w:tc>
          <w:tcPr>
            <w:tcW w:w="0" w:type="auto"/>
          </w:tcPr>
          <w:p w14:paraId="610D5623" w14:textId="77777777" w:rsidR="00BB7A85" w:rsidRDefault="00665C6C">
            <w:pPr>
              <w:pStyle w:val="Compact"/>
              <w:jc w:val="center"/>
            </w:pPr>
            <w:r>
              <w:t>0</w:t>
            </w:r>
          </w:p>
        </w:tc>
      </w:tr>
      <w:tr w:rsidR="00BB7A85" w14:paraId="561ADD86" w14:textId="77777777">
        <w:tc>
          <w:tcPr>
            <w:tcW w:w="0" w:type="auto"/>
          </w:tcPr>
          <w:p w14:paraId="59717245" w14:textId="77777777" w:rsidR="00BB7A85" w:rsidRDefault="00665C6C">
            <w:pPr>
              <w:pStyle w:val="Compact"/>
              <w:jc w:val="center"/>
            </w:pPr>
            <w:r>
              <w:rPr>
                <w:b/>
              </w:rPr>
              <w:t>30</w:t>
            </w:r>
          </w:p>
        </w:tc>
        <w:tc>
          <w:tcPr>
            <w:tcW w:w="0" w:type="auto"/>
          </w:tcPr>
          <w:p w14:paraId="7039A518" w14:textId="77777777" w:rsidR="00BB7A85" w:rsidRDefault="00665C6C">
            <w:pPr>
              <w:pStyle w:val="Compact"/>
              <w:jc w:val="center"/>
            </w:pPr>
            <w:r>
              <w:t>Martinican Exclusive Economic Zone</w:t>
            </w:r>
          </w:p>
        </w:tc>
        <w:tc>
          <w:tcPr>
            <w:tcW w:w="0" w:type="auto"/>
          </w:tcPr>
          <w:p w14:paraId="6E7F765D" w14:textId="77777777" w:rsidR="00BB7A85" w:rsidRDefault="00665C6C">
            <w:pPr>
              <w:pStyle w:val="Compact"/>
              <w:jc w:val="center"/>
            </w:pPr>
            <w:r>
              <w:t>47,600</w:t>
            </w:r>
          </w:p>
        </w:tc>
        <w:tc>
          <w:tcPr>
            <w:tcW w:w="0" w:type="auto"/>
          </w:tcPr>
          <w:p w14:paraId="2AECB650" w14:textId="77777777" w:rsidR="00BB7A85" w:rsidRDefault="00665C6C">
            <w:pPr>
              <w:pStyle w:val="Compact"/>
              <w:jc w:val="center"/>
            </w:pPr>
            <w:r>
              <w:t>0</w:t>
            </w:r>
          </w:p>
        </w:tc>
      </w:tr>
      <w:tr w:rsidR="00BB7A85" w14:paraId="3D6BBCD9" w14:textId="77777777">
        <w:trPr>
          <w:gridAfter w:val="2"/>
        </w:trPr>
        <w:tc>
          <w:tcPr>
            <w:tcW w:w="0" w:type="auto"/>
            <w:tcBorders>
              <w:bottom w:val="single" w:sz="0" w:space="0" w:color="auto"/>
            </w:tcBorders>
            <w:vAlign w:val="bottom"/>
          </w:tcPr>
          <w:p w14:paraId="5FB13BF0" w14:textId="77777777" w:rsidR="00BB7A85" w:rsidRDefault="00665C6C">
            <w:pPr>
              <w:pStyle w:val="Compact"/>
              <w:jc w:val="center"/>
            </w:pPr>
            <w:r>
              <w:t> </w:t>
            </w:r>
          </w:p>
        </w:tc>
        <w:tc>
          <w:tcPr>
            <w:tcW w:w="0" w:type="auto"/>
            <w:tcBorders>
              <w:bottom w:val="single" w:sz="0" w:space="0" w:color="auto"/>
            </w:tcBorders>
            <w:vAlign w:val="bottom"/>
          </w:tcPr>
          <w:p w14:paraId="2D55535C" w14:textId="77777777" w:rsidR="00BB7A85" w:rsidRDefault="00665C6C">
            <w:pPr>
              <w:pStyle w:val="Compact"/>
              <w:jc w:val="center"/>
            </w:pPr>
            <w:r>
              <w:t>Percent Suitable</w:t>
            </w:r>
          </w:p>
        </w:tc>
      </w:tr>
      <w:tr w:rsidR="00BB7A85" w14:paraId="4A29729D" w14:textId="77777777">
        <w:trPr>
          <w:gridAfter w:val="2"/>
        </w:trPr>
        <w:tc>
          <w:tcPr>
            <w:tcW w:w="0" w:type="auto"/>
          </w:tcPr>
          <w:p w14:paraId="6938B529" w14:textId="77777777" w:rsidR="00BB7A85" w:rsidRDefault="00665C6C">
            <w:pPr>
              <w:pStyle w:val="Compact"/>
              <w:jc w:val="center"/>
            </w:pPr>
            <w:r>
              <w:rPr>
                <w:b/>
              </w:rPr>
              <w:t>25</w:t>
            </w:r>
          </w:p>
        </w:tc>
        <w:tc>
          <w:tcPr>
            <w:tcW w:w="0" w:type="auto"/>
          </w:tcPr>
          <w:p w14:paraId="3F8AC80D" w14:textId="77777777" w:rsidR="00BB7A85" w:rsidRDefault="00665C6C">
            <w:pPr>
              <w:pStyle w:val="Compact"/>
              <w:jc w:val="center"/>
            </w:pPr>
            <w:r>
              <w:t>13.31</w:t>
            </w:r>
          </w:p>
        </w:tc>
      </w:tr>
      <w:tr w:rsidR="00BB7A85" w14:paraId="28FCDD24" w14:textId="77777777">
        <w:trPr>
          <w:gridAfter w:val="2"/>
        </w:trPr>
        <w:tc>
          <w:tcPr>
            <w:tcW w:w="0" w:type="auto"/>
          </w:tcPr>
          <w:p w14:paraId="331ECD59" w14:textId="77777777" w:rsidR="00BB7A85" w:rsidRDefault="00665C6C">
            <w:pPr>
              <w:pStyle w:val="Compact"/>
              <w:jc w:val="center"/>
            </w:pPr>
            <w:r>
              <w:rPr>
                <w:b/>
              </w:rPr>
              <w:t>17</w:t>
            </w:r>
          </w:p>
        </w:tc>
        <w:tc>
          <w:tcPr>
            <w:tcW w:w="0" w:type="auto"/>
          </w:tcPr>
          <w:p w14:paraId="3FB8A0C8" w14:textId="77777777" w:rsidR="00BB7A85" w:rsidRDefault="00665C6C">
            <w:pPr>
              <w:pStyle w:val="Compact"/>
              <w:jc w:val="center"/>
            </w:pPr>
            <w:r>
              <w:t>11.07</w:t>
            </w:r>
          </w:p>
        </w:tc>
      </w:tr>
      <w:tr w:rsidR="00BB7A85" w14:paraId="6748E64A" w14:textId="77777777">
        <w:trPr>
          <w:gridAfter w:val="2"/>
        </w:trPr>
        <w:tc>
          <w:tcPr>
            <w:tcW w:w="0" w:type="auto"/>
          </w:tcPr>
          <w:p w14:paraId="07BC88AC" w14:textId="77777777" w:rsidR="00BB7A85" w:rsidRDefault="00665C6C">
            <w:pPr>
              <w:pStyle w:val="Compact"/>
              <w:jc w:val="center"/>
            </w:pPr>
            <w:r>
              <w:rPr>
                <w:b/>
              </w:rPr>
              <w:t>12</w:t>
            </w:r>
          </w:p>
        </w:tc>
        <w:tc>
          <w:tcPr>
            <w:tcW w:w="0" w:type="auto"/>
          </w:tcPr>
          <w:p w14:paraId="66D3D2BF" w14:textId="77777777" w:rsidR="00BB7A85" w:rsidRDefault="00665C6C">
            <w:pPr>
              <w:pStyle w:val="Compact"/>
              <w:jc w:val="center"/>
            </w:pPr>
            <w:r>
              <w:t>4.46</w:t>
            </w:r>
          </w:p>
        </w:tc>
      </w:tr>
      <w:tr w:rsidR="00BB7A85" w14:paraId="5B6EFAB4" w14:textId="77777777">
        <w:trPr>
          <w:gridAfter w:val="2"/>
        </w:trPr>
        <w:tc>
          <w:tcPr>
            <w:tcW w:w="0" w:type="auto"/>
          </w:tcPr>
          <w:p w14:paraId="72B79D37" w14:textId="77777777" w:rsidR="00BB7A85" w:rsidRDefault="00665C6C">
            <w:pPr>
              <w:pStyle w:val="Compact"/>
              <w:jc w:val="center"/>
            </w:pPr>
            <w:r>
              <w:rPr>
                <w:b/>
              </w:rPr>
              <w:t>24</w:t>
            </w:r>
          </w:p>
        </w:tc>
        <w:tc>
          <w:tcPr>
            <w:tcW w:w="0" w:type="auto"/>
          </w:tcPr>
          <w:p w14:paraId="09173C3F" w14:textId="77777777" w:rsidR="00BB7A85" w:rsidRDefault="00665C6C">
            <w:pPr>
              <w:pStyle w:val="Compact"/>
              <w:jc w:val="center"/>
            </w:pPr>
            <w:r>
              <w:t>4.19</w:t>
            </w:r>
          </w:p>
        </w:tc>
      </w:tr>
      <w:tr w:rsidR="00BB7A85" w14:paraId="0AEAD167" w14:textId="77777777">
        <w:trPr>
          <w:gridAfter w:val="2"/>
        </w:trPr>
        <w:tc>
          <w:tcPr>
            <w:tcW w:w="0" w:type="auto"/>
          </w:tcPr>
          <w:p w14:paraId="4B949F9C" w14:textId="77777777" w:rsidR="00BB7A85" w:rsidRDefault="00665C6C">
            <w:pPr>
              <w:pStyle w:val="Compact"/>
              <w:jc w:val="center"/>
            </w:pPr>
            <w:r>
              <w:rPr>
                <w:b/>
              </w:rPr>
              <w:t>23</w:t>
            </w:r>
          </w:p>
        </w:tc>
        <w:tc>
          <w:tcPr>
            <w:tcW w:w="0" w:type="auto"/>
          </w:tcPr>
          <w:p w14:paraId="1FBC03CF" w14:textId="77777777" w:rsidR="00BB7A85" w:rsidRDefault="00665C6C">
            <w:pPr>
              <w:pStyle w:val="Compact"/>
              <w:jc w:val="center"/>
            </w:pPr>
            <w:r>
              <w:t>3.91</w:t>
            </w:r>
          </w:p>
        </w:tc>
      </w:tr>
      <w:tr w:rsidR="00BB7A85" w14:paraId="1274A6A5" w14:textId="77777777">
        <w:trPr>
          <w:gridAfter w:val="2"/>
        </w:trPr>
        <w:tc>
          <w:tcPr>
            <w:tcW w:w="0" w:type="auto"/>
          </w:tcPr>
          <w:p w14:paraId="6D700E8B" w14:textId="77777777" w:rsidR="00BB7A85" w:rsidRDefault="00665C6C">
            <w:pPr>
              <w:pStyle w:val="Compact"/>
              <w:jc w:val="center"/>
            </w:pPr>
            <w:r>
              <w:rPr>
                <w:b/>
              </w:rPr>
              <w:t>3</w:t>
            </w:r>
          </w:p>
        </w:tc>
        <w:tc>
          <w:tcPr>
            <w:tcW w:w="0" w:type="auto"/>
          </w:tcPr>
          <w:p w14:paraId="7EEAD830" w14:textId="77777777" w:rsidR="00BB7A85" w:rsidRDefault="00665C6C">
            <w:pPr>
              <w:pStyle w:val="Compact"/>
              <w:jc w:val="center"/>
            </w:pPr>
            <w:r>
              <w:t>3.16</w:t>
            </w:r>
          </w:p>
        </w:tc>
      </w:tr>
      <w:tr w:rsidR="00BB7A85" w14:paraId="43828D95" w14:textId="77777777">
        <w:trPr>
          <w:gridAfter w:val="2"/>
        </w:trPr>
        <w:tc>
          <w:tcPr>
            <w:tcW w:w="0" w:type="auto"/>
          </w:tcPr>
          <w:p w14:paraId="2029CF80" w14:textId="77777777" w:rsidR="00BB7A85" w:rsidRDefault="00665C6C">
            <w:pPr>
              <w:pStyle w:val="Compact"/>
              <w:jc w:val="center"/>
            </w:pPr>
            <w:r>
              <w:rPr>
                <w:b/>
              </w:rPr>
              <w:t>19</w:t>
            </w:r>
          </w:p>
        </w:tc>
        <w:tc>
          <w:tcPr>
            <w:tcW w:w="0" w:type="auto"/>
          </w:tcPr>
          <w:p w14:paraId="7F0A26E1" w14:textId="77777777" w:rsidR="00BB7A85" w:rsidRDefault="00665C6C">
            <w:pPr>
              <w:pStyle w:val="Compact"/>
              <w:jc w:val="center"/>
            </w:pPr>
            <w:r>
              <w:t>3</w:t>
            </w:r>
          </w:p>
        </w:tc>
      </w:tr>
      <w:tr w:rsidR="00BB7A85" w14:paraId="10AF7FE3" w14:textId="77777777">
        <w:trPr>
          <w:gridAfter w:val="2"/>
        </w:trPr>
        <w:tc>
          <w:tcPr>
            <w:tcW w:w="0" w:type="auto"/>
          </w:tcPr>
          <w:p w14:paraId="027E731C" w14:textId="77777777" w:rsidR="00BB7A85" w:rsidRDefault="00665C6C">
            <w:pPr>
              <w:pStyle w:val="Compact"/>
              <w:jc w:val="center"/>
            </w:pPr>
            <w:r>
              <w:rPr>
                <w:b/>
              </w:rPr>
              <w:t>20</w:t>
            </w:r>
          </w:p>
        </w:tc>
        <w:tc>
          <w:tcPr>
            <w:tcW w:w="0" w:type="auto"/>
          </w:tcPr>
          <w:p w14:paraId="4812B4D1" w14:textId="77777777" w:rsidR="00BB7A85" w:rsidRDefault="00665C6C">
            <w:pPr>
              <w:pStyle w:val="Compact"/>
              <w:jc w:val="center"/>
            </w:pPr>
            <w:r>
              <w:t>2.7</w:t>
            </w:r>
          </w:p>
        </w:tc>
      </w:tr>
      <w:tr w:rsidR="00BB7A85" w14:paraId="03B6BBE1" w14:textId="77777777">
        <w:trPr>
          <w:gridAfter w:val="2"/>
        </w:trPr>
        <w:tc>
          <w:tcPr>
            <w:tcW w:w="0" w:type="auto"/>
          </w:tcPr>
          <w:p w14:paraId="37C9D64C" w14:textId="77777777" w:rsidR="00BB7A85" w:rsidRDefault="00665C6C">
            <w:pPr>
              <w:pStyle w:val="Compact"/>
              <w:jc w:val="center"/>
            </w:pPr>
            <w:r>
              <w:rPr>
                <w:b/>
              </w:rPr>
              <w:t>4</w:t>
            </w:r>
          </w:p>
        </w:tc>
        <w:tc>
          <w:tcPr>
            <w:tcW w:w="0" w:type="auto"/>
          </w:tcPr>
          <w:p w14:paraId="552EE93D" w14:textId="77777777" w:rsidR="00BB7A85" w:rsidRDefault="00665C6C">
            <w:pPr>
              <w:pStyle w:val="Compact"/>
              <w:jc w:val="center"/>
            </w:pPr>
            <w:r>
              <w:t>2.31</w:t>
            </w:r>
          </w:p>
        </w:tc>
      </w:tr>
      <w:tr w:rsidR="00BB7A85" w14:paraId="380E6DEB" w14:textId="77777777">
        <w:trPr>
          <w:gridAfter w:val="2"/>
        </w:trPr>
        <w:tc>
          <w:tcPr>
            <w:tcW w:w="0" w:type="auto"/>
          </w:tcPr>
          <w:p w14:paraId="14525DBD" w14:textId="77777777" w:rsidR="00BB7A85" w:rsidRDefault="00665C6C">
            <w:pPr>
              <w:pStyle w:val="Compact"/>
              <w:jc w:val="center"/>
            </w:pPr>
            <w:r>
              <w:rPr>
                <w:b/>
              </w:rPr>
              <w:t>27</w:t>
            </w:r>
          </w:p>
        </w:tc>
        <w:tc>
          <w:tcPr>
            <w:tcW w:w="0" w:type="auto"/>
          </w:tcPr>
          <w:p w14:paraId="36E2DB93" w14:textId="77777777" w:rsidR="00BB7A85" w:rsidRDefault="00665C6C">
            <w:pPr>
              <w:pStyle w:val="Compact"/>
              <w:jc w:val="center"/>
            </w:pPr>
            <w:r>
              <w:t>2.13</w:t>
            </w:r>
          </w:p>
        </w:tc>
      </w:tr>
      <w:tr w:rsidR="00BB7A85" w14:paraId="3B022687" w14:textId="77777777">
        <w:trPr>
          <w:gridAfter w:val="2"/>
        </w:trPr>
        <w:tc>
          <w:tcPr>
            <w:tcW w:w="0" w:type="auto"/>
          </w:tcPr>
          <w:p w14:paraId="1C9BB035" w14:textId="77777777" w:rsidR="00BB7A85" w:rsidRDefault="00665C6C">
            <w:pPr>
              <w:pStyle w:val="Compact"/>
              <w:jc w:val="center"/>
            </w:pPr>
            <w:r>
              <w:rPr>
                <w:b/>
              </w:rPr>
              <w:t>21</w:t>
            </w:r>
          </w:p>
        </w:tc>
        <w:tc>
          <w:tcPr>
            <w:tcW w:w="0" w:type="auto"/>
          </w:tcPr>
          <w:p w14:paraId="1BC3A0F2" w14:textId="77777777" w:rsidR="00BB7A85" w:rsidRDefault="00665C6C">
            <w:pPr>
              <w:pStyle w:val="Compact"/>
              <w:jc w:val="center"/>
            </w:pPr>
            <w:r>
              <w:t>1.85</w:t>
            </w:r>
          </w:p>
        </w:tc>
      </w:tr>
      <w:tr w:rsidR="00BB7A85" w14:paraId="31211983" w14:textId="77777777">
        <w:trPr>
          <w:gridAfter w:val="2"/>
        </w:trPr>
        <w:tc>
          <w:tcPr>
            <w:tcW w:w="0" w:type="auto"/>
          </w:tcPr>
          <w:p w14:paraId="5C8CCEE0" w14:textId="77777777" w:rsidR="00BB7A85" w:rsidRDefault="00665C6C">
            <w:pPr>
              <w:pStyle w:val="Compact"/>
              <w:jc w:val="center"/>
            </w:pPr>
            <w:r>
              <w:rPr>
                <w:b/>
              </w:rPr>
              <w:t>14</w:t>
            </w:r>
          </w:p>
        </w:tc>
        <w:tc>
          <w:tcPr>
            <w:tcW w:w="0" w:type="auto"/>
          </w:tcPr>
          <w:p w14:paraId="20E94C4E" w14:textId="77777777" w:rsidR="00BB7A85" w:rsidRDefault="00665C6C">
            <w:pPr>
              <w:pStyle w:val="Compact"/>
              <w:jc w:val="center"/>
            </w:pPr>
            <w:r>
              <w:t>1.84</w:t>
            </w:r>
          </w:p>
        </w:tc>
      </w:tr>
      <w:tr w:rsidR="00BB7A85" w14:paraId="175C3037" w14:textId="77777777">
        <w:trPr>
          <w:gridAfter w:val="2"/>
        </w:trPr>
        <w:tc>
          <w:tcPr>
            <w:tcW w:w="0" w:type="auto"/>
          </w:tcPr>
          <w:p w14:paraId="5DDC93E0" w14:textId="77777777" w:rsidR="00BB7A85" w:rsidRDefault="00665C6C">
            <w:pPr>
              <w:pStyle w:val="Compact"/>
              <w:jc w:val="center"/>
            </w:pPr>
            <w:r>
              <w:rPr>
                <w:b/>
              </w:rPr>
              <w:t>2</w:t>
            </w:r>
          </w:p>
        </w:tc>
        <w:tc>
          <w:tcPr>
            <w:tcW w:w="0" w:type="auto"/>
          </w:tcPr>
          <w:p w14:paraId="7221D7AE" w14:textId="77777777" w:rsidR="00BB7A85" w:rsidRDefault="00665C6C">
            <w:pPr>
              <w:pStyle w:val="Compact"/>
              <w:jc w:val="center"/>
            </w:pPr>
            <w:r>
              <w:t>1.75</w:t>
            </w:r>
          </w:p>
        </w:tc>
      </w:tr>
      <w:tr w:rsidR="00BB7A85" w14:paraId="4608E26D" w14:textId="77777777">
        <w:trPr>
          <w:gridAfter w:val="2"/>
        </w:trPr>
        <w:tc>
          <w:tcPr>
            <w:tcW w:w="0" w:type="auto"/>
          </w:tcPr>
          <w:p w14:paraId="46B26727" w14:textId="77777777" w:rsidR="00BB7A85" w:rsidRDefault="00665C6C">
            <w:pPr>
              <w:pStyle w:val="Compact"/>
              <w:jc w:val="center"/>
            </w:pPr>
            <w:r>
              <w:rPr>
                <w:b/>
              </w:rPr>
              <w:t>29</w:t>
            </w:r>
          </w:p>
        </w:tc>
        <w:tc>
          <w:tcPr>
            <w:tcW w:w="0" w:type="auto"/>
          </w:tcPr>
          <w:p w14:paraId="452C0D59" w14:textId="77777777" w:rsidR="00BB7A85" w:rsidRDefault="00665C6C">
            <w:pPr>
              <w:pStyle w:val="Compact"/>
              <w:jc w:val="center"/>
            </w:pPr>
            <w:r>
              <w:t>1.72</w:t>
            </w:r>
          </w:p>
        </w:tc>
      </w:tr>
      <w:tr w:rsidR="00BB7A85" w14:paraId="40F3F736" w14:textId="77777777">
        <w:trPr>
          <w:gridAfter w:val="2"/>
        </w:trPr>
        <w:tc>
          <w:tcPr>
            <w:tcW w:w="0" w:type="auto"/>
          </w:tcPr>
          <w:p w14:paraId="5DE35A4B" w14:textId="77777777" w:rsidR="00BB7A85" w:rsidRDefault="00665C6C">
            <w:pPr>
              <w:pStyle w:val="Compact"/>
              <w:jc w:val="center"/>
            </w:pPr>
            <w:r>
              <w:rPr>
                <w:b/>
              </w:rPr>
              <w:t>7</w:t>
            </w:r>
          </w:p>
        </w:tc>
        <w:tc>
          <w:tcPr>
            <w:tcW w:w="0" w:type="auto"/>
          </w:tcPr>
          <w:p w14:paraId="760BE242" w14:textId="77777777" w:rsidR="00BB7A85" w:rsidRDefault="00665C6C">
            <w:pPr>
              <w:pStyle w:val="Compact"/>
              <w:jc w:val="center"/>
            </w:pPr>
            <w:r>
              <w:t>1.56</w:t>
            </w:r>
          </w:p>
        </w:tc>
      </w:tr>
      <w:tr w:rsidR="00BB7A85" w14:paraId="0B42D36D" w14:textId="77777777">
        <w:trPr>
          <w:gridAfter w:val="2"/>
        </w:trPr>
        <w:tc>
          <w:tcPr>
            <w:tcW w:w="0" w:type="auto"/>
          </w:tcPr>
          <w:p w14:paraId="6A5FA88F" w14:textId="77777777" w:rsidR="00BB7A85" w:rsidRDefault="00665C6C">
            <w:pPr>
              <w:pStyle w:val="Compact"/>
              <w:jc w:val="center"/>
            </w:pPr>
            <w:r>
              <w:rPr>
                <w:b/>
              </w:rPr>
              <w:t>1</w:t>
            </w:r>
          </w:p>
        </w:tc>
        <w:tc>
          <w:tcPr>
            <w:tcW w:w="0" w:type="auto"/>
          </w:tcPr>
          <w:p w14:paraId="72D25CE6" w14:textId="77777777" w:rsidR="00BB7A85" w:rsidRDefault="00665C6C">
            <w:pPr>
              <w:pStyle w:val="Compact"/>
              <w:jc w:val="center"/>
            </w:pPr>
            <w:r>
              <w:t>1.35</w:t>
            </w:r>
          </w:p>
        </w:tc>
      </w:tr>
      <w:tr w:rsidR="00BB7A85" w14:paraId="409B5C14" w14:textId="77777777">
        <w:trPr>
          <w:gridAfter w:val="2"/>
        </w:trPr>
        <w:tc>
          <w:tcPr>
            <w:tcW w:w="0" w:type="auto"/>
          </w:tcPr>
          <w:p w14:paraId="1DB5B76B" w14:textId="77777777" w:rsidR="00BB7A85" w:rsidRDefault="00665C6C">
            <w:pPr>
              <w:pStyle w:val="Compact"/>
              <w:jc w:val="center"/>
            </w:pPr>
            <w:r>
              <w:rPr>
                <w:b/>
              </w:rPr>
              <w:t>26</w:t>
            </w:r>
          </w:p>
        </w:tc>
        <w:tc>
          <w:tcPr>
            <w:tcW w:w="0" w:type="auto"/>
          </w:tcPr>
          <w:p w14:paraId="5F4A4DE6" w14:textId="77777777" w:rsidR="00BB7A85" w:rsidRDefault="00665C6C">
            <w:pPr>
              <w:pStyle w:val="Compact"/>
              <w:jc w:val="center"/>
            </w:pPr>
            <w:r>
              <w:t>1.13</w:t>
            </w:r>
          </w:p>
        </w:tc>
      </w:tr>
      <w:tr w:rsidR="00BB7A85" w14:paraId="02ED876E" w14:textId="77777777">
        <w:trPr>
          <w:gridAfter w:val="2"/>
        </w:trPr>
        <w:tc>
          <w:tcPr>
            <w:tcW w:w="0" w:type="auto"/>
          </w:tcPr>
          <w:p w14:paraId="232837D8" w14:textId="77777777" w:rsidR="00BB7A85" w:rsidRDefault="00665C6C">
            <w:pPr>
              <w:pStyle w:val="Compact"/>
              <w:jc w:val="center"/>
            </w:pPr>
            <w:r>
              <w:rPr>
                <w:b/>
              </w:rPr>
              <w:t>15</w:t>
            </w:r>
          </w:p>
        </w:tc>
        <w:tc>
          <w:tcPr>
            <w:tcW w:w="0" w:type="auto"/>
          </w:tcPr>
          <w:p w14:paraId="58F3255F" w14:textId="77777777" w:rsidR="00BB7A85" w:rsidRDefault="00665C6C">
            <w:pPr>
              <w:pStyle w:val="Compact"/>
              <w:jc w:val="center"/>
            </w:pPr>
            <w:r>
              <w:t>1.02</w:t>
            </w:r>
          </w:p>
        </w:tc>
      </w:tr>
      <w:tr w:rsidR="00BB7A85" w14:paraId="410997A4" w14:textId="77777777">
        <w:trPr>
          <w:gridAfter w:val="2"/>
        </w:trPr>
        <w:tc>
          <w:tcPr>
            <w:tcW w:w="0" w:type="auto"/>
          </w:tcPr>
          <w:p w14:paraId="6D71393C" w14:textId="77777777" w:rsidR="00BB7A85" w:rsidRDefault="00665C6C">
            <w:pPr>
              <w:pStyle w:val="Compact"/>
              <w:jc w:val="center"/>
            </w:pPr>
            <w:r>
              <w:rPr>
                <w:b/>
              </w:rPr>
              <w:t>16</w:t>
            </w:r>
          </w:p>
        </w:tc>
        <w:tc>
          <w:tcPr>
            <w:tcW w:w="0" w:type="auto"/>
          </w:tcPr>
          <w:p w14:paraId="2BADAE6F" w14:textId="77777777" w:rsidR="00BB7A85" w:rsidRDefault="00665C6C">
            <w:pPr>
              <w:pStyle w:val="Compact"/>
              <w:jc w:val="center"/>
            </w:pPr>
            <w:r>
              <w:t>0.98</w:t>
            </w:r>
          </w:p>
        </w:tc>
      </w:tr>
      <w:tr w:rsidR="00BB7A85" w14:paraId="6FA59EA3" w14:textId="77777777">
        <w:trPr>
          <w:gridAfter w:val="2"/>
        </w:trPr>
        <w:tc>
          <w:tcPr>
            <w:tcW w:w="0" w:type="auto"/>
          </w:tcPr>
          <w:p w14:paraId="280B34B6" w14:textId="77777777" w:rsidR="00BB7A85" w:rsidRDefault="00665C6C">
            <w:pPr>
              <w:pStyle w:val="Compact"/>
              <w:jc w:val="center"/>
            </w:pPr>
            <w:r>
              <w:rPr>
                <w:b/>
              </w:rPr>
              <w:t>11</w:t>
            </w:r>
          </w:p>
        </w:tc>
        <w:tc>
          <w:tcPr>
            <w:tcW w:w="0" w:type="auto"/>
          </w:tcPr>
          <w:p w14:paraId="50F2048E" w14:textId="77777777" w:rsidR="00BB7A85" w:rsidRDefault="00665C6C">
            <w:pPr>
              <w:pStyle w:val="Compact"/>
              <w:jc w:val="center"/>
            </w:pPr>
            <w:r>
              <w:t>0.94</w:t>
            </w:r>
          </w:p>
        </w:tc>
      </w:tr>
      <w:tr w:rsidR="00BB7A85" w14:paraId="3BAAB78A" w14:textId="77777777">
        <w:trPr>
          <w:gridAfter w:val="2"/>
        </w:trPr>
        <w:tc>
          <w:tcPr>
            <w:tcW w:w="0" w:type="auto"/>
          </w:tcPr>
          <w:p w14:paraId="3FC3D85D" w14:textId="77777777" w:rsidR="00BB7A85" w:rsidRDefault="00665C6C">
            <w:pPr>
              <w:pStyle w:val="Compact"/>
              <w:jc w:val="center"/>
            </w:pPr>
            <w:r>
              <w:rPr>
                <w:b/>
              </w:rPr>
              <w:t>10</w:t>
            </w:r>
          </w:p>
        </w:tc>
        <w:tc>
          <w:tcPr>
            <w:tcW w:w="0" w:type="auto"/>
          </w:tcPr>
          <w:p w14:paraId="57503915" w14:textId="77777777" w:rsidR="00BB7A85" w:rsidRDefault="00665C6C">
            <w:pPr>
              <w:pStyle w:val="Compact"/>
              <w:jc w:val="center"/>
            </w:pPr>
            <w:r>
              <w:t>0.85</w:t>
            </w:r>
          </w:p>
        </w:tc>
      </w:tr>
      <w:tr w:rsidR="00BB7A85" w14:paraId="43A15A42" w14:textId="77777777">
        <w:trPr>
          <w:gridAfter w:val="2"/>
        </w:trPr>
        <w:tc>
          <w:tcPr>
            <w:tcW w:w="0" w:type="auto"/>
          </w:tcPr>
          <w:p w14:paraId="1F500BF7" w14:textId="77777777" w:rsidR="00BB7A85" w:rsidRDefault="00665C6C">
            <w:pPr>
              <w:pStyle w:val="Compact"/>
              <w:jc w:val="center"/>
            </w:pPr>
            <w:r>
              <w:rPr>
                <w:b/>
              </w:rPr>
              <w:t>28</w:t>
            </w:r>
          </w:p>
        </w:tc>
        <w:tc>
          <w:tcPr>
            <w:tcW w:w="0" w:type="auto"/>
          </w:tcPr>
          <w:p w14:paraId="5CE7CC9C" w14:textId="77777777" w:rsidR="00BB7A85" w:rsidRDefault="00665C6C">
            <w:pPr>
              <w:pStyle w:val="Compact"/>
              <w:jc w:val="center"/>
            </w:pPr>
            <w:r>
              <w:t>0.7</w:t>
            </w:r>
          </w:p>
        </w:tc>
      </w:tr>
      <w:tr w:rsidR="00BB7A85" w14:paraId="4ACAEE4C" w14:textId="77777777">
        <w:trPr>
          <w:gridAfter w:val="2"/>
        </w:trPr>
        <w:tc>
          <w:tcPr>
            <w:tcW w:w="0" w:type="auto"/>
          </w:tcPr>
          <w:p w14:paraId="20106ACC" w14:textId="77777777" w:rsidR="00BB7A85" w:rsidRDefault="00665C6C">
            <w:pPr>
              <w:pStyle w:val="Compact"/>
              <w:jc w:val="center"/>
            </w:pPr>
            <w:r>
              <w:rPr>
                <w:b/>
              </w:rPr>
              <w:t>6</w:t>
            </w:r>
          </w:p>
        </w:tc>
        <w:tc>
          <w:tcPr>
            <w:tcW w:w="0" w:type="auto"/>
          </w:tcPr>
          <w:p w14:paraId="30DDDF44" w14:textId="77777777" w:rsidR="00BB7A85" w:rsidRDefault="00665C6C">
            <w:pPr>
              <w:pStyle w:val="Compact"/>
              <w:jc w:val="center"/>
            </w:pPr>
            <w:r>
              <w:t>0.33</w:t>
            </w:r>
          </w:p>
        </w:tc>
      </w:tr>
      <w:tr w:rsidR="00BB7A85" w14:paraId="3CFB72C3" w14:textId="77777777">
        <w:trPr>
          <w:gridAfter w:val="2"/>
        </w:trPr>
        <w:tc>
          <w:tcPr>
            <w:tcW w:w="0" w:type="auto"/>
          </w:tcPr>
          <w:p w14:paraId="6624B518" w14:textId="77777777" w:rsidR="00BB7A85" w:rsidRDefault="00665C6C">
            <w:pPr>
              <w:pStyle w:val="Compact"/>
              <w:jc w:val="center"/>
            </w:pPr>
            <w:r>
              <w:rPr>
                <w:b/>
              </w:rPr>
              <w:t>9</w:t>
            </w:r>
          </w:p>
        </w:tc>
        <w:tc>
          <w:tcPr>
            <w:tcW w:w="0" w:type="auto"/>
          </w:tcPr>
          <w:p w14:paraId="2944519B" w14:textId="77777777" w:rsidR="00BB7A85" w:rsidRDefault="00665C6C">
            <w:pPr>
              <w:pStyle w:val="Compact"/>
              <w:jc w:val="center"/>
            </w:pPr>
            <w:r>
              <w:t>0.28</w:t>
            </w:r>
          </w:p>
        </w:tc>
      </w:tr>
      <w:tr w:rsidR="00BB7A85" w14:paraId="45124A69" w14:textId="77777777">
        <w:trPr>
          <w:gridAfter w:val="2"/>
        </w:trPr>
        <w:tc>
          <w:tcPr>
            <w:tcW w:w="0" w:type="auto"/>
          </w:tcPr>
          <w:p w14:paraId="156E794F" w14:textId="77777777" w:rsidR="00BB7A85" w:rsidRDefault="00665C6C">
            <w:pPr>
              <w:pStyle w:val="Compact"/>
              <w:jc w:val="center"/>
            </w:pPr>
            <w:r>
              <w:rPr>
                <w:b/>
              </w:rPr>
              <w:t>18</w:t>
            </w:r>
          </w:p>
        </w:tc>
        <w:tc>
          <w:tcPr>
            <w:tcW w:w="0" w:type="auto"/>
          </w:tcPr>
          <w:p w14:paraId="4A3096B4" w14:textId="77777777" w:rsidR="00BB7A85" w:rsidRDefault="00665C6C">
            <w:pPr>
              <w:pStyle w:val="Compact"/>
              <w:jc w:val="center"/>
            </w:pPr>
            <w:r>
              <w:t>0.18</w:t>
            </w:r>
          </w:p>
        </w:tc>
      </w:tr>
      <w:tr w:rsidR="00BB7A85" w14:paraId="0A7F674E" w14:textId="77777777">
        <w:trPr>
          <w:gridAfter w:val="2"/>
        </w:trPr>
        <w:tc>
          <w:tcPr>
            <w:tcW w:w="0" w:type="auto"/>
          </w:tcPr>
          <w:p w14:paraId="69BD81DF" w14:textId="77777777" w:rsidR="00BB7A85" w:rsidRDefault="00665C6C">
            <w:pPr>
              <w:pStyle w:val="Compact"/>
              <w:jc w:val="center"/>
            </w:pPr>
            <w:r>
              <w:rPr>
                <w:b/>
              </w:rPr>
              <w:t>8</w:t>
            </w:r>
          </w:p>
        </w:tc>
        <w:tc>
          <w:tcPr>
            <w:tcW w:w="0" w:type="auto"/>
          </w:tcPr>
          <w:p w14:paraId="262C3F26" w14:textId="77777777" w:rsidR="00BB7A85" w:rsidRDefault="00665C6C">
            <w:pPr>
              <w:pStyle w:val="Compact"/>
              <w:jc w:val="center"/>
            </w:pPr>
            <w:r>
              <w:t>0.1</w:t>
            </w:r>
          </w:p>
        </w:tc>
      </w:tr>
      <w:tr w:rsidR="00BB7A85" w14:paraId="43E398F4" w14:textId="77777777">
        <w:trPr>
          <w:gridAfter w:val="2"/>
        </w:trPr>
        <w:tc>
          <w:tcPr>
            <w:tcW w:w="0" w:type="auto"/>
          </w:tcPr>
          <w:p w14:paraId="54AACE49" w14:textId="77777777" w:rsidR="00BB7A85" w:rsidRDefault="00665C6C">
            <w:pPr>
              <w:pStyle w:val="Compact"/>
              <w:jc w:val="center"/>
            </w:pPr>
            <w:r>
              <w:rPr>
                <w:b/>
              </w:rPr>
              <w:t>5</w:t>
            </w:r>
          </w:p>
        </w:tc>
        <w:tc>
          <w:tcPr>
            <w:tcW w:w="0" w:type="auto"/>
          </w:tcPr>
          <w:p w14:paraId="37B8B424" w14:textId="77777777" w:rsidR="00BB7A85" w:rsidRDefault="00665C6C">
            <w:pPr>
              <w:pStyle w:val="Compact"/>
              <w:jc w:val="center"/>
            </w:pPr>
            <w:r>
              <w:t>0.05</w:t>
            </w:r>
          </w:p>
        </w:tc>
      </w:tr>
      <w:tr w:rsidR="00BB7A85" w14:paraId="15F2573A" w14:textId="77777777">
        <w:trPr>
          <w:gridAfter w:val="2"/>
        </w:trPr>
        <w:tc>
          <w:tcPr>
            <w:tcW w:w="0" w:type="auto"/>
          </w:tcPr>
          <w:p w14:paraId="0D6F943F" w14:textId="77777777" w:rsidR="00BB7A85" w:rsidRDefault="00665C6C">
            <w:pPr>
              <w:pStyle w:val="Compact"/>
              <w:jc w:val="center"/>
            </w:pPr>
            <w:r>
              <w:rPr>
                <w:b/>
              </w:rPr>
              <w:t>13</w:t>
            </w:r>
          </w:p>
        </w:tc>
        <w:tc>
          <w:tcPr>
            <w:tcW w:w="0" w:type="auto"/>
          </w:tcPr>
          <w:p w14:paraId="0C96F2EE" w14:textId="77777777" w:rsidR="00BB7A85" w:rsidRDefault="00665C6C">
            <w:pPr>
              <w:pStyle w:val="Compact"/>
              <w:jc w:val="center"/>
            </w:pPr>
            <w:r>
              <w:t>0</w:t>
            </w:r>
          </w:p>
        </w:tc>
      </w:tr>
      <w:tr w:rsidR="00BB7A85" w14:paraId="37BC0CA7" w14:textId="77777777">
        <w:trPr>
          <w:gridAfter w:val="2"/>
        </w:trPr>
        <w:tc>
          <w:tcPr>
            <w:tcW w:w="0" w:type="auto"/>
          </w:tcPr>
          <w:p w14:paraId="0D08F97B" w14:textId="77777777" w:rsidR="00BB7A85" w:rsidRDefault="00665C6C">
            <w:pPr>
              <w:pStyle w:val="Compact"/>
              <w:jc w:val="center"/>
            </w:pPr>
            <w:r>
              <w:rPr>
                <w:b/>
              </w:rPr>
              <w:t>22</w:t>
            </w:r>
          </w:p>
        </w:tc>
        <w:tc>
          <w:tcPr>
            <w:tcW w:w="0" w:type="auto"/>
          </w:tcPr>
          <w:p w14:paraId="2C579A02" w14:textId="77777777" w:rsidR="00BB7A85" w:rsidRDefault="00665C6C">
            <w:pPr>
              <w:pStyle w:val="Compact"/>
              <w:jc w:val="center"/>
            </w:pPr>
            <w:r>
              <w:t>0</w:t>
            </w:r>
          </w:p>
        </w:tc>
      </w:tr>
      <w:tr w:rsidR="00BB7A85" w14:paraId="5F282E31" w14:textId="77777777">
        <w:trPr>
          <w:gridAfter w:val="2"/>
        </w:trPr>
        <w:tc>
          <w:tcPr>
            <w:tcW w:w="0" w:type="auto"/>
          </w:tcPr>
          <w:p w14:paraId="443E38E9" w14:textId="77777777" w:rsidR="00BB7A85" w:rsidRDefault="00665C6C">
            <w:pPr>
              <w:pStyle w:val="Compact"/>
              <w:jc w:val="center"/>
            </w:pPr>
            <w:r>
              <w:rPr>
                <w:b/>
              </w:rPr>
              <w:t>30</w:t>
            </w:r>
          </w:p>
        </w:tc>
        <w:tc>
          <w:tcPr>
            <w:tcW w:w="0" w:type="auto"/>
          </w:tcPr>
          <w:p w14:paraId="221A1F1C" w14:textId="77777777" w:rsidR="00BB7A85" w:rsidRDefault="00665C6C">
            <w:pPr>
              <w:pStyle w:val="Compact"/>
              <w:jc w:val="center"/>
            </w:pPr>
            <w:r>
              <w:t>0</w:t>
            </w:r>
          </w:p>
        </w:tc>
      </w:tr>
    </w:tbl>
    <w:p w14:paraId="2380F069" w14:textId="77777777" w:rsidR="00BB7A85" w:rsidRDefault="00665C6C">
      <w:pPr>
        <w:pStyle w:val="BodyText"/>
      </w:pPr>
      <w:r>
        <w:t xml:space="preserve">The identified suitable areas were not distributed evenly across EEZs (Table 5). The Bahamas Exclusive Economic Zone contained the largest amount of suitable area and Trinidad and Tobago Exclusive Economic Zone (13.3056986 %) and Saba Exclusive </w:t>
      </w:r>
      <w:r>
        <w:lastRenderedPageBreak/>
        <w:t>Economic Zo</w:t>
      </w:r>
      <w:r>
        <w:t>ne (11.0667284 %) included the highest percentages of suitable area (&gt;10%), while no suitable areas were identified in the EEZ's of Guadeloupe, Saint Martin or Martinique.</w:t>
      </w:r>
    </w:p>
    <w:p w14:paraId="2493A11F" w14:textId="77777777" w:rsidR="00BB7A85" w:rsidRDefault="00665C6C">
      <w:pPr>
        <w:pStyle w:val="Heading1"/>
      </w:pPr>
      <w:bookmarkStart w:id="38" w:name="discussion"/>
      <w:bookmarkStart w:id="39" w:name="_Toc483580708"/>
      <w:bookmarkEnd w:id="38"/>
      <w:r>
        <w:t>Discussion</w:t>
      </w:r>
      <w:bookmarkEnd w:id="39"/>
    </w:p>
    <w:p w14:paraId="4E98E5D9" w14:textId="77777777" w:rsidR="00BB7A85" w:rsidRDefault="00665C6C">
      <w:pPr>
        <w:pStyle w:val="Heading1"/>
      </w:pPr>
      <w:bookmarkStart w:id="40" w:name="references"/>
      <w:bookmarkStart w:id="41" w:name="_Toc483580709"/>
      <w:bookmarkEnd w:id="40"/>
      <w:r>
        <w:t>References</w:t>
      </w:r>
      <w:bookmarkEnd w:id="41"/>
    </w:p>
    <w:p w14:paraId="5AB68987" w14:textId="77777777" w:rsidR="00BB7A85" w:rsidRDefault="00665C6C">
      <w:pPr>
        <w:pStyle w:val="Heading1"/>
      </w:pPr>
      <w:bookmarkStart w:id="42" w:name="appendix"/>
      <w:bookmarkStart w:id="43" w:name="_Toc483580710"/>
      <w:bookmarkEnd w:id="42"/>
      <w:r>
        <w:t>Appendix</w:t>
      </w:r>
      <w:bookmarkEnd w:id="43"/>
    </w:p>
    <w:p w14:paraId="27C6D5C3" w14:textId="77777777" w:rsidR="00BB7A85" w:rsidRDefault="00665C6C">
      <w:pPr>
        <w:pStyle w:val="Heading2"/>
      </w:pPr>
      <w:bookmarkStart w:id="44" w:name="removed-text-just-in-case-we-need-later"/>
      <w:bookmarkStart w:id="45" w:name="_Toc483580711"/>
      <w:bookmarkEnd w:id="44"/>
      <w:r>
        <w:t>removed text (just in case we need later)</w:t>
      </w:r>
      <w:bookmarkEnd w:id="45"/>
    </w:p>
    <w:p w14:paraId="12036BE4" w14:textId="77777777" w:rsidR="00BB7A85" w:rsidRDefault="00665C6C">
      <w:pPr>
        <w:pStyle w:val="FirstParagraph"/>
      </w:pPr>
      <w:r>
        <w:t xml:space="preserve">Guidelines </w:t>
      </w:r>
      <w:r>
        <w:t xml:space="preserve">for aquaculture development in U.S. waters of the Gulf of Mexico listed in a recent Fishery Management Plan stated that all aquaculture farms should be a minimum of 3 km apart and set a production limit of r prettyNum(Totalproduction, big.mark=",") mt for </w:t>
      </w:r>
      <w:r>
        <w:t>a total area of prettyNum(Totalarea,big.mark=",") km</w:t>
      </w:r>
      <w:r>
        <w:rPr>
          <w:vertAlign w:val="superscript"/>
        </w:rPr>
        <w:t>2</w:t>
      </w:r>
      <w:r>
        <w:t xml:space="preserve"> identified for aquaculture development, or r prettyNum(Productionrate,big.mark=",") mt/ km</w:t>
      </w:r>
      <w:r>
        <w:rPr>
          <w:vertAlign w:val="superscript"/>
        </w:rPr>
        <w:t>2</w:t>
      </w:r>
      <w:r>
        <w:t xml:space="preserve">. This production limit was identified as precautionary and based on historical wild fisheries capture for the </w:t>
      </w:r>
      <w:r>
        <w:t xml:space="preserve">region, due to lack of better methods or information on the ecological capacity of the region. To determine how this specified limit on production per unit area compared to production levels in other regions, we conducted a global assessment of production </w:t>
      </w:r>
      <w:r>
        <w:t>per unit of EEZ area in depths of 0 to 90 m for all EEZs. We obtained total marine aquaculture production by country, including finfish, invertebrate, and algae aquaculture production, for 2014 from FAO and calculated the total area in a depth range of 0-9</w:t>
      </w:r>
      <w:r>
        <w:t>0 m for aquaculture by EEZ using global 1 km</w:t>
      </w:r>
      <w:r>
        <w:rPr>
          <w:vertAlign w:val="superscript"/>
        </w:rPr>
        <w:t>2</w:t>
      </w:r>
      <w:r>
        <w:t xml:space="preserve"> resolution bathymetry data from Becker </w:t>
      </w:r>
      <w:r>
        <w:rPr>
          <w:i/>
        </w:rPr>
        <w:t>et al</w:t>
      </w:r>
      <w:r>
        <w:t xml:space="preserve"> (</w:t>
      </w:r>
      <w:r>
        <w:rPr>
          <w:b/>
        </w:rPr>
        <w:t>???</w:t>
      </w:r>
      <w:r>
        <w:t>). Total marine aquaculture production included finfish, invertebrates, and algae, thus we did not apply a minimum depth limit, because some these species are fa</w:t>
      </w:r>
      <w:r>
        <w:t>rmed in shallower water than is required for finfish cage culture. Although this does not allow for a direct comparison to production as modeled in our study, it provides another regional production level benchmark for comparison.</w:t>
      </w:r>
    </w:p>
    <w:p w14:paraId="284EB956" w14:textId="77777777" w:rsidR="00BB7A85" w:rsidRDefault="00665C6C">
      <w:pPr>
        <w:pStyle w:val="Bibliography"/>
      </w:pPr>
      <w:r>
        <w:t>Benetti, Daniel D, Mehmet</w:t>
      </w:r>
      <w:r>
        <w:t xml:space="preserve"> R Orhun, Bruno Sardenberg, Brian O’Hanlon, Aaron Welch, Ronald Hoenig, Ian Zink, et al. 2008. “Advances in Hatchery and Grow-Out Technology of Cobia Rachycentron Canadum (Linnaeus).” </w:t>
      </w:r>
      <w:r>
        <w:rPr>
          <w:i/>
        </w:rPr>
        <w:t>Aquaculture Research</w:t>
      </w:r>
      <w:r>
        <w:t xml:space="preserve"> 39 (7): 701–11. doi:</w:t>
      </w:r>
      <w:hyperlink r:id="rId11">
        <w:r>
          <w:rPr>
            <w:rStyle w:val="Hyperlink"/>
          </w:rPr>
          <w:t>10.1111/j.1365-2109.2008.01922.x</w:t>
        </w:r>
      </w:hyperlink>
      <w:r>
        <w:t>.</w:t>
      </w:r>
    </w:p>
    <w:p w14:paraId="6F28D1DC" w14:textId="77777777" w:rsidR="00BB7A85" w:rsidRDefault="00665C6C">
      <w:pPr>
        <w:pStyle w:val="Bibliography"/>
      </w:pPr>
      <w:r>
        <w:t xml:space="preserve">Bhalla, Bharat. 1983. “How Corporations Should Weigh up Country Risk.” </w:t>
      </w:r>
      <w:r>
        <w:rPr>
          <w:i/>
        </w:rPr>
        <w:t>Euromoney, June</w:t>
      </w:r>
      <w:r>
        <w:t xml:space="preserve"> 6672.</w:t>
      </w:r>
    </w:p>
    <w:p w14:paraId="0C07D8EA" w14:textId="77777777" w:rsidR="00BB7A85" w:rsidRDefault="00665C6C">
      <w:pPr>
        <w:pStyle w:val="Bibliography"/>
      </w:pPr>
      <w:r>
        <w:t xml:space="preserve">Brett, J. R. 1979. “10 - Environmental Factors and Growth.” In </w:t>
      </w:r>
      <w:r>
        <w:rPr>
          <w:i/>
        </w:rPr>
        <w:t>Fish Physiology</w:t>
      </w:r>
      <w:r>
        <w:t>, edited by D.</w:t>
      </w:r>
      <w:r>
        <w:t xml:space="preserve"> J. Randall W.S. Hoar and J. R. Brett, 8:599–675. Bioenergetics and Growth. Academic Press. doi:</w:t>
      </w:r>
      <w:hyperlink r:id="rId12">
        <w:r>
          <w:rPr>
            <w:rStyle w:val="Hyperlink"/>
          </w:rPr>
          <w:t>10.1016/S1546-5098(08)60033-3</w:t>
        </w:r>
      </w:hyperlink>
      <w:r>
        <w:t>.</w:t>
      </w:r>
    </w:p>
    <w:p w14:paraId="24194361" w14:textId="77777777" w:rsidR="00BB7A85" w:rsidRDefault="00665C6C">
      <w:pPr>
        <w:pStyle w:val="Bibliography"/>
      </w:pPr>
      <w:r>
        <w:lastRenderedPageBreak/>
        <w:t xml:space="preserve">DeCew, J., K. Baldwin, B. Celikkol, M. Chambers, D. W. Fredriksson, J. Irish, R. Langan, G. Rice, M. R. Swift, and I. Tsukrov. 2010. “Assessment of a Submerged Grid Mooring in the Gulf of Maine.” In </w:t>
      </w:r>
      <w:r>
        <w:rPr>
          <w:i/>
        </w:rPr>
        <w:t>OCEANS 2010 MTS/IEEE SEATTLE</w:t>
      </w:r>
      <w:r>
        <w:t>, 1–9. doi:</w:t>
      </w:r>
      <w:hyperlink r:id="rId13">
        <w:r>
          <w:rPr>
            <w:rStyle w:val="Hyperlink"/>
          </w:rPr>
          <w:t>10.1109/OCEANS.2010.5664025</w:t>
        </w:r>
      </w:hyperlink>
      <w:r>
        <w:t>.</w:t>
      </w:r>
    </w:p>
    <w:p w14:paraId="783AA6D1" w14:textId="77777777" w:rsidR="00BB7A85" w:rsidRDefault="00665C6C">
      <w:pPr>
        <w:pStyle w:val="Bibliography"/>
      </w:pPr>
      <w:r>
        <w:t>Fredriksson, David W., Judson DeCew, M.Robinson Swift, Igor Tsukrov, Michael D. Chambers, and Barbaros Celikkol. 2004. “The Design and Analysis of a Four-Cage Grid Mooring for Open O</w:t>
      </w:r>
      <w:r>
        <w:t xml:space="preserve">cean Aquaculture.” </w:t>
      </w:r>
      <w:r>
        <w:rPr>
          <w:i/>
        </w:rPr>
        <w:t>Aquacultural Engineering</w:t>
      </w:r>
      <w:r>
        <w:t xml:space="preserve"> 32 (1): 77–94. doi:</w:t>
      </w:r>
      <w:hyperlink r:id="rId14">
        <w:r>
          <w:rPr>
            <w:rStyle w:val="Hyperlink"/>
          </w:rPr>
          <w:t>10.1016/j.aquaeng.2004.05.001</w:t>
        </w:r>
      </w:hyperlink>
      <w:r>
        <w:t>.</w:t>
      </w:r>
    </w:p>
    <w:p w14:paraId="7D1EA42C" w14:textId="77777777" w:rsidR="00BB7A85" w:rsidRDefault="00665C6C">
      <w:pPr>
        <w:pStyle w:val="Bibliography"/>
      </w:pPr>
      <w:r>
        <w:t>Holland, Jason. n.d. “Aquaculture on Deck: Cobia Primed for Pan-European Foodservice Launch - See</w:t>
      </w:r>
      <w:r>
        <w:t xml:space="preserve"> More at: Https://Www.seafoodsource.com/Commentary/Aquaculture-on-Deck-Cobia-Primed-for-Pan-European-Foodservice-Launch#sthash.N9QseUoG.dpuf.”</w:t>
      </w:r>
    </w:p>
    <w:p w14:paraId="1B8D1CC1" w14:textId="77777777" w:rsidR="00BB7A85" w:rsidRDefault="00665C6C">
      <w:pPr>
        <w:pStyle w:val="Bibliography"/>
      </w:pPr>
      <w:r>
        <w:t>Kapetsky, J. M., J. Aguilar-Manjarrez, and J. Jenness. 2013. “A Global Assessment of Potential for Offshore Maric</w:t>
      </w:r>
      <w:r>
        <w:t xml:space="preserve">ulture Development from a Spatial Perspective.” </w:t>
      </w:r>
      <w:r>
        <w:rPr>
          <w:i/>
        </w:rPr>
        <w:t>FAO Fisheries and Aquaculture Technical Paper (FAO)</w:t>
      </w:r>
      <w:r>
        <w:t>.</w:t>
      </w:r>
    </w:p>
    <w:p w14:paraId="0F94D9D4" w14:textId="77777777" w:rsidR="00BB7A85" w:rsidRDefault="00665C6C">
      <w:pPr>
        <w:pStyle w:val="Bibliography"/>
      </w:pPr>
      <w:r>
        <w:t xml:space="preserve">Loverich, Gary F. 2010. “A Case Study of an Offshore SeaStation.” </w:t>
      </w:r>
      <w:r>
        <w:rPr>
          <w:i/>
        </w:rPr>
        <w:t>Marine Technology Society Journal</w:t>
      </w:r>
      <w:r>
        <w:t xml:space="preserve"> 44 (3): 36–46.</w:t>
      </w:r>
    </w:p>
    <w:p w14:paraId="5C7558F4" w14:textId="77777777" w:rsidR="00BB7A85" w:rsidRDefault="00665C6C">
      <w:pPr>
        <w:pStyle w:val="Bibliography"/>
      </w:pPr>
      <w:r>
        <w:t>McGowan Jr, Carl B., and Susan E. Moelle</w:t>
      </w:r>
      <w:r>
        <w:t xml:space="preserve">r. 2009. “A Model for Making Foreign Direct Investment Decisions Using Real Variables for Political and Economic Risk Analysis.” </w:t>
      </w:r>
      <w:r>
        <w:rPr>
          <w:i/>
        </w:rPr>
        <w:t>Managing Global Transitions</w:t>
      </w:r>
      <w:r>
        <w:t xml:space="preserve"> 7 (1): 27.</w:t>
      </w:r>
    </w:p>
    <w:p w14:paraId="1CE278A9" w14:textId="77777777" w:rsidR="00BB7A85" w:rsidRDefault="00665C6C">
      <w:pPr>
        <w:pStyle w:val="Bibliography"/>
      </w:pPr>
      <w:r>
        <w:t>McKindsey, Christopher W., Helmut Thetmeyer, Thomas Landry, and William Silvert. 2006. “</w:t>
      </w:r>
      <w:r>
        <w:t xml:space="preserve">Review of Recent Carrying Capacity Models for Bivalve Culture and Recommendations for Research and Management.” </w:t>
      </w:r>
      <w:r>
        <w:rPr>
          <w:i/>
        </w:rPr>
        <w:t>Aquaculture</w:t>
      </w:r>
      <w:r>
        <w:t xml:space="preserve"> 261 (2): 451–62. doi:</w:t>
      </w:r>
      <w:hyperlink r:id="rId15">
        <w:r>
          <w:rPr>
            <w:rStyle w:val="Hyperlink"/>
          </w:rPr>
          <w:t>10.1016/j.aquaculture.2006.06.044</w:t>
        </w:r>
      </w:hyperlink>
      <w:r>
        <w:t>.</w:t>
      </w:r>
    </w:p>
    <w:p w14:paraId="373BB413" w14:textId="77777777" w:rsidR="00BB7A85" w:rsidRDefault="00665C6C">
      <w:pPr>
        <w:pStyle w:val="Bibliography"/>
      </w:pPr>
      <w:r>
        <w:t>Sims, N</w:t>
      </w:r>
      <w:r>
        <w:t>eil Anthony. 2017. “Kona Blue Water Farms Case Study: Permiting, Operations, Marketing, Environmental Impacts, and Impediments to Expansion of Global Open Ocean Mariculture.” Accessed January 4.</w:t>
      </w:r>
    </w:p>
    <w:p w14:paraId="08781E17" w14:textId="77777777" w:rsidR="00BB7A85" w:rsidRDefault="00665C6C">
      <w:pPr>
        <w:pStyle w:val="Bibliography"/>
      </w:pPr>
      <w:r>
        <w:t xml:space="preserve">Tidwell, James. 2012. </w:t>
      </w:r>
      <w:r>
        <w:rPr>
          <w:i/>
        </w:rPr>
        <w:t>Aquaculture Production Systems</w:t>
      </w:r>
      <w:r>
        <w:t>. John Wi</w:t>
      </w:r>
      <w:r>
        <w:t>ley &amp; Sons.</w:t>
      </w:r>
    </w:p>
    <w:p w14:paraId="0326FC06" w14:textId="77777777" w:rsidR="00BB7A85" w:rsidRDefault="00665C6C">
      <w:pPr>
        <w:pStyle w:val="Bibliography"/>
      </w:pPr>
      <w:r>
        <w:t>VLIZ. 2014. “Maritime Boundaries Geodatabase, Version 8.”</w:t>
      </w:r>
    </w:p>
    <w:p w14:paraId="099F3758" w14:textId="77777777" w:rsidR="00BB7A85" w:rsidRDefault="00665C6C">
      <w:pPr>
        <w:pStyle w:val="Bibliography"/>
      </w:pPr>
      <w:r>
        <w:t>Xu, W. B., K. Q. Zhu, and Y. C. Miao. 2015. “Research of the Hydrodynamic Characteristics of Ocean Spar Sea Station.”</w:t>
      </w:r>
    </w:p>
    <w:sectPr w:rsidR="00BB7A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3EA12" w14:textId="77777777" w:rsidR="00665C6C" w:rsidRDefault="00665C6C">
      <w:pPr>
        <w:spacing w:after="0"/>
      </w:pPr>
      <w:r>
        <w:separator/>
      </w:r>
    </w:p>
  </w:endnote>
  <w:endnote w:type="continuationSeparator" w:id="0">
    <w:p w14:paraId="384E41C8" w14:textId="77777777" w:rsidR="00665C6C" w:rsidRDefault="00665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BC112" w14:textId="77777777" w:rsidR="00665C6C" w:rsidRDefault="00665C6C">
      <w:r>
        <w:separator/>
      </w:r>
    </w:p>
  </w:footnote>
  <w:footnote w:type="continuationSeparator" w:id="0">
    <w:p w14:paraId="22C77243" w14:textId="77777777" w:rsidR="00665C6C" w:rsidRDefault="00665C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DCED04"/>
    <w:multiLevelType w:val="multilevel"/>
    <w:tmpl w:val="1C7E94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73C9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573B31"/>
    <w:multiLevelType w:val="multilevel"/>
    <w:tmpl w:val="8CBC68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CEA531C"/>
    <w:multiLevelType w:val="multilevel"/>
    <w:tmpl w:val="191495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65C6C"/>
    <w:rsid w:val="00784D58"/>
    <w:rsid w:val="008D6863"/>
    <w:rsid w:val="00B86B75"/>
    <w:rsid w:val="00BB7A85"/>
    <w:rsid w:val="00BC48D5"/>
    <w:rsid w:val="00C36279"/>
    <w:rsid w:val="00E2505E"/>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8B25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2505E"/>
    <w:pPr>
      <w:spacing w:after="100"/>
    </w:pPr>
  </w:style>
  <w:style w:type="paragraph" w:styleId="TOC2">
    <w:name w:val="toc 2"/>
    <w:basedOn w:val="Normal"/>
    <w:next w:val="Normal"/>
    <w:autoRedefine/>
    <w:uiPriority w:val="39"/>
    <w:unhideWhenUsed/>
    <w:rsid w:val="00E2505E"/>
    <w:pPr>
      <w:spacing w:after="100"/>
      <w:ind w:left="240"/>
    </w:pPr>
  </w:style>
  <w:style w:type="paragraph" w:styleId="TOC3">
    <w:name w:val="toc 3"/>
    <w:basedOn w:val="Normal"/>
    <w:next w:val="Normal"/>
    <w:autoRedefine/>
    <w:uiPriority w:val="39"/>
    <w:unhideWhenUsed/>
    <w:rsid w:val="00E250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111/j.1365-2109.2008.01922.x" TargetMode="External"/><Relationship Id="rId12" Type="http://schemas.openxmlformats.org/officeDocument/2006/relationships/hyperlink" Target="https://doi.org/10.1016/S1546-5098(08)60033-3" TargetMode="External"/><Relationship Id="rId13" Type="http://schemas.openxmlformats.org/officeDocument/2006/relationships/hyperlink" Target="https://doi.org/10.1109/OCEANS.2010.5664025" TargetMode="External"/><Relationship Id="rId14" Type="http://schemas.openxmlformats.org/officeDocument/2006/relationships/hyperlink" Target="https://doi.org/10.1016/j.aquaeng.2004.05.001" TargetMode="External"/><Relationship Id="rId15" Type="http://schemas.openxmlformats.org/officeDocument/2006/relationships/hyperlink" Target="https://doi.org/10.1016/j.aquaculture.2006.06.04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ran.r-project.org/web/packages/raster/index.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5638</Words>
  <Characters>32141</Characters>
  <Application>Microsoft Macintosh Word</Application>
  <DocSecurity>0</DocSecurity>
  <Lines>267</Lines>
  <Paragraphs>75</Paragraphs>
  <ScaleCrop>false</ScaleCrop>
  <LinksUpToDate>false</LinksUpToDate>
  <CharactersWithSpaces>37704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cp:lastModifiedBy>Microsoft Office User</cp:lastModifiedBy>
  <cp:revision>2</cp:revision>
  <dcterms:created xsi:type="dcterms:W3CDTF">2017-05-26T23:51:00Z</dcterms:created>
  <dcterms:modified xsi:type="dcterms:W3CDTF">2017-05-26T23:51:00Z</dcterms:modified>
</cp:coreProperties>
</file>