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Solar • Step-by-step build and test guide</w:t>
      </w:r>
    </w:p>
    <w:p>
      <w:pPr>
        <w:pStyle w:val="Subtitle"/>
      </w:pPr>
      <w:r>
        <w:t>Implementation edition 2.1 | 5 September 2026 | Prepared for Ben Quick and the developer</w:t>
      </w:r>
    </w:p>
    <w:p>
      <w:pPr>
        <w:pStyle w:val="Heading1"/>
      </w:pPr>
      <w:r>
        <w:t>Read this first</w:t>
      </w:r>
    </w:p>
    <w:p>
      <w:r>
        <w:t>Use this as the developer's daily work order. Follow S01–S20 in sequence, building and checking each part before depending on it. It expands the B01–B12 build phases in document 01; it does not change the agreed business rules.</w:t>
      </w:r>
    </w:p>
    <w:p>
      <w:r>
        <w:t>Keep the three companion documents beside it: 01 Developer Build Specification supplies the fields and rules; 02 User and Admin Manual supplies the user journeys; 03 Testing and Acceptance supplies T001–T112, their setup and expected results. This guide tells you when to use them.</w:t>
      </w:r>
    </w:p>
    <w:p>
      <w:pPr>
        <w:pStyle w:val="GuideSubhead"/>
      </w:pPr>
      <w:r>
        <w:t>How to finish each stage</w:t>
      </w:r>
    </w:p>
    <w:p>
      <w:pPr>
        <w:pStyle w:val="ListNumber"/>
        <w:numPr>
          <w:ilvl w:val="0"/>
          <w:numId w:val="10"/>
        </w:numPr>
      </w:pPr>
      <w:r>
        <w:t>Read the stated specification sections and prepare the listed tables, sample records and accounts.</w:t>
      </w:r>
    </w:p>
    <w:p>
      <w:pPr>
        <w:pStyle w:val="ListNumber"/>
        <w:numPr>
          <w:ilvl w:val="0"/>
          <w:numId w:val="10"/>
        </w:numPr>
      </w:pPr>
      <w:r>
        <w:t>Complete the numbered build actions. Keep outgoing actions restricted to test destinations until the production release stage.</w:t>
      </w:r>
    </w:p>
    <w:p>
      <w:pPr>
        <w:pStyle w:val="ListNumber"/>
        <w:numPr>
          <w:ilvl w:val="0"/>
          <w:numId w:val="10"/>
        </w:numPr>
      </w:pPr>
      <w:r>
        <w:t>Run the stage's immediate checks, then the referenced T-cases. Reset fixture F0 unless a case explicitly continues another case.</w:t>
      </w:r>
    </w:p>
    <w:p>
      <w:pPr>
        <w:pStyle w:val="ListNumber"/>
        <w:numPr>
          <w:ilvl w:val="0"/>
          <w:numId w:val="10"/>
        </w:numPr>
      </w:pPr>
      <w:r>
        <w:t>Save evidence against the release, stage and case. Correct failures, rerun the failed case and the affected earlier cases, then record the stage result.</w:t>
      </w:r>
    </w:p>
    <w:p>
      <w:pPr>
        <w:pStyle w:val="ListNumber"/>
        <w:numPr>
          <w:ilvl w:val="0"/>
          <w:numId w:val="10"/>
        </w:numPr>
      </w:pPr>
      <w:r>
        <w:t>Demonstrate the stated result before building dependent features. A missing live contact or technical question may be represented by a labelled test fixture; it must not be called live-ready.</w:t>
      </w:r>
    </w:p>
    <w:p>
      <w:pPr>
        <w:pStyle w:val="GuideSubhead"/>
      </w:pPr>
      <w:r>
        <w:t>What counts as a passed test</w:t>
      </w:r>
    </w:p>
    <w:p>
      <w:r>
        <w:t>Keep two results where needed: Component result and Integration result. A test adapter can prove calculations and generated requests. It cannot prove that a real Calendar invitation, Xero invoice or email worked. Mark the full T-case Pass only when all its expected results have been observed. Use Not Run or Blocked for the outstanding part, with its next test stage recorded. S18 closes the full acceptance register.</w:t>
      </w:r>
    </w:p>
    <w:p>
      <w:r>
        <w:t>Create a test register with: release; stage; T-case or stage-check ID; component/integration; environment; fixture; tester; date; expected result; actual result; P/F/B/NR; evidence link; defect; retest result. Use G01, G02 and so on for each stage's additional immediate checks.</w:t>
      </w:r>
    </w:p>
    <w:p>
      <w:r>
        <w:t>All test dates in this guide are in 2026. Use a test clock; do not wait days to test reminders or change the real office clock. Production must reject test-clock overrides and test-recipient bypasses. Stage completion is developer verification; Ben's live-release decision happens at S20.</w:t>
      </w:r>
    </w:p>
    <w:p>
      <w:r>
        <w:br w:type="page"/>
      </w:r>
    </w:p>
    <w:p>
      <w:pPr>
        <w:pStyle w:val="Heading1"/>
      </w:pPr>
      <w:r>
        <w:t>The build order at a glance</w:t>
      </w:r>
    </w:p>
    <w:p>
      <w:pPr>
        <w:pStyle w:val="GuideMeta"/>
      </w:pPr>
      <w:r>
        <w:t>Start the listed tests at each stage; its instructions explain which checks need later integration evidence. Rerun all in-scope cases on the final release at S18.</w:t>
      </w:r>
    </w:p>
    <w:tbl>
      <w:tblPr>
        <w:tblLook w:firstColumn="1" w:firstRow="1" w:lastColumn="0" w:lastRow="0" w:noHBand="0" w:noVBand="1" w:val="04A0"/>
        <w:tblW w:w="9411" w:type="dxa"/>
        <w:tblInd w:w="120" w:type="dxa"/>
        <w:tblLayout w:type="fixed"/>
        <w:tblCellMar>
          <w:top w:w="60" w:type="dxa"/>
          <w:bottom w:w="6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640"/>
        <w:gridCol w:w="3800"/>
        <w:gridCol w:w="4971"/>
      </w:tblGrid>
      <w:tr>
        <w:trPr>
          <w:cantSplit/>
          <w:tblHeader/>
        </w:trPr>
        <w:tc>
          <w:tcPr>
            <w:tcW w:type="dxa" w:w="640"/>
            <w:shd w:fill="E8EEF5"/>
          </w:tcPr>
          <w:p>
            <w:pPr>
              <w:pStyle w:val="Index"/>
            </w:pPr>
            <w:r>
              <w:rPr>
                <w:b/>
              </w:rPr>
              <w:t>ID</w:t>
            </w:r>
          </w:p>
        </w:tc>
        <w:tc>
          <w:tcPr>
            <w:tcW w:type="dxa" w:w="3800"/>
            <w:shd w:fill="E8EEF5"/>
          </w:tcPr>
          <w:p>
            <w:pPr>
              <w:pStyle w:val="Index"/>
            </w:pPr>
            <w:r>
              <w:rPr>
                <w:b/>
              </w:rPr>
              <w:t>Build focus</w:t>
            </w:r>
          </w:p>
        </w:tc>
        <w:tc>
          <w:tcPr>
            <w:tcW w:type="dxa" w:w="4971"/>
            <w:shd w:fill="E8EEF5"/>
          </w:tcPr>
          <w:p>
            <w:pPr>
              <w:pStyle w:val="Index"/>
            </w:pPr>
            <w:r>
              <w:rPr>
                <w:b/>
              </w:rPr>
              <w:t>Tests to start</w:t>
            </w:r>
          </w:p>
        </w:tc>
      </w:tr>
      <w:tr>
        <w:trPr>
          <w:cantSplit/>
        </w:trPr>
        <w:tc>
          <w:tcPr>
            <w:tcW w:type="dxa" w:w="640"/>
          </w:tcPr>
          <w:p>
            <w:pPr>
              <w:pStyle w:val="Index"/>
            </w:pPr>
            <w:r>
              <w:t>S01</w:t>
            </w:r>
          </w:p>
        </w:tc>
        <w:tc>
          <w:tcPr>
            <w:tcW w:type="dxa" w:w="3800"/>
          </w:tcPr>
          <w:p>
            <w:pPr>
              <w:pStyle w:val="Index"/>
            </w:pPr>
            <w:r>
              <w:t>Test environment and ownership</w:t>
            </w:r>
          </w:p>
        </w:tc>
        <w:tc>
          <w:tcPr>
            <w:tcW w:type="dxa" w:w="4971"/>
          </w:tcPr>
          <w:p>
            <w:pPr>
              <w:pStyle w:val="Index"/>
            </w:pPr>
            <w:r>
              <w:t>G01</w:t>
            </w:r>
          </w:p>
        </w:tc>
      </w:tr>
      <w:tr>
        <w:trPr>
          <w:cantSplit/>
        </w:trPr>
        <w:tc>
          <w:tcPr>
            <w:tcW w:type="dxa" w:w="640"/>
          </w:tcPr>
          <w:p>
            <w:pPr>
              <w:pStyle w:val="Index"/>
            </w:pPr>
            <w:r>
              <w:t>S02</w:t>
            </w:r>
          </w:p>
        </w:tc>
        <w:tc>
          <w:tcPr>
            <w:tcW w:type="dxa" w:w="3800"/>
          </w:tcPr>
          <w:p>
            <w:pPr>
              <w:pStyle w:val="Index"/>
            </w:pPr>
            <w:r>
              <w:t>Tables, keys and configuration</w:t>
            </w:r>
          </w:p>
        </w:tc>
        <w:tc>
          <w:tcPr>
            <w:tcW w:type="dxa" w:w="4971"/>
          </w:tcPr>
          <w:p>
            <w:pPr>
              <w:pStyle w:val="Index"/>
            </w:pPr>
            <w:r>
              <w:t>T002, T003, T012</w:t>
            </w:r>
          </w:p>
        </w:tc>
      </w:tr>
      <w:tr>
        <w:trPr>
          <w:cantSplit/>
        </w:trPr>
        <w:tc>
          <w:tcPr>
            <w:tcW w:type="dxa" w:w="640"/>
          </w:tcPr>
          <w:p>
            <w:pPr>
              <w:pStyle w:val="Index"/>
            </w:pPr>
            <w:r>
              <w:t>S03</w:t>
            </w:r>
          </w:p>
        </w:tc>
        <w:tc>
          <w:tcPr>
            <w:tcW w:type="dxa" w:w="3800"/>
          </w:tcPr>
          <w:p>
            <w:pPr>
              <w:pStyle w:val="Index"/>
            </w:pPr>
            <w:r>
              <w:t>Processor and recovery foundations</w:t>
            </w:r>
          </w:p>
        </w:tc>
        <w:tc>
          <w:tcPr>
            <w:tcW w:type="dxa" w:w="4971"/>
          </w:tcPr>
          <w:p>
            <w:pPr>
              <w:pStyle w:val="Index"/>
            </w:pPr>
            <w:r>
              <w:t>T002, T102–T104, T110</w:t>
            </w:r>
          </w:p>
        </w:tc>
      </w:tr>
      <w:tr>
        <w:trPr>
          <w:cantSplit/>
        </w:trPr>
        <w:tc>
          <w:tcPr>
            <w:tcW w:type="dxa" w:w="640"/>
          </w:tcPr>
          <w:p>
            <w:pPr>
              <w:pStyle w:val="Index"/>
            </w:pPr>
            <w:r>
              <w:t>S04</w:t>
            </w:r>
          </w:p>
        </w:tc>
        <w:tc>
          <w:tcPr>
            <w:tcW w:type="dxa" w:w="3800"/>
          </w:tcPr>
          <w:p>
            <w:pPr>
              <w:pStyle w:val="Index"/>
            </w:pPr>
            <w:r>
              <w:t>Sign-in and first app action</w:t>
            </w:r>
          </w:p>
        </w:tc>
        <w:tc>
          <w:tcPr>
            <w:tcW w:type="dxa" w:w="4971"/>
          </w:tcPr>
          <w:p>
            <w:pPr>
              <w:pStyle w:val="Index"/>
            </w:pPr>
            <w:r>
              <w:t>T017, T022, T024, T098–T100</w:t>
            </w:r>
          </w:p>
        </w:tc>
      </w:tr>
      <w:tr>
        <w:trPr>
          <w:cantSplit/>
        </w:trPr>
        <w:tc>
          <w:tcPr>
            <w:tcW w:type="dxa" w:w="640"/>
          </w:tcPr>
          <w:p>
            <w:pPr>
              <w:pStyle w:val="Index"/>
            </w:pPr>
            <w:r>
              <w:t>S05</w:t>
            </w:r>
          </w:p>
        </w:tc>
        <w:tc>
          <w:tcPr>
            <w:tcW w:type="dxa" w:w="3800"/>
          </w:tcPr>
          <w:p>
            <w:pPr>
              <w:pStyle w:val="Index"/>
            </w:pPr>
            <w:r>
              <w:t>Sold and Booking intake</w:t>
            </w:r>
          </w:p>
        </w:tc>
        <w:tc>
          <w:tcPr>
            <w:tcW w:type="dxa" w:w="4971"/>
          </w:tcPr>
          <w:p>
            <w:pPr>
              <w:pStyle w:val="Index"/>
            </w:pPr>
            <w:r>
              <w:t>T001–T012, T101</w:t>
            </w:r>
          </w:p>
        </w:tc>
      </w:tr>
      <w:tr>
        <w:trPr>
          <w:cantSplit/>
        </w:trPr>
        <w:tc>
          <w:tcPr>
            <w:tcW w:type="dxa" w:w="640"/>
          </w:tcPr>
          <w:p>
            <w:pPr>
              <w:pStyle w:val="Index"/>
            </w:pPr>
            <w:r>
              <w:t>S06</w:t>
            </w:r>
          </w:p>
        </w:tc>
        <w:tc>
          <w:tcPr>
            <w:tcW w:type="dxa" w:w="3800"/>
          </w:tcPr>
          <w:p>
            <w:pPr>
              <w:pStyle w:val="Index"/>
            </w:pPr>
            <w:r>
              <w:t>Booking gates and tasks</w:t>
            </w:r>
          </w:p>
        </w:tc>
        <w:tc>
          <w:tcPr>
            <w:tcW w:type="dxa" w:w="4971"/>
          </w:tcPr>
          <w:p>
            <w:pPr>
              <w:pStyle w:val="Index"/>
            </w:pPr>
            <w:r>
              <w:t>T007, T013–T025</w:t>
            </w:r>
          </w:p>
        </w:tc>
      </w:tr>
      <w:tr>
        <w:trPr>
          <w:cantSplit/>
        </w:trPr>
        <w:tc>
          <w:tcPr>
            <w:tcW w:type="dxa" w:w="640"/>
          </w:tcPr>
          <w:p>
            <w:pPr>
              <w:pStyle w:val="Index"/>
            </w:pPr>
            <w:r>
              <w:t>S07</w:t>
            </w:r>
          </w:p>
        </w:tc>
        <w:tc>
          <w:tcPr>
            <w:tcW w:type="dxa" w:w="3800"/>
          </w:tcPr>
          <w:p>
            <w:pPr>
              <w:pStyle w:val="Index"/>
            </w:pPr>
            <w:r>
              <w:t>Ordering and merchants</w:t>
            </w:r>
          </w:p>
        </w:tc>
        <w:tc>
          <w:tcPr>
            <w:tcW w:type="dxa" w:w="4971"/>
          </w:tcPr>
          <w:p>
            <w:pPr>
              <w:pStyle w:val="Index"/>
            </w:pPr>
            <w:r>
              <w:t>T037–T047</w:t>
            </w:r>
          </w:p>
        </w:tc>
      </w:tr>
      <w:tr>
        <w:trPr>
          <w:cantSplit/>
        </w:trPr>
        <w:tc>
          <w:tcPr>
            <w:tcW w:type="dxa" w:w="640"/>
          </w:tcPr>
          <w:p>
            <w:pPr>
              <w:pStyle w:val="Index"/>
            </w:pPr>
            <w:r>
              <w:t>S08</w:t>
            </w:r>
          </w:p>
        </w:tc>
        <w:tc>
          <w:tcPr>
            <w:tcW w:type="dxa" w:w="3800"/>
          </w:tcPr>
          <w:p>
            <w:pPr>
              <w:pStyle w:val="Index"/>
            </w:pPr>
            <w:r>
              <w:t>Picking and stock ledger</w:t>
            </w:r>
          </w:p>
        </w:tc>
        <w:tc>
          <w:tcPr>
            <w:tcW w:type="dxa" w:w="4971"/>
          </w:tcPr>
          <w:p>
            <w:pPr>
              <w:pStyle w:val="Index"/>
            </w:pPr>
            <w:r>
              <w:t>T048–T058</w:t>
            </w:r>
          </w:p>
        </w:tc>
      </w:tr>
      <w:tr>
        <w:trPr>
          <w:cantSplit/>
        </w:trPr>
        <w:tc>
          <w:tcPr>
            <w:tcW w:type="dxa" w:w="640"/>
          </w:tcPr>
          <w:p>
            <w:pPr>
              <w:pStyle w:val="Index"/>
            </w:pPr>
            <w:r>
              <w:t>S09</w:t>
            </w:r>
          </w:p>
        </w:tc>
        <w:tc>
          <w:tcPr>
            <w:tcW w:type="dxa" w:w="3800"/>
          </w:tcPr>
          <w:p>
            <w:pPr>
              <w:pStyle w:val="Index"/>
            </w:pPr>
            <w:r>
              <w:t>Scaffold bookings and complaints</w:t>
            </w:r>
          </w:p>
        </w:tc>
        <w:tc>
          <w:tcPr>
            <w:tcW w:type="dxa" w:w="4971"/>
          </w:tcPr>
          <w:p>
            <w:pPr>
              <w:pStyle w:val="Index"/>
            </w:pPr>
            <w:r>
              <w:t>T059–T063, T099</w:t>
            </w:r>
          </w:p>
        </w:tc>
      </w:tr>
      <w:tr>
        <w:trPr>
          <w:cantSplit/>
        </w:trPr>
        <w:tc>
          <w:tcPr>
            <w:tcW w:type="dxa" w:w="640"/>
          </w:tcPr>
          <w:p>
            <w:pPr>
              <w:pStyle w:val="Index"/>
            </w:pPr>
            <w:r>
              <w:t>S10</w:t>
            </w:r>
          </w:p>
        </w:tc>
        <w:tc>
          <w:tcPr>
            <w:tcW w:type="dxa" w:w="3800"/>
          </w:tcPr>
          <w:p>
            <w:pPr>
              <w:pStyle w:val="Index"/>
            </w:pPr>
            <w:r>
              <w:t>Calls, issues and completion</w:t>
            </w:r>
          </w:p>
        </w:tc>
        <w:tc>
          <w:tcPr>
            <w:tcW w:type="dxa" w:w="4971"/>
          </w:tcPr>
          <w:p>
            <w:pPr>
              <w:pStyle w:val="Index"/>
            </w:pPr>
            <w:r>
              <w:t>T018, T064–T069, T074–T075, T077</w:t>
            </w:r>
          </w:p>
        </w:tc>
      </w:tr>
      <w:tr>
        <w:trPr>
          <w:cantSplit/>
        </w:trPr>
        <w:tc>
          <w:tcPr>
            <w:tcW w:type="dxa" w:w="640"/>
          </w:tcPr>
          <w:p>
            <w:pPr>
              <w:pStyle w:val="Index"/>
            </w:pPr>
            <w:r>
              <w:t>S11</w:t>
            </w:r>
          </w:p>
        </w:tc>
        <w:tc>
          <w:tcPr>
            <w:tcW w:type="dxa" w:w="3800"/>
          </w:tcPr>
          <w:p>
            <w:pPr>
              <w:pStyle w:val="Index"/>
            </w:pPr>
            <w:r>
              <w:t>Planners, moves and Calendar</w:t>
            </w:r>
          </w:p>
        </w:tc>
        <w:tc>
          <w:tcPr>
            <w:tcW w:type="dxa" w:w="4971"/>
          </w:tcPr>
          <w:p>
            <w:pPr>
              <w:pStyle w:val="Index"/>
            </w:pPr>
            <w:r>
              <w:t>T005, T026–T036, T043–T044, T057</w:t>
            </w:r>
          </w:p>
        </w:tc>
      </w:tr>
      <w:tr>
        <w:trPr>
          <w:cantSplit/>
        </w:trPr>
        <w:tc>
          <w:tcPr>
            <w:tcW w:type="dxa" w:w="640"/>
          </w:tcPr>
          <w:p>
            <w:pPr>
              <w:pStyle w:val="Index"/>
            </w:pPr>
            <w:r>
              <w:t>S12</w:t>
            </w:r>
          </w:p>
        </w:tc>
        <w:tc>
          <w:tcPr>
            <w:tcW w:type="dxa" w:w="3800"/>
          </w:tcPr>
          <w:p>
            <w:pPr>
              <w:pStyle w:val="Index"/>
            </w:pPr>
            <w:r>
              <w:t>Commissioning and handover</w:t>
            </w:r>
          </w:p>
        </w:tc>
        <w:tc>
          <w:tcPr>
            <w:tcW w:type="dxa" w:w="4971"/>
          </w:tcPr>
          <w:p>
            <w:pPr>
              <w:pStyle w:val="Index"/>
            </w:pPr>
            <w:r>
              <w:t>T031, T066–T067, T070–T076, T098</w:t>
            </w:r>
          </w:p>
        </w:tc>
      </w:tr>
      <w:tr>
        <w:trPr>
          <w:cantSplit/>
        </w:trPr>
        <w:tc>
          <w:tcPr>
            <w:tcW w:type="dxa" w:w="640"/>
          </w:tcPr>
          <w:p>
            <w:pPr>
              <w:pStyle w:val="Index"/>
            </w:pPr>
            <w:r>
              <w:t>S13</w:t>
            </w:r>
          </w:p>
        </w:tc>
        <w:tc>
          <w:tcPr>
            <w:tcW w:type="dxa" w:w="3800"/>
          </w:tcPr>
          <w:p>
            <w:pPr>
              <w:pStyle w:val="Index"/>
            </w:pPr>
            <w:r>
              <w:t>Xero, payment tasks and GHL</w:t>
            </w:r>
          </w:p>
        </w:tc>
        <w:tc>
          <w:tcPr>
            <w:tcW w:type="dxa" w:w="4971"/>
          </w:tcPr>
          <w:p>
            <w:pPr>
              <w:pStyle w:val="Index"/>
            </w:pPr>
            <w:r>
              <w:t>T004, T013–T014, T029, T078–T085</w:t>
            </w:r>
          </w:p>
        </w:tc>
      </w:tr>
      <w:tr>
        <w:trPr>
          <w:cantSplit/>
        </w:trPr>
        <w:tc>
          <w:tcPr>
            <w:tcW w:type="dxa" w:w="640"/>
          </w:tcPr>
          <w:p>
            <w:pPr>
              <w:pStyle w:val="Index"/>
            </w:pPr>
            <w:r>
              <w:t>S14</w:t>
            </w:r>
          </w:p>
        </w:tc>
        <w:tc>
          <w:tcPr>
            <w:tcW w:type="dxa" w:w="3800"/>
          </w:tcPr>
          <w:p>
            <w:pPr>
              <w:pStyle w:val="Index"/>
            </w:pPr>
            <w:r>
              <w:t>Accounting and reports</w:t>
            </w:r>
          </w:p>
        </w:tc>
        <w:tc>
          <w:tcPr>
            <w:tcW w:type="dxa" w:w="4971"/>
          </w:tcPr>
          <w:p>
            <w:pPr>
              <w:pStyle w:val="Index"/>
            </w:pPr>
            <w:r>
              <w:t>T077, T086–T089, T094–T097</w:t>
            </w:r>
          </w:p>
        </w:tc>
      </w:tr>
      <w:tr>
        <w:trPr>
          <w:cantSplit/>
        </w:trPr>
        <w:tc>
          <w:tcPr>
            <w:tcW w:type="dxa" w:w="640"/>
          </w:tcPr>
          <w:p>
            <w:pPr>
              <w:pStyle w:val="Index"/>
            </w:pPr>
            <w:r>
              <w:t>S15</w:t>
            </w:r>
          </w:p>
        </w:tc>
        <w:tc>
          <w:tcPr>
            <w:tcW w:type="dxa" w:w="3800"/>
          </w:tcPr>
          <w:p>
            <w:pPr>
              <w:pStyle w:val="Index"/>
            </w:pPr>
            <w:r>
              <w:t>Cancellation and reinstatement</w:t>
            </w:r>
          </w:p>
        </w:tc>
        <w:tc>
          <w:tcPr>
            <w:tcW w:type="dxa" w:w="4971"/>
          </w:tcPr>
          <w:p>
            <w:pPr>
              <w:pStyle w:val="Index"/>
            </w:pPr>
            <w:r>
              <w:t>T045, T057, T081, T090–T093</w:t>
            </w:r>
          </w:p>
        </w:tc>
      </w:tr>
      <w:tr>
        <w:trPr>
          <w:cantSplit/>
        </w:trPr>
        <w:tc>
          <w:tcPr>
            <w:tcW w:type="dxa" w:w="640"/>
          </w:tcPr>
          <w:p>
            <w:pPr>
              <w:pStyle w:val="Index"/>
            </w:pPr>
            <w:r>
              <w:t>S16</w:t>
            </w:r>
          </w:p>
        </w:tc>
        <w:tc>
          <w:tcPr>
            <w:tcW w:type="dxa" w:w="3800"/>
          </w:tcPr>
          <w:p>
            <w:pPr>
              <w:pStyle w:val="Index"/>
            </w:pPr>
            <w:r>
              <w:t>Health, archive and restore</w:t>
            </w:r>
          </w:p>
        </w:tc>
        <w:tc>
          <w:tcPr>
            <w:tcW w:type="dxa" w:w="4971"/>
          </w:tcPr>
          <w:p>
            <w:pPr>
              <w:pStyle w:val="Index"/>
            </w:pPr>
            <w:r>
              <w:t>T101, T103–T108</w:t>
            </w:r>
          </w:p>
        </w:tc>
      </w:tr>
      <w:tr>
        <w:trPr>
          <w:cantSplit/>
        </w:trPr>
        <w:tc>
          <w:tcPr>
            <w:tcW w:type="dxa" w:w="640"/>
          </w:tcPr>
          <w:p>
            <w:pPr>
              <w:pStyle w:val="Index"/>
            </w:pPr>
            <w:r>
              <w:t>S17</w:t>
            </w:r>
          </w:p>
        </w:tc>
        <w:tc>
          <w:tcPr>
            <w:tcW w:type="dxa" w:w="3800"/>
          </w:tcPr>
          <w:p>
            <w:pPr>
              <w:pStyle w:val="Index"/>
            </w:pPr>
            <w:r>
              <w:t>Finished screens and admin routes</w:t>
            </w:r>
          </w:p>
        </w:tc>
        <w:tc>
          <w:tcPr>
            <w:tcW w:type="dxa" w:w="4971"/>
          </w:tcPr>
          <w:p>
            <w:pPr>
              <w:pStyle w:val="Index"/>
            </w:pPr>
            <w:r>
              <w:t>T109, T111 + listed regressions</w:t>
            </w:r>
          </w:p>
        </w:tc>
      </w:tr>
      <w:tr>
        <w:trPr>
          <w:cantSplit/>
        </w:trPr>
        <w:tc>
          <w:tcPr>
            <w:tcW w:type="dxa" w:w="640"/>
          </w:tcPr>
          <w:p>
            <w:pPr>
              <w:pStyle w:val="Index"/>
            </w:pPr>
            <w:r>
              <w:t>S18</w:t>
            </w:r>
          </w:p>
        </w:tc>
        <w:tc>
          <w:tcPr>
            <w:tcW w:type="dxa" w:w="3800"/>
          </w:tcPr>
          <w:p>
            <w:pPr>
              <w:pStyle w:val="Index"/>
            </w:pPr>
            <w:r>
              <w:t>Full release acceptance</w:t>
            </w:r>
          </w:p>
        </w:tc>
        <w:tc>
          <w:tcPr>
            <w:tcW w:type="dxa" w:w="4971"/>
          </w:tcPr>
          <w:p>
            <w:pPr>
              <w:pStyle w:val="Index"/>
            </w:pPr>
            <w:r>
              <w:t>T001–T112</w:t>
            </w:r>
          </w:p>
        </w:tc>
      </w:tr>
      <w:tr>
        <w:trPr>
          <w:cantSplit/>
        </w:trPr>
        <w:tc>
          <w:tcPr>
            <w:tcW w:type="dxa" w:w="640"/>
          </w:tcPr>
          <w:p>
            <w:pPr>
              <w:pStyle w:val="Index"/>
            </w:pPr>
            <w:r>
              <w:t>S19</w:t>
            </w:r>
          </w:p>
        </w:tc>
        <w:tc>
          <w:tcPr>
            <w:tcW w:type="dxa" w:w="3800"/>
          </w:tcPr>
          <w:p>
            <w:pPr>
              <w:pStyle w:val="Index"/>
            </w:pPr>
            <w:r>
              <w:t>Migration and training rehearsal</w:t>
            </w:r>
          </w:p>
        </w:tc>
        <w:tc>
          <w:tcPr>
            <w:tcW w:type="dxa" w:w="4971"/>
          </w:tcPr>
          <w:p>
            <w:pPr>
              <w:pStyle w:val="Index"/>
            </w:pPr>
            <w:r>
              <w:t>T036, T108, T112</w:t>
            </w:r>
          </w:p>
        </w:tc>
      </w:tr>
      <w:tr>
        <w:trPr>
          <w:cantSplit/>
        </w:trPr>
        <w:tc>
          <w:tcPr>
            <w:tcW w:type="dxa" w:w="640"/>
          </w:tcPr>
          <w:p>
            <w:pPr>
              <w:pStyle w:val="Index"/>
            </w:pPr>
            <w:r>
              <w:t>S20</w:t>
            </w:r>
          </w:p>
        </w:tc>
        <w:tc>
          <w:tcPr>
            <w:tcW w:type="dxa" w:w="3800"/>
          </w:tcPr>
          <w:p>
            <w:pPr>
              <w:pStyle w:val="Index"/>
            </w:pPr>
            <w:r>
              <w:t>Controlled production release</w:t>
            </w:r>
          </w:p>
        </w:tc>
        <w:tc>
          <w:tcPr>
            <w:tcW w:type="dxa" w:w="4971"/>
          </w:tcPr>
          <w:p>
            <w:pPr>
              <w:pStyle w:val="Index"/>
            </w:pPr>
            <w:r>
              <w:t>G20 + real cycle observations</w:t>
            </w:r>
          </w:p>
        </w:tc>
      </w:tr>
    </w:tbl>
    <w:p>
      <w:pPr>
        <w:pStyle w:val="GuideMeta"/>
      </w:pPr>
      <w:r>
        <w:t>S01–S20 are build stages. T001–T112 are the companion acceptance cases. G01–G20 identify additional immediate checks in this guide.</w:t>
      </w:r>
    </w:p>
    <w:p>
      <w:r>
        <w:br w:type="page"/>
      </w:r>
    </w:p>
    <w:p>
      <w:pPr>
        <w:pStyle w:val="Heading1"/>
      </w:pPr>
      <w:r>
        <w:t>S01 • Establish the test environment and ownership</w:t>
      </w:r>
    </w:p>
    <w:p>
      <w:pPr>
        <w:pStyle w:val="GuideMeta"/>
      </w:pPr>
      <w:r>
        <w:t>Start with: specification §§1–3 and B01. Finish this stage before connecting new automation to any existing business account.</w:t>
      </w:r>
    </w:p>
    <w:p>
      <w:pPr>
        <w:pStyle w:val="GuideSubhead"/>
      </w:pPr>
      <w:r>
        <w:t>Build in this order</w:t>
      </w:r>
    </w:p>
    <w:p>
      <w:pPr>
        <w:pStyle w:val="ListNumber"/>
        <w:numPr>
          <w:ilvl w:val="0"/>
          <w:numId w:val="11"/>
        </w:numPr>
      </w:pPr>
      <w:r>
        <w:t>Create a company-owned project folder, source repository and development Apps Script project. Record owners, recovery contacts and named developer access. The company must retain access when the developer leaves.</w:t>
      </w:r>
    </w:p>
    <w:p>
      <w:pPr>
        <w:pStyle w:val="ListNumber"/>
        <w:numPr>
          <w:ilvl w:val="0"/>
          <w:numId w:val="11"/>
        </w:numPr>
      </w:pPr>
      <w:r>
        <w:t>Create separate development/test Sheets, Drive evidence folders, calendars and AppSheet app. Keep production identifiers in a separate protected configuration. Never use a real customer as the first test job.</w:t>
      </w:r>
    </w:p>
    <w:p>
      <w:pPr>
        <w:pStyle w:val="ListNumber"/>
        <w:numPr>
          <w:ilvl w:val="0"/>
          <w:numId w:val="11"/>
        </w:numPr>
      </w:pPr>
      <w:r>
        <w:t>Set Europe/London for business dates. Choose verified test inboxes and test installer accounts. Configure the outbound adapter to reject every destination outside the test allowlist.</w:t>
      </w:r>
    </w:p>
    <w:p>
      <w:pPr>
        <w:pStyle w:val="ListNumber"/>
        <w:numPr>
          <w:ilvl w:val="0"/>
          <w:numId w:val="11"/>
        </w:numPr>
      </w:pPr>
      <w:r>
        <w:t>Inventory each current Jotform, Zap, calendar, invoice action, GHL action and scaffold sheet. Record trigger, owner, output, current identifiers and intended replacement. Export the current settings.</w:t>
      </w:r>
    </w:p>
    <w:p>
      <w:pPr>
        <w:pStyle w:val="ListNumber"/>
        <w:numPr>
          <w:ilvl w:val="0"/>
          <w:numId w:val="11"/>
        </w:numPr>
      </w:pPr>
      <w:r>
        <w:t>Verify the actual Workspace/AppSheet entitlements and partner-user access using test accounts. Record any connector operation that the subscribed plan cannot perform; agree its implementation path before relying on it.</w:t>
      </w:r>
    </w:p>
    <w:p>
      <w:pPr>
        <w:pStyle w:val="ListNumber"/>
        <w:numPr>
          <w:ilvl w:val="0"/>
          <w:numId w:val="11"/>
        </w:numPr>
      </w:pPr>
      <w:r>
        <w:t>Create the test register and defects log. Create fixture reset/load instructions and a repository location for evidence. Record which data and credentials can be used in each environment.</w:t>
      </w:r>
    </w:p>
    <w:p>
      <w:pPr>
        <w:pStyle w:val="GuideSubhead"/>
      </w:pPr>
      <w:r>
        <w:t>Test immediately • G01</w:t>
      </w:r>
    </w:p>
    <w:p>
      <w:r>
        <w:t>Attempt an email and Calendar invitation to an address outside the test allowlist: both must be refused. Send to an approved test destination and confirm receipt. Confirm a test user cannot open the production data folder. Confirm Ben's company account can access the repository and project inventory.</w:t>
      </w:r>
    </w:p>
    <w:p>
      <w:pPr>
        <w:pStyle w:val="GuideSubhead"/>
      </w:pPr>
      <w:r>
        <w:t>Move on when</w:t>
      </w:r>
    </w:p>
    <w:p>
      <w:r>
        <w:t>The environment is isolated, ownership is recorded and all G01 checks pass. No old live Zap is disabled at this stage.</w:t>
      </w:r>
    </w:p>
    <w:p>
      <w:pPr>
        <w:pStyle w:val="GuideSubhead"/>
      </w:pPr>
      <w:r>
        <w:t>Save as evidence</w:t>
      </w:r>
    </w:p>
    <w:p>
      <w:r>
        <w:t>Environment register, ownership/access screenshots, automation inventory, allowed/blocked send results and initial repository version.</w:t>
      </w:r>
    </w:p>
    <w:p>
      <w:r>
        <w:br w:type="page"/>
      </w:r>
    </w:p>
    <w:p>
      <w:pPr>
        <w:pStyle w:val="Heading1"/>
      </w:pPr>
      <w:r>
        <w:t>S02 • Create tables, keys and configuration</w:t>
      </w:r>
    </w:p>
    <w:p>
      <w:pPr>
        <w:pStyle w:val="GuideMeta"/>
      </w:pPr>
      <w:r>
        <w:t>Start with: S01 passed; specification §4 and §15. These are the table and field definitions to follow.</w:t>
      </w:r>
    </w:p>
    <w:p>
      <w:pPr>
        <w:pStyle w:val="GuideSubhead"/>
      </w:pPr>
      <w:r>
        <w:t>Build in this order</w:t>
      </w:r>
    </w:p>
    <w:p>
      <w:pPr>
        <w:pStyle w:val="ListNumber"/>
        <w:numPr>
          <w:ilvl w:val="0"/>
          <w:numId w:val="12"/>
        </w:numPr>
      </w:pPr>
      <w:r>
        <w:t>Create one structured table per entity in the specification. Include parent IDs and common audit/version fields. Use a schema creation/migration routine so the same structure can be recreated in test and production.</w:t>
      </w:r>
    </w:p>
    <w:p>
      <w:pPr>
        <w:pStyle w:val="ListNumber"/>
        <w:numPr>
          <w:ilvl w:val="0"/>
          <w:numId w:val="12"/>
        </w:numPr>
      </w:pPr>
      <w:r>
        <w:t>Before importing anything, select identifier, telephone, MPAN and postcode columns in Google Sheets and choose Format &gt; Number &gt; Plain text. Set the corresponding AppSheet types explicitly when adding them later.</w:t>
      </w:r>
    </w:p>
    <w:p>
      <w:pPr>
        <w:pStyle w:val="ListNumber"/>
        <w:numPr>
          <w:ilvl w:val="0"/>
          <w:numId w:val="12"/>
        </w:numPr>
      </w:pPr>
      <w:r>
        <w:t>Add People, PermissionRules, Companies and Contacts first. Seed Tanya, Ben and Hannah as roles with verified test logins; seed Greentech/Tom and CEF/Luke with test contacts. Keep missing real addresses visibly unconfigured.</w:t>
      </w:r>
    </w:p>
    <w:p>
      <w:pPr>
        <w:pStyle w:val="ListNumber"/>
        <w:numPr>
          <w:ilvl w:val="0"/>
          <w:numId w:val="12"/>
        </w:numPr>
      </w:pPr>
      <w:r>
        <w:t>Add reference validation and unique-key checks. Use immutable IDs, never row numbers. For jobs, implement the SS-XXXX-XXXX generator with collision retry; keep normal labels as surname/postcode and expose Copy reference in details.</w:t>
      </w:r>
    </w:p>
    <w:p>
      <w:pPr>
        <w:pStyle w:val="ListNumber"/>
        <w:numPr>
          <w:ilvl w:val="0"/>
          <w:numId w:val="12"/>
        </w:numPr>
      </w:pPr>
      <w:r>
        <w:t>Add products P460/P515 and stock locations, task templates, holiday dates, ownership backups and date rules. Keep product models and units separate. Do not reinterpret old 455W/510W fields as current products.</w:t>
      </w:r>
    </w:p>
    <w:p>
      <w:pPr>
        <w:pStyle w:val="ListNumber"/>
        <w:numPr>
          <w:ilvl w:val="0"/>
          <w:numId w:val="12"/>
        </w:numPr>
      </w:pPr>
      <w:r>
        <w:t>Store money in integer pence and distinguish unknown from zero. Create dynamic append/read routines and protect authoritative data and audit columns from ordinary manual edits.</w:t>
      </w:r>
    </w:p>
    <w:p>
      <w:pPr>
        <w:pStyle w:val="ListNumber"/>
        <w:numPr>
          <w:ilvl w:val="0"/>
          <w:numId w:val="12"/>
        </w:numPr>
      </w:pPr>
      <w:r>
        <w:t>Load fixture F0 from document 03 using a repeatable script. Use labelled synthetic data only. Check every child row has an existing parent and every configured login is unique.</w:t>
      </w:r>
    </w:p>
    <w:p>
      <w:pPr>
        <w:pStyle w:val="GuideSubhead"/>
      </w:pPr>
      <w:r>
        <w:t>Test immediately • G02; T002, T003, T012</w:t>
      </w:r>
    </w:p>
    <w:p>
      <w:r>
        <w:t>Force one duplicate generated reference and check retry. Round-trip 01234567890 and 6643426975227540251 exactly as text. Append beyond the initial row range and confirm retrieval. Reject an orphan task and a duplicate key. Complete T003 through the real intake at S05, and rerun T012 against the finished views at S17.</w:t>
      </w:r>
    </w:p>
    <w:p>
      <w:pPr>
        <w:pStyle w:val="GuideSubhead"/>
      </w:pPr>
      <w:r>
        <w:t>Move on when</w:t>
      </w:r>
    </w:p>
    <w:p>
      <w:r>
        <w:t>The schema can be recreated, IDs survive unchanged, invalid references are rejected and row growth cannot overwrite existing data.</w:t>
      </w:r>
    </w:p>
    <w:p>
      <w:pPr>
        <w:pStyle w:val="GuideSubhead"/>
      </w:pPr>
      <w:r>
        <w:t>Save as evidence</w:t>
      </w:r>
    </w:p>
    <w:p>
      <w:r>
        <w:t>Schema/version export, fixture loader, key and text-value assertions, configuration register and remaining real-input list.</w:t>
      </w:r>
    </w:p>
    <w:p>
      <w:r>
        <w:br w:type="page"/>
      </w:r>
    </w:p>
    <w:p>
      <w:pPr>
        <w:pStyle w:val="Heading1"/>
      </w:pPr>
      <w:r>
        <w:t>S03 • Build the processor and recovery foundations</w:t>
      </w:r>
    </w:p>
    <w:p>
      <w:pPr>
        <w:pStyle w:val="GuideMeta"/>
      </w:pPr>
      <w:r>
        <w:t>Start with: S02 passed; specification §3. Keep remote adapters in test/capture mode while proving local changes.</w:t>
      </w:r>
    </w:p>
    <w:p>
      <w:pPr>
        <w:pStyle w:val="GuideSubhead"/>
      </w:pPr>
      <w:r>
        <w:t>Build in this order</w:t>
      </w:r>
    </w:p>
    <w:p>
      <w:pPr>
        <w:pStyle w:val="ListNumber"/>
        <w:numPr>
          <w:ilvl w:val="0"/>
          <w:numId w:val="13"/>
        </w:numPr>
      </w:pPr>
      <w:r>
        <w:t>Separate business functions from storage, clock and external adapters. Implement configuration loading and functions for staffed days, two working days, week boundaries, previous-week Thursday and preceding Friday.</w:t>
      </w:r>
    </w:p>
    <w:p>
      <w:pPr>
        <w:pStyle w:val="ListNumber"/>
        <w:numPr>
          <w:ilvl w:val="0"/>
          <w:numId w:val="13"/>
        </w:numPr>
      </w:pPr>
      <w:r>
        <w:t>Define the command envelope: command ID, source, authenticated actor context, entity ID, expected version, type, payload, submitted time and hash. Preserve a request ID across retries.</w:t>
      </w:r>
    </w:p>
    <w:p>
      <w:pPr>
        <w:pStyle w:val="ListNumber"/>
        <w:numPr>
          <w:ilvl w:val="0"/>
          <w:numId w:val="13"/>
        </w:numPr>
      </w:pPr>
      <w:r>
        <w:t>Implement permission/schema validation, short locks and optimistic version checking. Reject the same command ID with different content; return the original result for identical replays.</w:t>
      </w:r>
    </w:p>
    <w:p>
      <w:pPr>
        <w:pStyle w:val="ListNumber"/>
        <w:numPr>
          <w:ilvl w:val="0"/>
          <w:numId w:val="13"/>
        </w:numPr>
      </w:pPr>
      <w:r>
        <w:t>Implement the Prepared/Applying/Committed/RecoveryRequired journal and deterministic restart recovery. Publish only committed versions to views. Do not hold a lock during a remote call.</w:t>
      </w:r>
    </w:p>
    <w:p>
      <w:pPr>
        <w:pStyle w:val="ListNumber"/>
        <w:numPr>
          <w:ilvl w:val="0"/>
          <w:numId w:val="13"/>
        </w:numPr>
      </w:pPr>
      <w:r>
        <w:t>Add generic task creation keyed by template/entity/episode, immutable audit events and outbox entries. Implement bounded retry, backoff and a NeedsReview state for uncertain sends.</w:t>
      </w:r>
    </w:p>
    <w:p>
      <w:pPr>
        <w:pStyle w:val="ListNumber"/>
        <w:numPr>
          <w:ilvl w:val="0"/>
          <w:numId w:val="13"/>
        </w:numPr>
      </w:pPr>
      <w:r>
        <w:t>Add a five-minute queue worker, daily reconciliation entry point and last-success/queue-age records. Install triggers under the company connection owner. API writes must be discovered by polling, without an onEdit dependency [R1].</w:t>
      </w:r>
    </w:p>
    <w:p>
      <w:pPr>
        <w:pStyle w:val="ListNumber"/>
        <w:numPr>
          <w:ilvl w:val="0"/>
          <w:numId w:val="13"/>
        </w:numPr>
      </w:pPr>
      <w:r>
        <w:t>Add automated tests and fault-injection hooks in test only. Build a reset command that cannot target production. Document how to inspect one command through journal, task and outbox records.</w:t>
      </w:r>
    </w:p>
    <w:p>
      <w:pPr>
        <w:pStyle w:val="GuideSubhead"/>
      </w:pPr>
      <w:r>
        <w:t>Test immediately • T002, T102–T104, T110; G03</w:t>
      </w:r>
    </w:p>
    <w:p>
      <w:r>
        <w:t>Submit one command twice, two stale edits, and interrupted commits before and after row writes. Restart twice: no duplicate effects and no half-committed view. Simulate an uncertain email result: hold it for review. Check Friday/week/holiday calculations around the October clock change. Actual connector recovery is retested at S11/S13/S16.</w:t>
      </w:r>
    </w:p>
    <w:p>
      <w:pPr>
        <w:pStyle w:val="GuideSubhead"/>
      </w:pPr>
      <w:r>
        <w:t>Move on when</w:t>
      </w:r>
    </w:p>
    <w:p>
      <w:r>
        <w:t>Component tests prove replay, concurrency, recovery and date arithmetic. A transaction failure must be resolved before any later feature relies on this processor.</w:t>
      </w:r>
    </w:p>
    <w:p>
      <w:pPr>
        <w:pStyle w:val="GuideSubhead"/>
      </w:pPr>
      <w:r>
        <w:t>Save as evidence</w:t>
      </w:r>
    </w:p>
    <w:p>
      <w:r>
        <w:t>Automated test output, fault/recovery logs, command trace and trigger ownership record.</w:t>
      </w:r>
    </w:p>
    <w:p>
      <w:r>
        <w:br w:type="page"/>
      </w:r>
    </w:p>
    <w:p>
      <w:pPr>
        <w:pStyle w:val="Heading1"/>
      </w:pPr>
      <w:r>
        <w:t>S04 • Prove sign-in and the first AppSheet action</w:t>
      </w:r>
    </w:p>
    <w:p>
      <w:pPr>
        <w:pStyle w:val="GuideMeta"/>
      </w:pPr>
      <w:r>
        <w:t>Start with: S03 passed; specification §3 authentication and §12. Build access control before adding sensitive live records.</w:t>
      </w:r>
    </w:p>
    <w:p>
      <w:pPr>
        <w:pStyle w:val="GuideSubhead"/>
      </w:pPr>
      <w:r>
        <w:t>Build in this order</w:t>
      </w:r>
    </w:p>
    <w:p>
      <w:pPr>
        <w:pStyle w:val="ListNumber"/>
        <w:numPr>
          <w:ilvl w:val="0"/>
          <w:numId w:val="14"/>
        </w:numPr>
      </w:pPr>
      <w:r>
        <w:t>Connect the test AppSheet app to the intended read tables and draft/command-input tables. Set explicit Key, Label, Ref and data types. Keep processor-owned records read-only through ordinary app editing.</w:t>
      </w:r>
    </w:p>
    <w:p>
      <w:pPr>
        <w:pStyle w:val="ListNumber"/>
        <w:numPr>
          <w:ilvl w:val="0"/>
          <w:numId w:val="14"/>
        </w:numPr>
      </w:pPr>
      <w:r>
        <w:t>Require Google sign-in and authorised users. Resolve the signed-in email through People and its active roles. Do not use a shared office login to record who completed work.</w:t>
      </w:r>
    </w:p>
    <w:p>
      <w:pPr>
        <w:pStyle w:val="ListNumber"/>
        <w:numPr>
          <w:ilvl w:val="0"/>
          <w:numId w:val="14"/>
        </w:numPr>
      </w:pPr>
      <w:r>
        <w:t>Configure row security filters for assigned installer jobs and a scaffolder's company, including child tables. In the editor, use Security &gt; Security filters [R2]. Use slices only to organise permitted views.</w:t>
      </w:r>
    </w:p>
    <w:p>
      <w:pPr>
        <w:pStyle w:val="ListNumber"/>
        <w:numPr>
          <w:ilvl w:val="0"/>
          <w:numId w:val="14"/>
        </w:numPr>
      </w:pPr>
      <w:r>
        <w:t>Test evidence-folder/file access separately. Exclude financial and private issue records from installer access. A hidden menu or file link is not proof of restricted access.</w:t>
      </w:r>
    </w:p>
    <w:p>
      <w:pPr>
        <w:pStyle w:val="ListNumber"/>
        <w:numPr>
          <w:ilvl w:val="0"/>
          <w:numId w:val="14"/>
        </w:numPr>
      </w:pPr>
      <w:r>
        <w:t>Build a sample task detail and Complete action that sends a command to the processor. Show Pending, Committed or Failed. Only a committed result may remove the item from the active list.</w:t>
      </w:r>
    </w:p>
    <w:p>
      <w:pPr>
        <w:pStyle w:val="ListNumber"/>
        <w:numPr>
          <w:ilvl w:val="0"/>
          <w:numId w:val="14"/>
        </w:numPr>
      </w:pPr>
      <w:r>
        <w:t>Implement trusted actor capture and service authentication; validate the actor again at the command boundary. A client-editable actor_email or button visibility alone must not authorise a completion.</w:t>
      </w:r>
    </w:p>
    <w:p>
      <w:pPr>
        <w:pStyle w:val="ListNumber"/>
        <w:numPr>
          <w:ilvl w:val="0"/>
          <w:numId w:val="14"/>
        </w:numPr>
      </w:pPr>
      <w:r>
        <w:t>Add My Tasks and an authorised Team view with individual filters. Include an explicit signed-in name and a visible error/retry route.</w:t>
      </w:r>
    </w:p>
    <w:p>
      <w:pPr>
        <w:pStyle w:val="GuideSubhead"/>
      </w:pPr>
      <w:r>
        <w:t>Test immediately • T017, T022, T024, T098–T100; G04</w:t>
      </w:r>
    </w:p>
    <w:p>
      <w:r>
        <w:t>Use separate Tanya, Hannah, installer and scaffolder sessions. Attempt another user's row, private file and a forged Ben approval. Confirm the recorded actor is the initiating person, not the trigger owner. At this stage use seeded tasks and child records; repeat on every finished screen at S17/S18.</w:t>
      </w:r>
    </w:p>
    <w:p>
      <w:pPr>
        <w:pStyle w:val="GuideSubhead"/>
      </w:pPr>
      <w:r>
        <w:t>Move on when</w:t>
      </w:r>
    </w:p>
    <w:p>
      <w:r>
        <w:t>One real app action reaches the processor with correct attribution, and prohibited rows, files and approvals are denied.</w:t>
      </w:r>
    </w:p>
    <w:p>
      <w:pPr>
        <w:pStyle w:val="GuideSubhead"/>
      </w:pPr>
      <w:r>
        <w:t>Save as evidence</w:t>
      </w:r>
    </w:p>
    <w:p>
      <w:r>
        <w:t>Role/action matrix, allow/deny screenshots, authenticated command trace and Mac/phone sign-in results.</w:t>
      </w:r>
    </w:p>
    <w:p>
      <w:r>
        <w:br w:type="page"/>
      </w:r>
    </w:p>
    <w:p>
      <w:pPr>
        <w:pStyle w:val="Heading1"/>
      </w:pPr>
      <w:r>
        <w:t>S05 • Import Job Sold and Job Booking responses</w:t>
      </w:r>
    </w:p>
    <w:p>
      <w:pPr>
        <w:pStyle w:val="GuideMeta"/>
      </w:pPr>
      <w:r>
        <w:t>Start with: S04 passed; specification §5 and the two form URLs in §14. Use newly created intake tables.</w:t>
      </w:r>
    </w:p>
    <w:p>
      <w:pPr>
        <w:pStyle w:val="GuideSubhead"/>
      </w:pPr>
      <w:r>
        <w:t>Build in this order</w:t>
      </w:r>
    </w:p>
    <w:p>
      <w:pPr>
        <w:pStyle w:val="ListNumber"/>
        <w:numPr>
          <w:ilvl w:val="0"/>
          <w:numId w:val="15"/>
        </w:numPr>
      </w:pPr>
      <w:r>
        <w:t>Export current Jotform question IDs and representative test submissions. Create the mapping register with source ID, label, destination, type, transformation, required condition and retired/retained decision.</w:t>
      </w:r>
    </w:p>
    <w:p>
      <w:pPr>
        <w:pStyle w:val="ListNumber"/>
        <w:numPr>
          <w:ilvl w:val="0"/>
          <w:numId w:val="15"/>
        </w:numPr>
      </w:pPr>
      <w:r>
        <w:t>Create a new Job Sold Zap that writes selected response fields plus form/submission IDs and source revision into raw intake. Preserve original strings and source payload or evidence reference.</w:t>
      </w:r>
    </w:p>
    <w:p>
      <w:pPr>
        <w:pStyle w:val="ListNumber"/>
        <w:numPr>
          <w:ilvl w:val="0"/>
          <w:numId w:val="15"/>
        </w:numPr>
      </w:pPr>
      <w:r>
        <w:t>Create a separate Job Booking Zap with the copied internal job reference. Import only form responses; do not read the old helper tabs or spreadsheet formulas.</w:t>
      </w:r>
    </w:p>
    <w:p>
      <w:pPr>
        <w:pStyle w:val="ListNumber"/>
        <w:numPr>
          <w:ilvl w:val="0"/>
          <w:numId w:val="15"/>
        </w:numPr>
      </w:pPr>
      <w:r>
        <w:t>Process Sold into one job and associated preliminary tasks/requests. Process Booking as a link/proposed update to that job. Blank or unknown references go to Intake Review, with an owner and explanation.</w:t>
      </w:r>
    </w:p>
    <w:p>
      <w:pPr>
        <w:pStyle w:val="ListNumber"/>
        <w:numPr>
          <w:ilvl w:val="0"/>
          <w:numId w:val="15"/>
        </w:numPr>
      </w:pPr>
      <w:r>
        <w:t>Add value/contact proposals, spreadsheet-error rejection, duplicate-label handling by question ID, obsolete-product checks and component-total reconciliation. Never silently choose a matching surname/postcode.</w:t>
      </w:r>
    </w:p>
    <w:p>
      <w:pPr>
        <w:pStyle w:val="ListNumber"/>
        <w:numPr>
          <w:ilvl w:val="0"/>
          <w:numId w:val="15"/>
        </w:numPr>
      </w:pPr>
      <w:r>
        <w:t>Make corrected submissions create a review revision. Add Retry after correction without repeating completed tasks. Build an Intake Review app screen showing original value, proposed value and resolution history.</w:t>
      </w:r>
    </w:p>
    <w:p>
      <w:pPr>
        <w:pStyle w:val="ListNumber"/>
        <w:numPr>
          <w:ilvl w:val="0"/>
          <w:numId w:val="15"/>
        </w:numPr>
      </w:pPr>
      <w:r>
        <w:t>Write a test response through the actual Zap/API and wait for polling to process it. Temporarily suppress any optional wake-up call to prove polling is sufficient.</w:t>
      </w:r>
    </w:p>
    <w:p>
      <w:pPr>
        <w:pStyle w:val="GuideSubhead"/>
      </w:pPr>
      <w:r>
        <w:t>Test immediately • T001–T012, T101</w:t>
      </w:r>
    </w:p>
    <w:p>
      <w:r>
        <w:t>Run the intake cases now. For T005, prove the review record now and complete its controlled date-change assertions at S11. For T007, prove the mismatch now and complete the booking-block assertions at S06. T004 checks one invoice request now; real invoice uniqueness is checked at S13. Preserve these separate results in the register.</w:t>
      </w:r>
    </w:p>
    <w:p>
      <w:pPr>
        <w:pStyle w:val="GuideSubhead"/>
      </w:pPr>
      <w:r>
        <w:t>Move on when</w:t>
      </w:r>
    </w:p>
    <w:p>
      <w:r>
        <w:t>Valid Sold/Booking responses import once, invalid responses remain reviewable, identifiers remain exact and API-written rows are reliably discovered.</w:t>
      </w:r>
    </w:p>
    <w:p>
      <w:pPr>
        <w:pStyle w:val="GuideSubhead"/>
      </w:pPr>
      <w:r>
        <w:t>Save as evidence</w:t>
      </w:r>
    </w:p>
    <w:p>
      <w:r>
        <w:t>Zap exports, current mapping register, sample payloads, intake-to-job traces and visible review cases.</w:t>
      </w:r>
    </w:p>
    <w:p>
      <w:r>
        <w:br w:type="page"/>
      </w:r>
    </w:p>
    <w:p>
      <w:pPr>
        <w:pStyle w:val="Heading1"/>
      </w:pPr>
      <w:r>
        <w:t>S06 • Build booking gates and the task workspace</w:t>
      </w:r>
    </w:p>
    <w:p>
      <w:pPr>
        <w:pStyle w:val="GuideMeta"/>
      </w:pPr>
      <w:r>
        <w:t>Start with: S05 passed; specification §6 and task catalogue. Manual §§2–4 supplies the expected office journey.</w:t>
      </w:r>
    </w:p>
    <w:p>
      <w:pPr>
        <w:pStyle w:val="GuideSubhead"/>
      </w:pPr>
      <w:r>
        <w:t>Build in this order</w:t>
      </w:r>
    </w:p>
    <w:p>
      <w:pPr>
        <w:pStyle w:val="ListNumber"/>
        <w:numPr>
          <w:ilvl w:val="0"/>
          <w:numId w:val="16"/>
        </w:numPr>
      </w:pPr>
      <w:r>
        <w:t>Load PRE01–PRE05 and BKG01–BKG05 as versioned task templates. Implement ReadyToBook from signed contract, Ben's bank check or approved finance route, customer check and sold/presale value check.</w:t>
      </w:r>
    </w:p>
    <w:p>
      <w:pPr>
        <w:pStyle w:val="ListNumber"/>
        <w:numPr>
          <w:ilvl w:val="0"/>
          <w:numId w:val="16"/>
        </w:numPr>
      </w:pPr>
      <w:r>
        <w:t>Allow booking preparation and intake before final approval. Block Confirm Booking if sold/booking values conflict without an authorised resolution. Preserve original contract values and evidence.</w:t>
      </w:r>
    </w:p>
    <w:p>
      <w:pPr>
        <w:pStyle w:val="ListNumber"/>
        <w:numPr>
          <w:ilvl w:val="0"/>
          <w:numId w:val="16"/>
        </w:numPr>
      </w:pPr>
      <w:r>
        <w:t>Implement each booking checklist item from the supplied Tanya sheets, including survey/design, extras, board capacity, customer date agreement, second installers and pack checks. Record prior paper completion without pretending it was entered at that historical time.</w:t>
      </w:r>
    </w:p>
    <w:p>
      <w:pPr>
        <w:pStyle w:val="ListNumber"/>
        <w:numPr>
          <w:ilvl w:val="0"/>
          <w:numId w:val="16"/>
        </w:numPr>
      </w:pPr>
      <w:r>
        <w:t>Add WorkPackages and Allocations with required-trade flags, planned dates and persons. Make package dates authoritative. Build basic date-change commands and impact events that later adapters will consume.</w:t>
      </w:r>
    </w:p>
    <w:p>
      <w:pPr>
        <w:pStyle w:val="ListNumber"/>
        <w:numPr>
          <w:ilvl w:val="0"/>
          <w:numId w:val="16"/>
        </w:numPr>
      </w:pPr>
      <w:r>
        <w:t>Build grouped task details, Complete, Waiting, Reopen and authorised NotRequired. Validate outcome/evidence and next follow-up. Complete only the selected task; preserve history when it leaves the active list.</w:t>
      </w:r>
    </w:p>
    <w:p>
      <w:pPr>
        <w:pStyle w:val="ListNumber"/>
        <w:numPr>
          <w:ilvl w:val="0"/>
          <w:numId w:val="16"/>
        </w:numPr>
      </w:pPr>
      <w:r>
        <w:t>Implement BookingInProgress/Booked/Upcoming views. Permit later work only with owner and due date. Add Today, Overdue, Tomorrow and Next 7 Days; retain original overdue dates.</w:t>
      </w:r>
    </w:p>
    <w:p>
      <w:pPr>
        <w:pStyle w:val="ListNumber"/>
        <w:numPr>
          <w:ilvl w:val="0"/>
          <w:numId w:val="16"/>
        </w:numPr>
      </w:pPr>
      <w:r>
        <w:t>Add age colours plus text, threshold escalation, unowned-work checks and a no-next-action watchdog. A valid future installation is a next milestone, not a forgotten job.</w:t>
      </w:r>
    </w:p>
    <w:p>
      <w:pPr>
        <w:pStyle w:val="GuideSubhead"/>
      </w:pPr>
      <w:r>
        <w:t>Test immediately • T007, T013–T025</w:t>
      </w:r>
    </w:p>
    <w:p>
      <w:r>
        <w:t>Run all booking/task cases using test contract and bank evidence. For T018, implement the NoAnswer attempt record now; repeat through the complete call workflow at S10. Advance the test clock through three and five working days: one escalation per episode. Tanya should complete one task, defer another and find both histories.</w:t>
      </w:r>
    </w:p>
    <w:p>
      <w:pPr>
        <w:pStyle w:val="GuideSubhead"/>
      </w:pPr>
      <w:r>
        <w:t>Move on when</w:t>
      </w:r>
    </w:p>
    <w:p>
      <w:r>
        <w:t>Booking prerequisites cannot be bypassed and every unfinished item has a visible owner, due date or blocked reason. No task disappears merely because its due date passed.</w:t>
      </w:r>
    </w:p>
    <w:p>
      <w:pPr>
        <w:pStyle w:val="GuideSubhead"/>
      </w:pPr>
      <w:r>
        <w:t>Save as evidence</w:t>
      </w:r>
    </w:p>
    <w:p>
      <w:r>
        <w:t>Booking gate assertions, seeded template export and a short Tanya booking/task walkthrough.</w:t>
      </w:r>
    </w:p>
    <w:p>
      <w:r>
        <w:br w:type="page"/>
      </w:r>
    </w:p>
    <w:p>
      <w:pPr>
        <w:pStyle w:val="Heading1"/>
      </w:pPr>
      <w:r>
        <w:t>S07 • Build ordering and merchant communications</w:t>
      </w:r>
    </w:p>
    <w:p>
      <w:pPr>
        <w:pStyle w:val="GuideMeta"/>
      </w:pPr>
      <w:r>
        <w:t>Start with: S06 passed; specification §8 and MAT01–MAT06. Test recipients remain allowlisted.</w:t>
      </w:r>
    </w:p>
    <w:p>
      <w:pPr>
        <w:pStyle w:val="GuideSubhead"/>
      </w:pPr>
      <w:r>
        <w:t>Build in this order</w:t>
      </w:r>
    </w:p>
    <w:p>
      <w:pPr>
        <w:pStyle w:val="ListNumber"/>
        <w:numPr>
          <w:ilvl w:val="0"/>
          <w:numId w:val="17"/>
        </w:numPr>
      </w:pPr>
      <w:r>
        <w:t>Create material-entry actions with product, quantity, unit, need-by date, work package and source. Provide ToOrder, AlreadyOrdered and Stock; Other requires description and the same ordering essentials.</w:t>
      </w:r>
    </w:p>
    <w:p>
      <w:pPr>
        <w:pStyle w:val="ListNumber"/>
        <w:numPr>
          <w:ilvl w:val="0"/>
          <w:numId w:val="17"/>
        </w:numPr>
      </w:pPr>
      <w:r>
        <w:t>Generate separate roofing and electrical order batches. Calculate Thursday in the week before each package's work week; flag lead-time risk. An AlreadyOrdered line creates verification, not a second order.</w:t>
      </w:r>
    </w:p>
    <w:p>
      <w:pPr>
        <w:pStyle w:val="ListNumber"/>
        <w:numPr>
          <w:ilvl w:val="0"/>
          <w:numId w:val="17"/>
        </w:numPr>
      </w:pPr>
      <w:r>
        <w:t>Add order review/send, immutable sent snapshots, supplier reference and requested/confirmed/received states. Connect the mail adapter only to test inboxes and record exact recipients and content.</w:t>
      </w:r>
    </w:p>
    <w:p>
      <w:pPr>
        <w:pStyle w:val="ListNumber"/>
        <w:numPr>
          <w:ilvl w:val="0"/>
          <w:numId w:val="17"/>
        </w:numPr>
      </w:pPr>
      <w:r>
        <w:t>Build Friday expected-delivery lists grouped by merchant. Include customer/postcode, work type and exact Thursday. Create Tanya's acknowledgement task against the sent revision.</w:t>
      </w:r>
    </w:p>
    <w:p>
      <w:pPr>
        <w:pStyle w:val="ListNumber"/>
        <w:numPr>
          <w:ilvl w:val="0"/>
          <w:numId w:val="17"/>
        </w:numPr>
      </w:pPr>
      <w:r>
        <w:t>Consume date/quantity-change events from S06. Produce a preview of the old Thursday and the new requirement. After a list is sent, issue an urgent amendment when appropriate and invalidate the old confirmation for the new revision.</w:t>
      </w:r>
    </w:p>
    <w:p>
      <w:pPr>
        <w:pStyle w:val="ListNumber"/>
        <w:numPr>
          <w:ilvl w:val="0"/>
          <w:numId w:val="17"/>
        </w:numPr>
      </w:pPr>
      <w:r>
        <w:t>Make Wednesday-before-Thursday changes create a same-day Tanya confirmation task. Retain stale replies but prevent them confirming the latest revision. Already-dispatched goods create hold/receive/return follow-ups.</w:t>
      </w:r>
    </w:p>
    <w:p>
      <w:pPr>
        <w:pStyle w:val="ListNumber"/>
        <w:numPr>
          <w:ilvl w:val="0"/>
          <w:numId w:val="17"/>
        </w:numPr>
      </w:pPr>
      <w:r>
        <w:t>Add partial/early receipt records and a Coming Up view. Link receipts to order lines; the stock movements themselves are completed at S08. Preserve outstanding quantity and actual receipt date.</w:t>
      </w:r>
    </w:p>
    <w:p>
      <w:pPr>
        <w:pStyle w:val="GuideSubhead"/>
      </w:pPr>
      <w:r>
        <w:t>Test immediately • T037–T047</w:t>
      </w:r>
    </w:p>
    <w:p>
      <w:r>
        <w:t>Use A: roof 4 November gives delivery 29 October and Friday list 23 October; electrical 16 November gives delivery 12 November and list 6 November. On 28 October change the roof date after the first list: verify urgent revision and Tanya's open confirmation task. Repeat the integrated Move Job path at S11.</w:t>
      </w:r>
    </w:p>
    <w:p>
      <w:pPr>
        <w:pStyle w:val="GuideSubhead"/>
      </w:pPr>
      <w:r>
        <w:t>Move on when</w:t>
      </w:r>
    </w:p>
    <w:p>
      <w:r>
        <w:t>Test inboxes receive separate correct requests, latest-revision confirmation is enforced, and partial/early/dispatched situations retain actions.</w:t>
      </w:r>
    </w:p>
    <w:p>
      <w:pPr>
        <w:pStyle w:val="GuideSubhead"/>
      </w:pPr>
      <w:r>
        <w:t>Save as evidence</w:t>
      </w:r>
    </w:p>
    <w:p>
      <w:r>
        <w:t>Two work-type order snapshots, Friday emails, urgent amendment, stale/latest acknowledgement results and receipt balance checks.</w:t>
      </w:r>
    </w:p>
    <w:p>
      <w:r>
        <w:br w:type="page"/>
      </w:r>
    </w:p>
    <w:p>
      <w:pPr>
        <w:pStyle w:val="Heading1"/>
      </w:pPr>
      <w:r>
        <w:t>S08 • Build picking and the panel stock ledger</w:t>
      </w:r>
    </w:p>
    <w:p>
      <w:pPr>
        <w:pStyle w:val="GuideMeta"/>
      </w:pPr>
      <w:r>
        <w:t>Start with: S07 passed; specification §8 panel rules and manual §8. Use the Stock test fixture exactly.</w:t>
      </w:r>
    </w:p>
    <w:p>
      <w:pPr>
        <w:pStyle w:val="GuideSubhead"/>
      </w:pPr>
      <w:r>
        <w:t>Build in this order</w:t>
      </w:r>
    </w:p>
    <w:p>
      <w:pPr>
        <w:pStyle w:val="ListNumber"/>
        <w:numPr>
          <w:ilvl w:val="0"/>
          <w:numId w:val="18"/>
        </w:numPr>
      </w:pPr>
      <w:r>
        <w:t>Implement immutable Opening, Receipt, Issue, Install, Return, Damage, SupplierReturn, Disposal and Adjustment movements, with source/destination location, product, quantity and idempotency key.</w:t>
      </w:r>
    </w:p>
    <w:p>
      <w:pPr>
        <w:pStyle w:val="ListNumber"/>
        <w:numPr>
          <w:ilvl w:val="0"/>
          <w:numId w:val="18"/>
        </w:numPr>
      </w:pPr>
      <w:r>
        <w:t>Connect good receipts to usable store stock and damaged receipts to quarantine. Link movements to delivery notes and receipt lines; a replay must not add them again.</w:t>
      </w:r>
    </w:p>
    <w:p>
      <w:pPr>
        <w:pStyle w:val="ListNumber"/>
        <w:numPr>
          <w:ilvl w:val="0"/>
          <w:numId w:val="18"/>
        </w:numPr>
      </w:pPr>
      <w:r>
        <w:t>Add reserve and pick actions. Picking keeps goods in the store and reserved. Issue transfers them to the job site and consumes the reservation; never subtract stock at both stages.</w:t>
      </w:r>
    </w:p>
    <w:p>
      <w:pPr>
        <w:pStyle w:val="ListNumber"/>
        <w:numPr>
          <w:ilvl w:val="0"/>
          <w:numId w:val="18"/>
        </w:numPr>
      </w:pPr>
      <w:r>
        <w:t>Add roofing counts and photos for issued, installed, unused, defective and broken panels. Accept installed quantities into Installed; return inspected unused panels to Store and broken panels to Quarantine.</w:t>
      </w:r>
    </w:p>
    <w:p>
      <w:pPr>
        <w:pStyle w:val="ListNumber"/>
        <w:numPr>
          <w:ilvl w:val="0"/>
          <w:numId w:val="18"/>
        </w:numPr>
      </w:pPr>
      <w:r>
        <w:t>Build This Week, Coming Up and Pick by Job screens with quantities still needed. Early arrivals can be received for future jobs without making those jobs complete.</w:t>
      </w:r>
    </w:p>
    <w:p>
      <w:pPr>
        <w:pStyle w:val="ListNumber"/>
        <w:numPr>
          <w:ilvl w:val="0"/>
          <w:numId w:val="18"/>
        </w:numPr>
      </w:pPr>
      <w:r>
        <w:t>Build Friday Panel Usage for the next two full weeks, separated into 460W/515W and weekly/combined totals. Count job material requirements once; show actual stock separately. Do not turn this into an automatic shortfall order.</w:t>
      </w:r>
    </w:p>
    <w:p>
      <w:pPr>
        <w:pStyle w:val="ListNumber"/>
        <w:numPr>
          <w:ilvl w:val="0"/>
          <w:numId w:val="18"/>
        </w:numPr>
      </w:pPr>
      <w:r>
        <w:t>Add a stocktake with a fixed cut-off, discrepancy reason and approved adjustment. Protect simultaneous receipts/issues from double counting and prevent ordinary actions issuing unavailable stock.</w:t>
      </w:r>
    </w:p>
    <w:p>
      <w:pPr>
        <w:pStyle w:val="GuideSubhead"/>
      </w:pPr>
      <w:r>
        <w:t>Test immediately • T048–T058</w:t>
      </w:r>
    </w:p>
    <w:p>
      <w:r>
        <w:t>Run T048–T051 as the stated chain: opening 100; receive 40 good/2 broken; pick/issue 30; install 28, break 1, return 1. Store 111, Installed 28, Quarantine 3, SiteA 0. Then T052 returns two broken panels to the supplier, leaving Quarantine 1. Run concurrency and stocktake cases separately. Forecast must show combined 40 of P460 and 35 of P515 before the move/cancel case.</w:t>
      </w:r>
    </w:p>
    <w:p>
      <w:pPr>
        <w:pStyle w:val="GuideSubhead"/>
      </w:pPr>
      <w:r>
        <w:t>Move on when</w:t>
      </w:r>
    </w:p>
    <w:p>
      <w:r>
        <w:t>Every quantity reconciles, retries change nothing twice, and future demand stays separate from actual physical stock. Recheck T057 through full cancellation at S15.</w:t>
      </w:r>
    </w:p>
    <w:p>
      <w:pPr>
        <w:pStyle w:val="GuideSubhead"/>
      </w:pPr>
      <w:r>
        <w:t>Save as evidence</w:t>
      </w:r>
    </w:p>
    <w:p>
      <w:r>
        <w:t>Ledger reconciliation, stocktake report, concurrent issue result and two-week forecast screenshots.</w:t>
      </w:r>
    </w:p>
    <w:p>
      <w:r>
        <w:br w:type="page"/>
      </w:r>
    </w:p>
    <w:p>
      <w:pPr>
        <w:pStyle w:val="Heading1"/>
      </w:pPr>
      <w:r>
        <w:t>S09 • Integrate scaffold booking and complaints</w:t>
      </w:r>
    </w:p>
    <w:p>
      <w:pPr>
        <w:pStyle w:val="GuideMeta"/>
      </w:pPr>
      <w:r>
        <w:t>Start with: S08 passed; specification §9 and SCA01–SCA05. Keep the existing live scaffold sheet in use until S19/S20 cutover.</w:t>
      </w:r>
    </w:p>
    <w:p>
      <w:pPr>
        <w:pStyle w:val="GuideSubhead"/>
      </w:pPr>
      <w:r>
        <w:t>Build in this order</w:t>
      </w:r>
    </w:p>
    <w:p>
      <w:pPr>
        <w:pStyle w:val="ListNumber"/>
        <w:numPr>
          <w:ilvl w:val="0"/>
          <w:numId w:val="19"/>
        </w:numPr>
      </w:pPr>
      <w:r>
        <w:t>Create ScaffoldBookings with erect/strip dates, company, scope, access notes, costs and distinct planned/confirmed/actual states. Prepare an import mapping from the separate scaffold sheet using internal job references.</w:t>
      </w:r>
    </w:p>
    <w:p>
      <w:pPr>
        <w:pStyle w:val="ListNumber"/>
        <w:numPr>
          <w:ilvl w:val="0"/>
          <w:numId w:val="19"/>
        </w:numPr>
      </w:pPr>
      <w:r>
        <w:t>Build notify/confirm actions and company-specific Friday lists showing next week's erects and authorised strips. Store sent content and acknowledgements by revision.</w:t>
      </w:r>
    </w:p>
    <w:p>
      <w:pPr>
        <w:pStyle w:val="ListNumber"/>
        <w:numPr>
          <w:ilvl w:val="0"/>
          <w:numId w:val="19"/>
        </w:numPr>
      </w:pPr>
      <w:r>
        <w:t>Implement the strip-authorisation gate using required work/customer checks. Keep provisional strip forecasts office-only until authorised; do not send them as firm instructions.</w:t>
      </w:r>
    </w:p>
    <w:p>
      <w:pPr>
        <w:pStyle w:val="ListNumber"/>
        <w:numPr>
          <w:ilvl w:val="0"/>
          <w:numId w:val="19"/>
        </w:numPr>
      </w:pPr>
      <w:r>
        <w:t>Record actual erection/removal separately. Missing actual completion after the planned date creates Tanya's chase task. Moving a scaffold activity creates a new instruction/confirmation revision.</w:t>
      </w:r>
    </w:p>
    <w:p>
      <w:pPr>
        <w:pStyle w:val="ListNumber"/>
        <w:numPr>
          <w:ilvl w:val="0"/>
          <w:numId w:val="19"/>
        </w:numPr>
      </w:pPr>
      <w:r>
        <w:t>Add scaffold complaint entry into Issues with company, category, evidence, owner, due date and flags. An actual strip must not close a complaint automatically.</w:t>
      </w:r>
    </w:p>
    <w:p>
      <w:pPr>
        <w:pStyle w:val="ListNumber"/>
        <w:numPr>
          <w:ilvl w:val="0"/>
          <w:numId w:val="19"/>
        </w:numPr>
      </w:pPr>
      <w:r>
        <w:t>Implement the chosen external access route: company-restricted AppSheet view or controlled messages/acknowledgement form. Validate trusted identity/token scope for that route and protect files and child notes.</w:t>
      </w:r>
    </w:p>
    <w:p>
      <w:pPr>
        <w:pStyle w:val="ListNumber"/>
        <w:numPr>
          <w:ilvl w:val="0"/>
          <w:numId w:val="19"/>
        </w:numPr>
      </w:pPr>
      <w:r>
        <w:t>Import a synthetic sample of erects, provisional strips and overdue strips, then reconcile source and target row counts and dates. Document unmatched rows for office review.</w:t>
      </w:r>
    </w:p>
    <w:p>
      <w:pPr>
        <w:pStyle w:val="GuideSubhead"/>
      </w:pPr>
      <w:r>
        <w:t>Test immediately • T059–T063; repeat T099</w:t>
      </w:r>
    </w:p>
    <w:p>
      <w:r>
        <w:t>Send different test lists for Alpha and Beta. Confirm the unauthorised strip stays office-only. Accept revision 1, move the date, and show revision 2 still needs acknowledgement. Enter a damage complaint and mark scaffold removed: the complaint remains open. Advance a missed strip past its date and find Tanya's chase.</w:t>
      </w:r>
    </w:p>
    <w:p>
      <w:pPr>
        <w:pStyle w:val="GuideSubhead"/>
      </w:pPr>
      <w:r>
        <w:t>Move on when</w:t>
      </w:r>
    </w:p>
    <w:p>
      <w:r>
        <w:t>Erects, authorised strips and unresolved complaints stay distinct, latest dates are confirmed and each partner can access only its own permitted records.</w:t>
      </w:r>
    </w:p>
    <w:p>
      <w:pPr>
        <w:pStyle w:val="GuideSubhead"/>
      </w:pPr>
      <w:r>
        <w:t>Save as evidence</w:t>
      </w:r>
    </w:p>
    <w:p>
      <w:r>
        <w:t>Import reconciliation, two company lists, strip gate checks, access-denial evidence and open complaint after strip.</w:t>
      </w:r>
    </w:p>
    <w:p>
      <w:r>
        <w:br w:type="page"/>
      </w:r>
    </w:p>
    <w:p>
      <w:pPr>
        <w:pStyle w:val="Heading1"/>
      </w:pPr>
      <w:r>
        <w:t>S10 • Build installer calls, issues and completion</w:t>
      </w:r>
    </w:p>
    <w:p>
      <w:pPr>
        <w:pStyle w:val="GuideMeta"/>
      </w:pPr>
      <w:r>
        <w:t>Start with: S09 passed; specification §6/§9 and manual §10. Use sample commissioning statuses until the capture screens arrive at S12.</w:t>
      </w:r>
    </w:p>
    <w:p>
      <w:pPr>
        <w:pStyle w:val="GuideSubhead"/>
      </w:pPr>
      <w:r>
        <w:t>Build in this order</w:t>
      </w:r>
    </w:p>
    <w:p>
      <w:pPr>
        <w:pStyle w:val="ListNumber"/>
        <w:numPr>
          <w:ilvl w:val="0"/>
          <w:numId w:val="20"/>
        </w:numPr>
      </w:pPr>
      <w:r>
        <w:t>Generate one installer confirmation call for each required package on the next staffed day after planned end or reported completion. A planned date creates a call, never a false completed-work flag.</w:t>
      </w:r>
    </w:p>
    <w:p>
      <w:pPr>
        <w:pStyle w:val="ListNumber"/>
        <w:numPr>
          <w:ilvl w:val="0"/>
          <w:numId w:val="20"/>
        </w:numPr>
      </w:pPr>
      <w:r>
        <w:t>Add Record Call with person, attempt timestamp, outcome, notes and next attempt. NoAnswer leaves the main task open. Confirm only the required trade/package actually completed.</w:t>
      </w:r>
    </w:p>
    <w:p>
      <w:pPr>
        <w:pStyle w:val="ListNumber"/>
        <w:numPr>
          <w:ilvl w:val="0"/>
          <w:numId w:val="20"/>
        </w:numPr>
      </w:pPr>
      <w:r>
        <w:t>Implement the customer-call dependency on all required installer confirmations. Record happy, unhappy or no answer separately. Unhappy creates/links a complaint and follow-up.</w:t>
      </w:r>
    </w:p>
    <w:p>
      <w:pPr>
        <w:pStyle w:val="ListNumber"/>
        <w:numPr>
          <w:ilvl w:val="0"/>
          <w:numId w:val="20"/>
        </w:numPr>
      </w:pPr>
      <w:r>
        <w:t>For ReturnRequired/90% complete, create a remedial plus Tanya's customer date-booking task. Link a return package to the original work and retain the original installer's responsibility and evidence.</w:t>
      </w:r>
    </w:p>
    <w:p>
      <w:pPr>
        <w:pStyle w:val="ListNumber"/>
        <w:numPr>
          <w:ilvl w:val="0"/>
          <w:numId w:val="20"/>
        </w:numPr>
      </w:pPr>
      <w:r>
        <w:t>Build issue ownership, variation notification to Hannah, approvals, resolution evidence and controlled closure/reopen. Preserve original raised dates and each closure episode.</w:t>
      </w:r>
    </w:p>
    <w:p>
      <w:pPr>
        <w:pStyle w:val="ListNumber"/>
        <w:numPr>
          <w:ilvl w:val="0"/>
          <w:numId w:val="20"/>
        </w:numPr>
      </w:pPr>
      <w:r>
        <w:t>Add all-installer missing-form reminders at two working days, holiday-aware. Keep submitted/rejected/accepted states separate; corrections need their own follow-up rather than a fake received tick.</w:t>
      </w:r>
    </w:p>
    <w:p>
      <w:pPr>
        <w:pStyle w:val="ListNumber"/>
        <w:numPr>
          <w:ilvl w:val="0"/>
          <w:numId w:val="20"/>
        </w:numPr>
      </w:pPr>
      <w:r>
        <w:t>Implement Tanya's OperationallyComplete action: required work confirmed, required evidence accepted, customer happy and blockers resolved. Unpaid balance, handover and scaffold strip tasks remain visible where still outstanding.</w:t>
      </w:r>
    </w:p>
    <w:p>
      <w:pPr>
        <w:pStyle w:val="GuideSubhead"/>
      </w:pPr>
      <w:r>
        <w:t>Test immediately • T018, T064–T069, T074, T075, T077</w:t>
      </w:r>
    </w:p>
    <w:p>
      <w:r>
        <w:t>Complete work on Friday 6 November: call due Monday 9 November and missing-form reminders Tuesday 10 November. With Monday set as a holiday, the two-working-day reminder becomes Wednesday 11 November. Run roof-only, electrical-only, unhappy and return-visit paths. Check operational completion while final cash and actual strip are still outstanding.</w:t>
      </w:r>
    </w:p>
    <w:p>
      <w:pPr>
        <w:pStyle w:val="GuideSubhead"/>
      </w:pPr>
      <w:r>
        <w:t>Move on when</w:t>
      </w:r>
    </w:p>
    <w:p>
      <w:r>
        <w:t>Actual outcomes control progress and unresolved calls/issues/remedials remain actionable. Seeded form acceptance proves the gate only; real evidence submission/review is tested at S12.</w:t>
      </w:r>
    </w:p>
    <w:p>
      <w:pPr>
        <w:pStyle w:val="GuideSubhead"/>
      </w:pPr>
      <w:r>
        <w:t>Save as evidence</w:t>
      </w:r>
    </w:p>
    <w:p>
      <w:r>
        <w:t>Call/issue history, clock-test output, return-package link and completion-gate results.</w:t>
      </w:r>
    </w:p>
    <w:p>
      <w:r>
        <w:br w:type="page"/>
      </w:r>
    </w:p>
    <w:p>
      <w:pPr>
        <w:pStyle w:val="Heading1"/>
      </w:pPr>
      <w:r>
        <w:t>S11 • Finish planners, date changes and Calendar</w:t>
      </w:r>
    </w:p>
    <w:p>
      <w:pPr>
        <w:pStyle w:val="GuideMeta"/>
      </w:pPr>
      <w:r>
        <w:t>Start with: S10 passed; specification §7, §12 and §15 CalendarLinks. Manual §§5–6 supplies the move/reassignment journey.</w:t>
      </w:r>
    </w:p>
    <w:p>
      <w:pPr>
        <w:pStyle w:val="GuideSubhead"/>
      </w:pPr>
      <w:r>
        <w:t>Build in this order</w:t>
      </w:r>
    </w:p>
    <w:p>
      <w:pPr>
        <w:pStyle w:val="ListNumber"/>
        <w:numPr>
          <w:ilvl w:val="0"/>
          <w:numId w:val="21"/>
        </w:numPr>
      </w:pPr>
      <w:r>
        <w:t>Build rolling 3-week and 6-week planners from committed packages/allocations. Add week navigation, multi-day work, multiple jobs and weekend visibility. Make capacity warnings optional and per person/team.</w:t>
      </w:r>
    </w:p>
    <w:p>
      <w:pPr>
        <w:pStyle w:val="ListNumber"/>
        <w:numPr>
          <w:ilvl w:val="0"/>
          <w:numId w:val="21"/>
        </w:numPr>
      </w:pPr>
      <w:r>
        <w:t>Complete Move Job: select affected packages, enter dates/reason and preview changes to materials, merchant delivery, scaffold, customer messages, stock reservations, calls and invoice timing. Do not move every trade automatically.</w:t>
      </w:r>
    </w:p>
    <w:p>
      <w:pPr>
        <w:pStyle w:val="ListNumber"/>
        <w:numPr>
          <w:ilvl w:val="0"/>
          <w:numId w:val="21"/>
        </w:numPr>
      </w:pPr>
      <w:r>
        <w:t>Implement Change Installer and Add Installer separately. Cancel old future allocation, create its replacement and preserve historic work/form obligations. A second installer must not double material demand.</w:t>
      </w:r>
    </w:p>
    <w:p>
      <w:pPr>
        <w:pStyle w:val="ListNumber"/>
        <w:numPr>
          <w:ilvl w:val="0"/>
          <w:numId w:val="21"/>
        </w:numPr>
      </w:pPr>
      <w:r>
        <w:t>Choose and document one Calendar ownership model. Connect the test adapter; save calendar ID and event ID separately. Use verified guests, readable surname/postcode titles, dates, full address, relevant notes and document links.</w:t>
      </w:r>
    </w:p>
    <w:p>
      <w:pPr>
        <w:pStyle w:val="ListNumber"/>
        <w:numPr>
          <w:ilvl w:val="0"/>
          <w:numId w:val="21"/>
        </w:numPr>
      </w:pPr>
      <w:r>
        <w:t>Implement create/update/cancel reconciliation, guest removal and new guest invitation. Reuse existing event IDs. A manual Calendar edit creates a discrepancy for office review rather than silently moving the job.</w:t>
      </w:r>
    </w:p>
    <w:p>
      <w:pPr>
        <w:pStyle w:val="ListNumber"/>
        <w:numPr>
          <w:ilvl w:val="0"/>
          <w:numId w:val="21"/>
        </w:numPr>
      </w:pPr>
      <w:r>
        <w:t>Connect accepted Booking corrections to Move Job. Show commit success separately from Calendar/supplier confirmation. A failed external update leaves a task and visible sync status.</w:t>
      </w:r>
    </w:p>
    <w:p>
      <w:pPr>
        <w:pStyle w:val="ListNumber"/>
        <w:numPr>
          <w:ilvl w:val="0"/>
          <w:numId w:val="21"/>
        </w:numPr>
      </w:pPr>
      <w:r>
        <w:t>Rehearse replacement of the old Jotform event producer in test, including legacy event matching and rollback. Keep the actual live producer unchanged until S20.</w:t>
      </w:r>
    </w:p>
    <w:p>
      <w:pPr>
        <w:pStyle w:val="GuideSubhead"/>
      </w:pPr>
      <w:r>
        <w:t>Test immediately • T005, T026–T036; repeat T043, T044, T057</w:t>
      </w:r>
    </w:p>
    <w:p>
      <w:r>
        <w:t>Move A's roof from 4 to 11 November while electrics stay 16 November. Replace the roofer before work, then after partial work; add a second electrician. Open the actual test calendar and verify guests, multi-day end date and no duplicate event after retry. T029 proves the issued-invoice amendment request now; verify its actual Xero handling at S13.</w:t>
      </w:r>
    </w:p>
    <w:p>
      <w:pPr>
        <w:pStyle w:val="GuideSubhead"/>
      </w:pPr>
      <w:r>
        <w:t>Move on when</w:t>
      </w:r>
    </w:p>
    <w:p>
      <w:r>
        <w:t>Both planners and the test calendar reflect the correct committed work, historic responsibility is retained, and every failed downstream update stays visible.</w:t>
      </w:r>
    </w:p>
    <w:p>
      <w:pPr>
        <w:pStyle w:val="GuideSubhead"/>
      </w:pPr>
      <w:r>
        <w:t>Save as evidence</w:t>
      </w:r>
    </w:p>
    <w:p>
      <w:r>
        <w:t>Mac move/reassignment recording, before/after calendars, guest list, material totals, invoice-change request and producer-cutover rehearsal.</w:t>
      </w:r>
    </w:p>
    <w:p>
      <w:r>
        <w:br w:type="page"/>
      </w:r>
    </w:p>
    <w:p>
      <w:pPr>
        <w:pStyle w:val="Heading1"/>
      </w:pPr>
      <w:r>
        <w:t>S12 • Build installer commissioning and handover</w:t>
      </w:r>
    </w:p>
    <w:p>
      <w:pPr>
        <w:pStyle w:val="GuideMeta"/>
      </w:pPr>
      <w:r>
        <w:t>Start with: S11 passed; specification §9 and §15. The office cheat sheets are not the technical commissioning question bank.</w:t>
      </w:r>
    </w:p>
    <w:p>
      <w:pPr>
        <w:pStyle w:val="GuideSubhead"/>
      </w:pPr>
      <w:r>
        <w:t>Build in this order</w:t>
      </w:r>
    </w:p>
    <w:p>
      <w:pPr>
        <w:pStyle w:val="ListNumber"/>
        <w:numPr>
          <w:ilvl w:val="0"/>
          <w:numId w:val="22"/>
        </w:numPr>
      </w:pPr>
      <w:r>
        <w:t>Create versioned trade-specific commissioning templates and question records. Obtain the actual forms, mandatory technical questions and acceptance rules from the technical lead; use clearly labelled sample questions during development.</w:t>
      </w:r>
    </w:p>
    <w:p>
      <w:pPr>
        <w:pStyle w:val="ListNumber"/>
        <w:numPr>
          <w:ilvl w:val="0"/>
          <w:numId w:val="22"/>
        </w:numPr>
      </w:pPr>
      <w:r>
        <w:t>Link equipment type, manufacturer/model/serial, location, answers and photos to the job/package. Show relevant sections for gateway type, EV charger, inverter, battery and other installed equipment. Preserve hidden historic answers for review.</w:t>
      </w:r>
    </w:p>
    <w:p>
      <w:pPr>
        <w:pStyle w:val="ListNumber"/>
        <w:numPr>
          <w:ilvl w:val="0"/>
          <w:numId w:val="22"/>
        </w:numPr>
      </w:pPr>
      <w:r>
        <w:t>Build assigned upcoming jobs and commissioning draft/resume screens. Allow installer progress, variation, problem and return reports before the final form is submitted.</w:t>
      </w:r>
    </w:p>
    <w:p>
      <w:pPr>
        <w:pStyle w:val="ListNumber"/>
        <w:numPr>
          <w:ilvl w:val="0"/>
          <w:numId w:val="22"/>
        </w:numPr>
      </w:pPr>
      <w:r>
        <w:t>Implement offline drafts and explicit upload/sync states. Verify each required file actually arrived and is accessible before accepting submission. Show pending/failed items and preserve drafts after interruption.</w:t>
      </w:r>
    </w:p>
    <w:p>
      <w:pPr>
        <w:pStyle w:val="ListNumber"/>
        <w:numPr>
          <w:ilvl w:val="0"/>
          <w:numId w:val="22"/>
        </w:numPr>
      </w:pPr>
      <w:r>
        <w:t>Send one variation notification to Hannah after successful sync. Show it to Tanya for follow-up. Never claim an offline report reached the office before it did.</w:t>
      </w:r>
    </w:p>
    <w:p>
      <w:pPr>
        <w:pStyle w:val="ListNumber"/>
        <w:numPr>
          <w:ilvl w:val="0"/>
          <w:numId w:val="22"/>
        </w:numPr>
      </w:pPr>
      <w:r>
        <w:t>Add submit, technical review, return for correction and accept actions with immutable versions. Connect them to the S10 reminders/completion gate. Retain each installer's outstanding obligations after reassignment.</w:t>
      </w:r>
    </w:p>
    <w:p>
      <w:pPr>
        <w:pStyle w:val="ListNumber"/>
        <w:numPr>
          <w:ilvl w:val="0"/>
          <w:numId w:val="22"/>
        </w:numPr>
      </w:pPr>
      <w:r>
        <w:t>Build the handover checklist, evidence links, approved version and sent record. Produce a simple test summary from accepted data; polished PDF layout can follow later. Keep internal complaint and payment notes out of customer output.</w:t>
      </w:r>
    </w:p>
    <w:p>
      <w:pPr>
        <w:pStyle w:val="GuideSubhead"/>
      </w:pPr>
      <w:r>
        <w:t>Test immediately • T066, T067, T070–T076; repeat T031, T098</w:t>
      </w:r>
    </w:p>
    <w:p>
      <w:r>
        <w:t>Run on a representative installer phone: EV/gateway conditional fields, missing photo, offline variation, duplicate sync, rejection/resubmission and cross-job file denial. Review the generated sample handover for correct job/evidence and missing-document gating. If PDF generation itself is expressly deferred, record T076's unfinished portion and owner/date; do not mark it fully passed.</w:t>
      </w:r>
    </w:p>
    <w:p>
      <w:pPr>
        <w:pStyle w:val="GuideSubhead"/>
      </w:pPr>
      <w:r>
        <w:t>Move on when</w:t>
      </w:r>
    </w:p>
    <w:p>
      <w:r>
        <w:t>Evidence capture/review and permission tests pass. Live technical sign-off waits for approved questions; a labelled sample template is sufficient for continued development elsewhere.</w:t>
      </w:r>
    </w:p>
    <w:p>
      <w:pPr>
        <w:pStyle w:val="GuideSubhead"/>
      </w:pPr>
      <w:r>
        <w:t>Save as evidence</w:t>
      </w:r>
    </w:p>
    <w:p>
      <w:r>
        <w:t>Approved/sample template register, phone recording, failed-upload recovery, version history and sample handover review.</w:t>
      </w:r>
    </w:p>
    <w:p>
      <w:r>
        <w:br w:type="page"/>
      </w:r>
    </w:p>
    <w:p>
      <w:pPr>
        <w:pStyle w:val="Heading1"/>
      </w:pPr>
      <w:r>
        <w:t>S13 • Connect Xero, payment tasks, Phoenix and GHL</w:t>
      </w:r>
    </w:p>
    <w:p>
      <w:pPr>
        <w:pStyle w:val="GuideMeta"/>
      </w:pPr>
      <w:r>
        <w:t>Start with: S12 passed; specification §10, FIN01–FIN06 and GHL01. Use a suitable Xero test organisation and test workflow destinations.</w:t>
      </w:r>
    </w:p>
    <w:p>
      <w:pPr>
        <w:pStyle w:val="GuideSubhead"/>
      </w:pPr>
      <w:r>
        <w:t>Build in this order</w:t>
      </w:r>
    </w:p>
    <w:p>
      <w:pPr>
        <w:pStyle w:val="ListNumber"/>
        <w:numPr>
          <w:ilvl w:val="0"/>
          <w:numId w:val="23"/>
        </w:numPr>
      </w:pPr>
      <w:r>
        <w:t>Implement FinancePlans and separate invoice stages. For Standard jobs calculate 25% and 35% rounded to pence, with 40% as the exact remaining amount. Keep original value, VAT basis and approved variations distinct.</w:t>
      </w:r>
    </w:p>
    <w:p>
      <w:pPr>
        <w:pStyle w:val="ListNumber"/>
        <w:numPr>
          <w:ilvl w:val="0"/>
          <w:numId w:val="23"/>
        </w:numPr>
      </w:pPr>
      <w:r>
        <w:t>Build Zapier invoice request/callback routes with job ID plus stage, correlation keys and external invoice IDs. Reconcile existing invoices before creation. At sale create the deposit invoice and interim/balance drafts once.</w:t>
      </w:r>
    </w:p>
    <w:p>
      <w:pPr>
        <w:pStyle w:val="ListNumber"/>
        <w:numPr>
          <w:ilvl w:val="0"/>
          <w:numId w:val="23"/>
        </w:numPr>
      </w:pPr>
      <w:r>
        <w:t>Confirm actual sent state separately from invoice creation. A missing/failed callback creates follow-up. Prove a retry cannot create another invoice or accidentally send a draft.</w:t>
      </w:r>
    </w:p>
    <w:p>
      <w:pPr>
        <w:pStyle w:val="ListNumber"/>
        <w:numPr>
          <w:ilvl w:val="0"/>
          <w:numId w:val="23"/>
        </w:numPr>
      </w:pPr>
      <w:r>
        <w:t>Implement interim due on the Friday before the first installation package, not scaffold erection. Check/send in advance using the configured lead time; Tanya calls if unpaid, without automatically blocking installation.</w:t>
      </w:r>
    </w:p>
    <w:p>
      <w:pPr>
        <w:pStyle w:val="ListNumber"/>
        <w:numPr>
          <w:ilvl w:val="0"/>
          <w:numId w:val="23"/>
        </w:numPr>
      </w:pPr>
      <w:r>
        <w:t>After Tanya's operational approval, check/authorise/send the balance invoice. Create the human GHL task when the correct payment/handover wording is ready. Record the stage change and avoid a duplicate customer workflow.</w:t>
      </w:r>
    </w:p>
    <w:p>
      <w:pPr>
        <w:pStyle w:val="ListNumber"/>
        <w:numPr>
          <w:ilvl w:val="0"/>
          <w:numId w:val="23"/>
        </w:numPr>
      </w:pPr>
      <w:r>
        <w:t>Keep Ben's bank confirmation independent of payment sync. Add verified full/partial/reversed-payment handling and chase tasks. Treat automatic reconciled-payment ingestion as a separately verified adapter if included in the release.</w:t>
      </w:r>
    </w:p>
    <w:p>
      <w:pPr>
        <w:pStyle w:val="ListNumber"/>
        <w:numPr>
          <w:ilvl w:val="0"/>
          <w:numId w:val="23"/>
        </w:numPr>
      </w:pPr>
      <w:r>
        <w:t>Implement Phoenix's agreement/evidence route: Hannah uploads and records reference; Tanya chases the actual provider due date. Suppress ordinary staged requests unless the real agreement requires them. Use approved invoice recipient and fee rules.</w:t>
      </w:r>
    </w:p>
    <w:p>
      <w:pPr>
        <w:pStyle w:val="GuideSubhead"/>
      </w:pPr>
      <w:r>
        <w:t>Test immediately • T029, T078–T085; repeat T004, T013, T014</w:t>
      </w:r>
    </w:p>
    <w:p>
      <w:r>
        <w:t>Inspect actual test invoices and callbacks. £10,000 gives £2,500/£3,500/£4,000; £9,999.99 gives £2,500/£3,500/£3,999.99. Test issued-invoice move, missing callback, partial payment/reversal, manual bank gate and Phoenix. Run GHL on a test opportunity; make the human task completion visible without a second message.</w:t>
      </w:r>
    </w:p>
    <w:p>
      <w:pPr>
        <w:pStyle w:val="GuideSubhead"/>
      </w:pPr>
      <w:r>
        <w:t>Move on when</w:t>
      </w:r>
    </w:p>
    <w:p>
      <w:r>
        <w:t>Amounts, invoice identities and actual external states reconcile. Unconfigured accounting codes prevent posting, not unrelated development. No real customer receives a test invoice.</w:t>
      </w:r>
    </w:p>
    <w:p>
      <w:pPr>
        <w:pStyle w:val="GuideSubhead"/>
      </w:pPr>
      <w:r>
        <w:t>Save as evidence</w:t>
      </w:r>
    </w:p>
    <w:p>
      <w:r>
        <w:t>Zap exports, invoice IDs/totals, callback/retry traces, payment-gate results and test GHL/Phoenix journey.</w:t>
      </w:r>
    </w:p>
    <w:p>
      <w:r>
        <w:br w:type="page"/>
      </w:r>
    </w:p>
    <w:p>
      <w:pPr>
        <w:pStyle w:val="Heading1"/>
      </w:pPr>
      <w:r>
        <w:t>S14 • Build accounting schedules and management reports</w:t>
      </w:r>
    </w:p>
    <w:p>
      <w:pPr>
        <w:pStyle w:val="GuideMeta"/>
      </w:pPr>
      <w:r>
        <w:t>Start with: S13 passed; specification §10 accounting and §11 reporting. Use versioned policy settings and labelled fixtures.</w:t>
      </w:r>
    </w:p>
    <w:p>
      <w:pPr>
        <w:pStyle w:val="GuideSubhead"/>
      </w:pPr>
      <w:r>
        <w:t>Build in this order</w:t>
      </w:r>
    </w:p>
    <w:p>
      <w:pPr>
        <w:pStyle w:val="ListNumber"/>
        <w:numPr>
          <w:ilvl w:val="0"/>
          <w:numId w:val="24"/>
        </w:numPr>
      </w:pPr>
      <w:r>
        <w:t>Add separate sold, planned install, actual completion, operational approval, accounting-earned and cash dates. Store reasons when accounting and operational dates differ.</w:t>
      </w:r>
    </w:p>
    <w:p>
      <w:pPr>
        <w:pStyle w:val="ListNumber"/>
        <w:numPr>
          <w:ilvl w:val="0"/>
          <w:numId w:val="24"/>
        </w:numPr>
      </w:pPr>
      <w:r>
        <w:t>Implement the agreed deferred-income direction as configurable mappings and reviewed posting/export proposals. Use accountant-supplied accounts, VAT and cost rules for live configuration; no placeholder live journals.</w:t>
      </w:r>
    </w:p>
    <w:p>
      <w:pPr>
        <w:pStyle w:val="ListNumber"/>
        <w:numPr>
          <w:ilvl w:val="0"/>
          <w:numId w:val="24"/>
        </w:numPr>
      </w:pPr>
      <w:r>
        <w:t>Build month/year-end snapshots showing invoices, cash, unearned/deferred revenue, earned revenue, earned-but-unbilled amounts, costs/WIP and stock. Preserve the IDs and policy version behind each total.</w:t>
      </w:r>
    </w:p>
    <w:p>
      <w:pPr>
        <w:pStyle w:val="ListNumber"/>
        <w:numPr>
          <w:ilvl w:val="0"/>
          <w:numId w:val="24"/>
        </w:numPr>
      </w:pPr>
      <w:r>
        <w:t>Add weekly last-complete-week sales and next-week work/expected-cash reports. Separate drafts, unpaid invoices, forecast receipts and verified cash. Make every figure drill down to its records.</w:t>
      </w:r>
    </w:p>
    <w:p>
      <w:pPr>
        <w:pStyle w:val="ListNumber"/>
        <w:numPr>
          <w:ilvl w:val="0"/>
          <w:numId w:val="24"/>
        </w:numPr>
      </w:pPr>
      <w:r>
        <w:t>Add monthly/yearly sales count and value line charts, totals and salesperson split. Label partial months, show zero past months and leave future months blank; avoid divide-by-zero percentage changes.</w:t>
      </w:r>
    </w:p>
    <w:p>
      <w:pPr>
        <w:pStyle w:val="ListNumber"/>
        <w:numPr>
          <w:ilvl w:val="0"/>
          <w:numId w:val="24"/>
        </w:numPr>
      </w:pPr>
      <w:r>
        <w:t>Add remedial/complaint raised, closed, open, overdue, age and resolution-duration reports by installer/scaffolder/company. Preserve reopen episodes and label the denominator of any remedial rate.</w:t>
      </w:r>
    </w:p>
    <w:p>
      <w:pPr>
        <w:pStyle w:val="ListNumber"/>
        <w:numPr>
          <w:ilvl w:val="0"/>
          <w:numId w:val="24"/>
        </w:numPr>
      </w:pPr>
      <w:r>
        <w:t>Add missing-cost flags, approved variation movements, cancellation-event reporting and a retained-sales view. Import opening balances without reposting old transactions; protect approved snapshots from later job changes.</w:t>
      </w:r>
    </w:p>
    <w:p>
      <w:pPr>
        <w:pStyle w:val="GuideSubhead"/>
      </w:pPr>
      <w:r>
        <w:t>Test immediately • T086–T089, T094–T097; repeat T077</w:t>
      </w:r>
    </w:p>
    <w:p>
      <w:r>
        <w:t>For the zero-VAT test, October advance invoices of £6,000 remain deferred; November completion plus final £4,000 gives £10,000 earned once. Delay final invoicing into December and find the £4,000 unbilled exception. Run a separate configured VAT case. Freeze October, then cancel a sale in November: October's approved snapshot must stay unchanged.</w:t>
      </w:r>
    </w:p>
    <w:p>
      <w:pPr>
        <w:pStyle w:val="GuideSubhead"/>
      </w:pPr>
      <w:r>
        <w:t>Move on when</w:t>
      </w:r>
    </w:p>
    <w:p>
      <w:r>
        <w:t>Fixture totals reconcile to underlying records and test Xero controls; missing costs and unbilled work are visible. Actual tax/account mappings remain a required live-finance input.</w:t>
      </w:r>
    </w:p>
    <w:p>
      <w:pPr>
        <w:pStyle w:val="GuideSubhead"/>
      </w:pPr>
      <w:r>
        <w:t>Save as evidence</w:t>
      </w:r>
    </w:p>
    <w:p>
      <w:r>
        <w:t>Weekly/monthly reports, chart checks, quality metrics, control-account reconciliation and policy/snapshot versions.</w:t>
      </w:r>
    </w:p>
    <w:p>
      <w:r>
        <w:br w:type="page"/>
      </w:r>
    </w:p>
    <w:p>
      <w:pPr>
        <w:pStyle w:val="Heading1"/>
      </w:pPr>
      <w:r>
        <w:t>S15 • Complete cancellation and reinstatement</w:t>
      </w:r>
    </w:p>
    <w:p>
      <w:pPr>
        <w:pStyle w:val="GuideMeta"/>
      </w:pPr>
      <w:r>
        <w:t>Start with: S14 passed; specification §7 cancellation and manual §13. Every downstream module now exists for a complete cancellation rehearsal.</w:t>
      </w:r>
    </w:p>
    <w:p>
      <w:pPr>
        <w:pStyle w:val="GuideSubhead"/>
      </w:pPr>
      <w:r>
        <w:t>Build in this order</w:t>
      </w:r>
    </w:p>
    <w:p>
      <w:pPr>
        <w:pStyle w:val="ListNumber"/>
        <w:numPr>
          <w:ilvl w:val="0"/>
          <w:numId w:val="25"/>
        </w:numPr>
      </w:pPr>
      <w:r>
        <w:t>Add Cancel Job with reason, effective date and impact preview. Stop new normal work/unsent requests and remove future demand, while retaining all job, task, cost and evidence history.</w:t>
      </w:r>
    </w:p>
    <w:p>
      <w:pPr>
        <w:pStyle w:val="ListNumber"/>
        <w:numPr>
          <w:ilvl w:val="0"/>
          <w:numId w:val="25"/>
        </w:numPr>
      </w:pPr>
      <w:r>
        <w:t>Generate separate applicable tasks for customer/installer notice, scaffolder cancellation or safe strip, merchant cancellation/acknowledgement, Calendar removal, GHL cancellation stage and salesperson follow-up.</w:t>
      </w:r>
    </w:p>
    <w:p>
      <w:pPr>
        <w:pStyle w:val="ListNumber"/>
        <w:numPr>
          <w:ilvl w:val="0"/>
          <w:numId w:val="25"/>
        </w:numPr>
      </w:pPr>
      <w:r>
        <w:t>Include Xero review, Signable cancellation, Phoenix agreement/evidence handling and retained paper/Trello/whiteboard processes where still used. Make the checklist template configurable for occasional extra actions.</w:t>
      </w:r>
    </w:p>
    <w:p>
      <w:pPr>
        <w:pStyle w:val="ListNumber"/>
        <w:numPr>
          <w:ilvl w:val="0"/>
          <w:numId w:val="25"/>
        </w:numPr>
      </w:pPr>
      <w:r>
        <w:t>Route invoices by their actual external status. Delete only where allowed for a draft; authorised/paid invoices require the proper finance review, credit/refund/void path. Never mark a refund complete because a task was created.</w:t>
      </w:r>
    </w:p>
    <w:p>
      <w:pPr>
        <w:pStyle w:val="ListNumber"/>
        <w:numPr>
          <w:ilvl w:val="0"/>
          <w:numId w:val="25"/>
        </w:numPr>
      </w:pPr>
      <w:r>
        <w:t>Preserve dispatched/received materials and create receive/hold/return/reallocation/credit tasks. Cancel a reservation through a recorded action; do not erase a physical stock movement.</w:t>
      </w:r>
    </w:p>
    <w:p>
      <w:pPr>
        <w:pStyle w:val="ListNumber"/>
        <w:numPr>
          <w:ilvl w:val="0"/>
          <w:numId w:val="25"/>
        </w:numPr>
      </w:pPr>
      <w:r>
        <w:t>Keep cancellation in progress until required confirmations and obligations are dealt with or explicitly tracked. Open complaints, refunds and uncertain external sends prevent archive eligibility.</w:t>
      </w:r>
    </w:p>
    <w:p>
      <w:pPr>
        <w:pStyle w:val="ListNumber"/>
        <w:numPr>
          <w:ilvl w:val="0"/>
          <w:numId w:val="25"/>
        </w:numPr>
      </w:pPr>
      <w:r>
        <w:t>Add controlled reinstatement with the same Job ID/history, fresh dates/revisions and reviewed invoice/order reuse. Do not reactivate cancelled events or orders merely by changing the job status.</w:t>
      </w:r>
    </w:p>
    <w:p>
      <w:pPr>
        <w:pStyle w:val="GuideSubhead"/>
      </w:pPr>
      <w:r>
        <w:t>Test immediately • T090–T093; repeat T045, T057, T081</w:t>
      </w:r>
    </w:p>
    <w:p>
      <w:r>
        <w:t>Run one job cancelled before sending anything and another after deposit, invoice authorisation, scaffold erection and dispatch. Leave a merchant reply missing and attempt closure. Reopen a cancelled job and inspect all external links. Confirm there is no good-job GHL message and that physical stock/cash history remains intact.</w:t>
      </w:r>
    </w:p>
    <w:p>
      <w:pPr>
        <w:pStyle w:val="GuideSubhead"/>
      </w:pPr>
      <w:r>
        <w:t>Move on when</w:t>
      </w:r>
    </w:p>
    <w:p>
      <w:r>
        <w:t>Every relevant cancellation action is owned and visible, supplier confirmation is enforced and reinstatement cannot duplicate external work.</w:t>
      </w:r>
    </w:p>
    <w:p>
      <w:pPr>
        <w:pStyle w:val="GuideSubhead"/>
      </w:pPr>
      <w:r>
        <w:t>Save as evidence</w:t>
      </w:r>
    </w:p>
    <w:p>
      <w:r>
        <w:t>Both cancellation checklists, unresolved-acknowledgement result, stock/finance reconciliation and reinstated job trace.</w:t>
      </w:r>
    </w:p>
    <w:p>
      <w:r>
        <w:br w:type="page"/>
      </w:r>
    </w:p>
    <w:p>
      <w:pPr>
        <w:pStyle w:val="Heading1"/>
      </w:pPr>
      <w:r>
        <w:t>S16 • Add daily health checks, archive and restoration</w:t>
      </w:r>
    </w:p>
    <w:p>
      <w:pPr>
        <w:pStyle w:val="GuideMeta"/>
      </w:pPr>
      <w:r>
        <w:t>Start with: S15 passed; specification §3 health, §13 and manual §§17–18. Test failure scenarios in the isolated environment only.</w:t>
      </w:r>
    </w:p>
    <w:p>
      <w:pPr>
        <w:pStyle w:val="GuideSubhead"/>
      </w:pPr>
      <w:r>
        <w:t>Build in this order</w:t>
      </w:r>
    </w:p>
    <w:p>
      <w:pPr>
        <w:pStyle w:val="ListNumber"/>
        <w:numPr>
          <w:ilvl w:val="0"/>
          <w:numId w:val="26"/>
        </w:numPr>
      </w:pPr>
      <w:r>
        <w:t>Finish the health dashboard: last successful queue/Calendar/Drive operation, oldest pending work, failures and owner. Create Tanya's SYS01 09:00 authorisation check and SYS02 16:30 open-work review.</w:t>
      </w:r>
    </w:p>
    <w:p>
      <w:pPr>
        <w:pStyle w:val="ListNumber"/>
        <w:numPr>
          <w:ilvl w:val="0"/>
          <w:numId w:val="26"/>
        </w:numPr>
      </w:pPr>
      <w:r>
        <w:t>Add an independent monitoring route where available and a manual check if the processor itself stops. Name Ben as escalation backup and record the connection owner who can reauthorise.</w:t>
      </w:r>
    </w:p>
    <w:p>
      <w:pPr>
        <w:pStyle w:val="ListNumber"/>
        <w:numPr>
          <w:ilvl w:val="0"/>
          <w:numId w:val="26"/>
        </w:numPr>
      </w:pPr>
      <w:r>
        <w:t>Add recovery actions that inspect external state before retrying uncertain sends. Explain how to find the affected job, request, external ID and last successful attempt.</w:t>
      </w:r>
    </w:p>
    <w:p>
      <w:pPr>
        <w:pStyle w:val="ListNumber"/>
        <w:numPr>
          <w:ilvl w:val="0"/>
          <w:numId w:val="26"/>
        </w:numPr>
      </w:pPr>
      <w:r>
        <w:t>Schedule backups of data, configuration, source versions and evidence/access references. Create an isolated restore procedure with outgoing actions disabled and measured recovery time.</w:t>
      </w:r>
    </w:p>
    <w:p>
      <w:pPr>
        <w:pStyle w:val="ListNumber"/>
        <w:numPr>
          <w:ilvl w:val="0"/>
          <w:numId w:val="26"/>
        </w:numPr>
      </w:pPr>
      <w:r>
        <w:t>Implement six-calendar-month archive eligibility only for fully closed jobs without open tasks/issues, money/refunds, handover, claims or pending external actions. Archive all related rows together and keep an index.</w:t>
      </w:r>
    </w:p>
    <w:p>
      <w:pPr>
        <w:pStyle w:val="ListNumber"/>
        <w:numPr>
          <w:ilvl w:val="0"/>
          <w:numId w:val="26"/>
        </w:numPr>
      </w:pPr>
      <w:r>
        <w:t>Verify archive counts/checksums and evidence references before removing rows from active sync. Preserve accounting snapshots and required retained records; archiving is not deletion under a six-month rule.</w:t>
      </w:r>
    </w:p>
    <w:p>
      <w:pPr>
        <w:pStyle w:val="ListNumber"/>
        <w:numPr>
          <w:ilvl w:val="0"/>
          <w:numId w:val="26"/>
        </w:numPr>
      </w:pPr>
      <w:r>
        <w:t>Implement archived-job reopen with original IDs and history. Create only new required work and prevent restored records from resending old invoices, invitations or orders.</w:t>
      </w:r>
    </w:p>
    <w:p>
      <w:pPr>
        <w:pStyle w:val="GuideSubhead"/>
      </w:pPr>
      <w:r>
        <w:t>Test immediately • T101, T105–T108; repeat T103, T104</w:t>
      </w:r>
    </w:p>
    <w:p>
      <w:r>
        <w:t>Revoke test Calendar/Drive access and disable the test connection owner separately. Detect both through the agreed monitor/manual route. Restore access and reconcile safely. Archive an eligible old job plus ineligible unpaid/open-issue variants, then restore the eligible job and raise a new remedial. Restore a backup with no external sends.</w:t>
      </w:r>
    </w:p>
    <w:p>
      <w:pPr>
        <w:pStyle w:val="GuideSubhead"/>
      </w:pPr>
      <w:r>
        <w:t>Move on when</w:t>
      </w:r>
    </w:p>
    <w:p>
      <w:r>
        <w:t>Failures are detectable even when the worker cannot alert, restore is demonstrated and archive/reopen preserves IDs and unresolved obligations.</w:t>
      </w:r>
    </w:p>
    <w:p>
      <w:pPr>
        <w:pStyle w:val="GuideSubhead"/>
      </w:pPr>
      <w:r>
        <w:t>Save as evidence</w:t>
      </w:r>
    </w:p>
    <w:p>
      <w:r>
        <w:t>Failure/reauthorisation recording, backup/restore timing, archive manifest and recreated-job reconciliation.</w:t>
      </w:r>
    </w:p>
    <w:p>
      <w:r>
        <w:br w:type="page"/>
      </w:r>
    </w:p>
    <w:p>
      <w:pPr>
        <w:pStyle w:val="Heading1"/>
      </w:pPr>
      <w:r>
        <w:t>S17 • Finish every user screen and admin change route</w:t>
      </w:r>
    </w:p>
    <w:p>
      <w:pPr>
        <w:pStyle w:val="GuideMeta"/>
      </w:pPr>
      <w:r>
        <w:t>Start with: S16 passed; specification §12/§16 and the complete user/admin manual. Use the intended office Macs and representative phones.</w:t>
      </w:r>
    </w:p>
    <w:p>
      <w:pPr>
        <w:pStyle w:val="GuideSubhead"/>
      </w:pPr>
      <w:r>
        <w:t>Build in this order</w:t>
      </w:r>
    </w:p>
    <w:p>
      <w:pPr>
        <w:pStyle w:val="ListNumber"/>
        <w:numPr>
          <w:ilvl w:val="0"/>
          <w:numId w:val="27"/>
        </w:numPr>
      </w:pPr>
      <w:r>
        <w:t>Complete navigation for Home, My/Team Tasks, Booking In Progress, Jobs, both planners, Calls, Materials, Scaffolding, Issues, Finance, Reports, History and Settings. Match button names to the manual.</w:t>
      </w:r>
    </w:p>
    <w:p>
      <w:pPr>
        <w:pStyle w:val="ListNumber"/>
        <w:numPr>
          <w:ilvl w:val="0"/>
          <w:numId w:val="27"/>
        </w:numPr>
      </w:pPr>
      <w:r>
        <w:t>Add useful job expansion: current stage, next action, grouped tasks, materials, calls, evidence and history. Keep random IDs out of ordinary labels while retaining Copy reference.</w:t>
      </w:r>
    </w:p>
    <w:p>
      <w:pPr>
        <w:pStyle w:val="ListNumber"/>
        <w:numPr>
          <w:ilvl w:val="0"/>
          <w:numId w:val="27"/>
        </w:numPr>
      </w:pPr>
      <w:r>
        <w:t>Finish store and installer views with large actions, current/upcoming work, quantities and pending sync. Check that personal filters do not change another person's view.</w:t>
      </w:r>
    </w:p>
    <w:p>
      <w:pPr>
        <w:pStyle w:val="ListNumber"/>
        <w:numPr>
          <w:ilvl w:val="0"/>
          <w:numId w:val="27"/>
        </w:numPr>
      </w:pPr>
      <w:r>
        <w:t>Add authorised administrator routes to add/deactivate people, merchants, scaffolders and products. Validate emails/calendars and retain historic directory records rather than deleting referenced people.</w:t>
      </w:r>
    </w:p>
    <w:p>
      <w:pPr>
        <w:pStyle w:val="ListNumber"/>
        <w:numPr>
          <w:ilvl w:val="0"/>
          <w:numId w:val="27"/>
        </w:numPr>
      </w:pPr>
      <w:r>
        <w:t>Add versioned template/mapping changes and a migration procedure. Demonstrate a new Other item and new commissioning question while old submissions remain readable.</w:t>
      </w:r>
    </w:p>
    <w:p>
      <w:pPr>
        <w:pStyle w:val="ListNumber"/>
        <w:numPr>
          <w:ilvl w:val="0"/>
          <w:numId w:val="27"/>
        </w:numPr>
      </w:pPr>
      <w:r>
        <w:t>Populate twice the agreed three-year active-volume forecast with representative linked records/photos. Measure list opening, normal sync, processor lag, reports and archive behaviour on the agreed network.</w:t>
      </w:r>
    </w:p>
    <w:p>
      <w:pPr>
        <w:pStyle w:val="ListNumber"/>
        <w:numPr>
          <w:ilvl w:val="0"/>
          <w:numId w:val="27"/>
        </w:numPr>
      </w:pPr>
      <w:r>
        <w:t>Update the manual with actual labels, screenshots, owners and recovery contacts. Ask Tanya/store/installer testers to perform tasks from the manual without developer backend edits.</w:t>
      </w:r>
    </w:p>
    <w:p>
      <w:pPr>
        <w:pStyle w:val="GuideSubhead"/>
      </w:pPr>
      <w:r>
        <w:t>Test immediately • T109, T111; repeat T012, T017, T022–T024, T026, T027, T098–T100</w:t>
      </w:r>
    </w:p>
    <w:p>
      <w:r>
        <w:t>Demonstrate booking, completion, reschedule, reassignment, Other ordering and a partial receipt. Measure proposed targets: ordinary lists within 5 seconds, normal mobile sync within 30 seconds excluding large photos, committed office actions within 5 minutes. Record any agreed replacement targets before testing; these are measured targets, not platform guarantees.</w:t>
      </w:r>
    </w:p>
    <w:p>
      <w:pPr>
        <w:pStyle w:val="GuideSubhead"/>
      </w:pPr>
      <w:r>
        <w:t>Move on when</w:t>
      </w:r>
    </w:p>
    <w:p>
      <w:r>
        <w:t>The real device journeys and access checks pass and load targets are met. A failed volume test requires redesign or a documented capacity change before acceptance.</w:t>
      </w:r>
    </w:p>
    <w:p>
      <w:pPr>
        <w:pStyle w:val="GuideSubhead"/>
      </w:pPr>
      <w:r>
        <w:t>Save as evidence</w:t>
      </w:r>
    </w:p>
    <w:p>
      <w:r>
        <w:t>Screen recordings, device/network/volume timings, admin-change test and corrected operating manual.</w:t>
      </w:r>
    </w:p>
    <w:p>
      <w:r>
        <w:br w:type="page"/>
      </w:r>
    </w:p>
    <w:p>
      <w:pPr>
        <w:pStyle w:val="Heading1"/>
      </w:pPr>
      <w:r>
        <w:t>S18 • Run the full acceptance suite on one release</w:t>
      </w:r>
    </w:p>
    <w:p>
      <w:pPr>
        <w:pStyle w:val="GuideMeta"/>
      </w:pPr>
      <w:r>
        <w:t>Start with: S17 passed. Freeze a release candidate, configuration version and test fixture before starting this stage.</w:t>
      </w:r>
    </w:p>
    <w:p>
      <w:pPr>
        <w:pStyle w:val="GuideSubhead"/>
      </w:pPr>
      <w:r>
        <w:t>Run in this order</w:t>
      </w:r>
    </w:p>
    <w:p>
      <w:pPr>
        <w:pStyle w:val="ListNumber"/>
        <w:numPr>
          <w:ilvl w:val="0"/>
          <w:numId w:val="28"/>
        </w:numPr>
      </w:pPr>
      <w:r>
        <w:t>Reset the isolated environment to F0. Check test-only destinations and record the release tag, schemas, AppSheet version and Zap exports being tested. Do not mix results from different unrecorded releases.</w:t>
      </w:r>
    </w:p>
    <w:p>
      <w:pPr>
        <w:pStyle w:val="ListNumber"/>
        <w:numPr>
          <w:ilvl w:val="0"/>
          <w:numId w:val="28"/>
        </w:numPr>
      </w:pPr>
      <w:r>
        <w:t>Run the complete automated regression suite in document 03 §4. Save machine-readable output for dates, money, gates, permissions, replay, concurrency, stock, reports and archive rules.</w:t>
      </w:r>
    </w:p>
    <w:p>
      <w:pPr>
        <w:pStyle w:val="ListNumber"/>
        <w:numPr>
          <w:ilvl w:val="0"/>
          <w:numId w:val="28"/>
        </w:numPr>
      </w:pPr>
      <w:r>
        <w:t>Run T001–T036 using the finished app and actual intake/Calendar adapters. Close earlier partial evidence for corrected forms, row growth, moves, guest changes and invoice amendments.</w:t>
      </w:r>
    </w:p>
    <w:p>
      <w:pPr>
        <w:pStyle w:val="ListNumber"/>
        <w:numPr>
          <w:ilvl w:val="0"/>
          <w:numId w:val="28"/>
        </w:numPr>
      </w:pPr>
      <w:r>
        <w:t>Run T037–T077 using test inboxes, store/installer phones and completed evidence flows. Follow chained stock fixtures exactly; reset independent cases. Inspect sent messages and actual uploaded files.</w:t>
      </w:r>
    </w:p>
    <w:p>
      <w:pPr>
        <w:pStyle w:val="ListNumber"/>
        <w:numPr>
          <w:ilvl w:val="0"/>
          <w:numId w:val="28"/>
        </w:numPr>
      </w:pPr>
      <w:r>
        <w:t>Run T078–T097 against the test finance/reporting configuration. Reconcile invoice IDs and totals. Run the complete cancellation paths with all downstream modules enabled.</w:t>
      </w:r>
    </w:p>
    <w:p>
      <w:pPr>
        <w:pStyle w:val="ListNumber"/>
        <w:numPr>
          <w:ilvl w:val="0"/>
          <w:numId w:val="28"/>
        </w:numPr>
      </w:pPr>
      <w:r>
        <w:t>Run T098–T112: access isolation, spoofing attempts, trigger/poller reliability, faults, authorisation loss, archive/restore, load, schema changes and end-to-end journeys. Repeat any integration previously proved only by a test adapter.</w:t>
      </w:r>
    </w:p>
    <w:p>
      <w:pPr>
        <w:pStyle w:val="ListNumber"/>
        <w:numPr>
          <w:ilvl w:val="0"/>
          <w:numId w:val="28"/>
        </w:numPr>
      </w:pPr>
      <w:r>
        <w:t>Log each failure with steps and evidence, fix it in a new labelled candidate and rerun failed/affected cases. If shared clock, permissions, command or identity logic changes, rerun all affected groups before accepting the replacement candidate.</w:t>
      </w:r>
    </w:p>
    <w:p>
      <w:pPr>
        <w:pStyle w:val="GuideSubhead"/>
      </w:pPr>
      <w:r>
        <w:t>Test immediately • T001–T112</w:t>
      </w:r>
    </w:p>
    <w:p>
      <w:r>
        <w:t>Every case must have an actual result and evidence. A stage demonstration or a passed test-adapter assertion cannot substitute for a missing connector check. Record any agreed noncritical PDF-generation deferral precisely, including unfinished T076 assertions and owner/date; do not mark that portion Pass or claim it delivered.</w:t>
      </w:r>
    </w:p>
    <w:p>
      <w:pPr>
        <w:pStyle w:val="GuideSubhead"/>
      </w:pPr>
      <w:r>
        <w:t>Move on when</w:t>
      </w:r>
    </w:p>
    <w:p>
      <w:r>
        <w:t>All in-scope acceptance cases pass, with no open critical security, data-loss, duplicate-send, stock or financial discrepancy. Any explicitly deferred noncritical work has a recorded scope and follow-up.</w:t>
      </w:r>
    </w:p>
    <w:p>
      <w:pPr>
        <w:pStyle w:val="GuideSubhead"/>
      </w:pPr>
      <w:r>
        <w:t>Save as evidence</w:t>
      </w:r>
    </w:p>
    <w:p>
      <w:r>
        <w:t>Completed 112-case register, regression output, final defect list, release tag and acceptance recommendation.</w:t>
      </w:r>
    </w:p>
    <w:p>
      <w:r>
        <w:br w:type="page"/>
      </w:r>
    </w:p>
    <w:p>
      <w:pPr>
        <w:pStyle w:val="Heading1"/>
      </w:pPr>
      <w:r>
        <w:t>S19 • Rehearse migration and train the team</w:t>
      </w:r>
    </w:p>
    <w:p>
      <w:pPr>
        <w:pStyle w:val="GuideMeta"/>
      </w:pPr>
      <w:r>
        <w:t>Start with: S18 accepted for rehearsal; specification §13 and document 03 §§5–6. Keep external sends disabled in the rehearsal copy.</w:t>
      </w:r>
    </w:p>
    <w:p>
      <w:pPr>
        <w:pStyle w:val="GuideSubhead"/>
      </w:pPr>
      <w:r>
        <w:t>Run in this order</w:t>
      </w:r>
    </w:p>
    <w:p>
      <w:pPr>
        <w:pStyle w:val="ListNumber"/>
        <w:numPr>
          <w:ilvl w:val="0"/>
          <w:numId w:val="29"/>
        </w:numPr>
      </w:pPr>
      <w:r>
        <w:t>Take a fresh read-only snapshot of agreed current jobs and external identifiers. Map source rows to internal IDs using reviewed evidence, never surname/postcode alone.</w:t>
      </w:r>
    </w:p>
    <w:p>
      <w:pPr>
        <w:pStyle w:val="ListNumber"/>
        <w:numPr>
          <w:ilvl w:val="0"/>
          <w:numId w:val="29"/>
        </w:numPr>
      </w:pPr>
      <w:r>
        <w:t>Migrate a representative sample: booked, partly installed, remedial, cancelled, unpaid, Phoenix and old archive-eligible jobs. Retain historic completion and data-entry dates separately.</w:t>
      </w:r>
    </w:p>
    <w:p>
      <w:pPr>
        <w:pStyle w:val="ListNumber"/>
        <w:numPr>
          <w:ilvl w:val="0"/>
          <w:numId w:val="29"/>
        </w:numPr>
      </w:pPr>
      <w:r>
        <w:t>Reconcile package dates/people, open tasks/issues, sent merchant/scaffold commitments, reservations/site/quarantine stock, invoice IDs/balances, evidence and GHL stages. Produce an unmatched-items list with owners.</w:t>
      </w:r>
    </w:p>
    <w:p>
      <w:pPr>
        <w:pStyle w:val="ListNumber"/>
        <w:numPr>
          <w:ilvl w:val="0"/>
          <w:numId w:val="29"/>
        </w:numPr>
      </w:pPr>
      <w:r>
        <w:t>Run the new engine in preview/capture mode on that sample. Compare proposed external actions with existing commitments; resolve any action that would recreate an existing invoice/event/order.</w:t>
      </w:r>
    </w:p>
    <w:p>
      <w:pPr>
        <w:pStyle w:val="ListNumber"/>
        <w:numPr>
          <w:ilvl w:val="0"/>
          <w:numId w:val="29"/>
        </w:numPr>
      </w:pPr>
      <w:r>
        <w:t>Rehearse the cutover plan for each producer: final import time, old trigger disabled, replacement enabled and verification. Rehearse rollback with stored external IDs so restoring data cannot resend completed actions.</w:t>
      </w:r>
    </w:p>
    <w:p>
      <w:pPr>
        <w:pStyle w:val="ListNumber"/>
        <w:numPr>
          <w:ilvl w:val="0"/>
          <w:numId w:val="29"/>
        </w:numPr>
      </w:pPr>
      <w:r>
        <w:t>Train Tanya on booking/move/reassign/cancel/late-delivery/calls; Ben on bank checks/panel usage; Hannah on variations/Phoenix; stores on receipt/pick/return; installers on photos/offline/return reports. Record practical demonstrations.</w:t>
      </w:r>
    </w:p>
    <w:p>
      <w:pPr>
        <w:pStyle w:val="ListNumber"/>
        <w:numPr>
          <w:ilvl w:val="0"/>
          <w:numId w:val="29"/>
        </w:numPr>
      </w:pPr>
      <w:r>
        <w:t>Record the pilot jobs, users, support owner, observation period and criteria for expanding use. Prepare the release-day checklist and completed sign-off form for Ben.</w:t>
      </w:r>
    </w:p>
    <w:p>
      <w:pPr>
        <w:pStyle w:val="GuideSubhead"/>
      </w:pPr>
      <w:r>
        <w:t>Test immediately • T036, T108, T112; repeat affected migration cases</w:t>
      </w:r>
    </w:p>
    <w:p>
      <w:r>
        <w:t>Run one full synthetic sale-to-payment job and one cancellation using only the manuals. Restore/rollback the rehearsal and verify no repeated external actions. Ask each role to perform one exception unaided. Migration totals must reconcile or show individually resolved differences before live use.</w:t>
      </w:r>
    </w:p>
    <w:p>
      <w:pPr>
        <w:pStyle w:val="GuideSubhead"/>
      </w:pPr>
      <w:r>
        <w:t>Move on when</w:t>
      </w:r>
    </w:p>
    <w:p>
      <w:r>
        <w:t>The migration is reconciled, rollback works, users can perform their jobs and the company holds the complete source/configuration/support pack.</w:t>
      </w:r>
    </w:p>
    <w:p>
      <w:pPr>
        <w:pStyle w:val="GuideSubhead"/>
      </w:pPr>
      <w:r>
        <w:t>Save as evidence</w:t>
      </w:r>
    </w:p>
    <w:p>
      <w:r>
        <w:t>Migration control totals, unmatched-items resolutions, cutover/rollback checklist, training records and pilot plan.</w:t>
      </w:r>
    </w:p>
    <w:p>
      <w:r>
        <w:br w:type="page"/>
      </w:r>
    </w:p>
    <w:p>
      <w:pPr>
        <w:pStyle w:val="Heading1"/>
      </w:pPr>
      <w:r>
        <w:t>S20 • Release deliberately and observe real cycles</w:t>
      </w:r>
    </w:p>
    <w:p>
      <w:pPr>
        <w:pStyle w:val="GuideMeta"/>
      </w:pPr>
      <w:r>
        <w:t>Start with: S19 passed and Ben's recorded release decision. This is the first stage that enables the approved production replacements.</w:t>
      </w:r>
    </w:p>
    <w:p>
      <w:pPr>
        <w:pStyle w:val="GuideSubhead"/>
      </w:pPr>
      <w:r>
        <w:t>Run in this order</w:t>
      </w:r>
    </w:p>
    <w:p>
      <w:pPr>
        <w:pStyle w:val="ListNumber"/>
        <w:numPr>
          <w:ilvl w:val="0"/>
          <w:numId w:val="30"/>
        </w:numPr>
      </w:pPr>
      <w:r>
        <w:t>Back up production and record the final source/configuration versions. Verify real contacts/calendars, technical templates and accounting mappings required by the enabled features. Keep agreed deferred features visibly disabled.</w:t>
      </w:r>
    </w:p>
    <w:p>
      <w:pPr>
        <w:pStyle w:val="ListNumber"/>
        <w:numPr>
          <w:ilvl w:val="0"/>
          <w:numId w:val="30"/>
        </w:numPr>
      </w:pPr>
      <w:r>
        <w:t>At the planned time, import/reconcile the final changes. Disable each old outgoing producer only as its tested replacement takes ownership. Record ownership separately for Calendar, invoices, supplier messages and GHL.</w:t>
      </w:r>
    </w:p>
    <w:p>
      <w:pPr>
        <w:pStyle w:val="ListNumber"/>
        <w:numPr>
          <w:ilvl w:val="0"/>
          <w:numId w:val="30"/>
        </w:numPr>
      </w:pPr>
      <w:r>
        <w:t>Enable only approved production workers and recipients. Run harmless authorised smoke checks on a designated pilot job. Verify sign-in, committed task history, polling, correct job display and one intended external action.</w:t>
      </w:r>
    </w:p>
    <w:p>
      <w:pPr>
        <w:pStyle w:val="ListNumber"/>
        <w:numPr>
          <w:ilvl w:val="0"/>
          <w:numId w:val="30"/>
        </w:numPr>
      </w:pPr>
      <w:r>
        <w:t>Monitor the first business day: queue age, failed/uncertain sends, overdue/unowned tasks, job counts and relevant external IDs. Tanya performs the daily health and end-of-day reviews from the manual.</w:t>
      </w:r>
    </w:p>
    <w:p>
      <w:pPr>
        <w:pStyle w:val="ListNumber"/>
        <w:numPr>
          <w:ilvl w:val="0"/>
          <w:numId w:val="30"/>
        </w:numPr>
      </w:pPr>
      <w:r>
        <w:t>Observe the first Friday lists and interim-payment checks, the following Thursday receipts, an installation/call/commissioning/strip cycle and the first month-end report. Record real outcomes alongside the test evidence.</w:t>
      </w:r>
    </w:p>
    <w:p>
      <w:pPr>
        <w:pStyle w:val="ListNumber"/>
        <w:numPr>
          <w:ilvl w:val="0"/>
          <w:numId w:val="30"/>
        </w:numPr>
      </w:pPr>
      <w:r>
        <w:t>If a critical fault appears, pause the affected outgoing worker, keep committed IDs/history and follow the tested reconciliation/rollback process. Give Tanya a manual action queue; do not blindly re-enable both producers.</w:t>
      </w:r>
    </w:p>
    <w:p>
      <w:pPr>
        <w:pStyle w:val="ListNumber"/>
        <w:numPr>
          <w:ilvl w:val="0"/>
          <w:numId w:val="30"/>
        </w:numPr>
      </w:pPr>
      <w:r>
        <w:t>Review the pilot with Ben and the developer before expanding to all jobs/users. Close remaining defects or record their owner/date. Confirm ongoing support, backup checks and responsibility for future changes.</w:t>
      </w:r>
    </w:p>
    <w:p>
      <w:pPr>
        <w:pStyle w:val="GuideSubhead"/>
      </w:pPr>
      <w:r>
        <w:t>Test immediately • G20 and pilot observation</w:t>
      </w:r>
    </w:p>
    <w:p>
      <w:r>
        <w:t>Do not run destructive fault-injection tests against production. G20 checks only authorised real actions and reconciliation. The developer records whether each observed Friday, Thursday, completion and month-end cycle matched the accepted rules; failed observations create tracked defects.</w:t>
      </w:r>
    </w:p>
    <w:p>
      <w:pPr>
        <w:pStyle w:val="GuideSubhead"/>
      </w:pPr>
      <w:r>
        <w:t>Move on when</w:t>
      </w:r>
    </w:p>
    <w:p>
      <w:r>
        <w:t>The agreed pilot criteria are met and Ben accepts expansion. Release-day smoke checks do not replace the later cycle observations or support handover.</w:t>
      </w:r>
    </w:p>
    <w:p>
      <w:pPr>
        <w:pStyle w:val="GuideSubhead"/>
      </w:pPr>
      <w:r>
        <w:t>Save as evidence</w:t>
      </w:r>
    </w:p>
    <w:p>
      <w:r>
        <w:t>Production release record, producer ownership list, smoke/cycle results, reconciliation, support contacts and Ben's acceptance decision.</w:t>
      </w:r>
    </w:p>
    <w:p>
      <w:r>
        <w:br w:type="page"/>
      </w:r>
    </w:p>
    <w:p>
      <w:pPr>
        <w:pStyle w:val="Heading1"/>
      </w:pPr>
      <w:r>
        <w:t>After any later change • choose the right retest</w:t>
      </w:r>
    </w:p>
    <w:p>
      <w:r>
        <w:t>Run the changed behaviour immediately in test, then the affected cases below before deploying. Keep a new configuration/schema version and preserve old records. Rerun the whole suite when shared engine, identity, clock or finance policy changes have broad effects; otherwise use the affected set and record the reason.</w:t>
      </w:r>
    </w:p>
    <w:p>
      <w:pPr>
        <w:pStyle w:val="GuideSubhead"/>
      </w:pPr>
      <w:r>
        <w:t>Person, merchant or form changes</w:t>
      </w:r>
    </w:p>
    <w:p>
      <w:r>
        <w:t>New/deactivated installer: T030–T035, T098, T100 and T111. New merchant/scaffolder: T037–T044, T059–T063, T099 and T111. Form question/type/mapping changes: T003–T011, T070–T073 and T111. Include both an old and a new record.</w:t>
      </w:r>
    </w:p>
    <w:p>
      <w:pPr>
        <w:pStyle w:val="GuideSubhead"/>
      </w:pPr>
      <w:r>
        <w:t>Date, stock or money changes</w:t>
      </w:r>
    </w:p>
    <w:p>
      <w:r>
        <w:t>Calendar/date rules: T026–T044, T056–T061, T064–T067, T080 and T110. Stock/product logic: T011, T040–T041, T046–T058 and the stock portions of T091/T108. Payment/accounting logic: T007, T013–T014, T029, T075, T078–T097 and applicable report snapshots.</w:t>
      </w:r>
    </w:p>
    <w:p>
      <w:pPr>
        <w:pStyle w:val="GuideSubhead"/>
      </w:pPr>
      <w:r>
        <w:t>Processor, access or display changes</w:t>
      </w:r>
    </w:p>
    <w:p>
      <w:r>
        <w:t>Processor/authentication/recovery: T001–T006, T017, T024, T053 and T098–T110, plus all affected business flows. A shared processor change normally warrants the full suite. Display-only changes: relevant manual journey, T012, T022–T023, T026–T027 and access checks for any changed screen.</w:t>
      </w:r>
    </w:p>
    <w:p>
      <w:pPr>
        <w:pStyle w:val="GuideSubhead"/>
      </w:pPr>
      <w:r>
        <w:t>Stage completion record</w:t>
      </w:r>
    </w:p>
    <w:p>
      <w:r>
        <w:t>Copy this record into the project tracker for each S-stage: stage; release/config version; developer; completion date; immediate checks passed; T-cases with component/integration results; evidence location; unresolved item and next test stage; demonstration reviewer; decision to proceed. All required checks need an actual recorded result.</w:t>
      </w:r>
    </w:p>
    <w:p>
      <w:pPr>
        <w:pStyle w:val="GuideSubhead"/>
      </w:pPr>
      <w:r>
        <w:t>References and document control</w:t>
      </w:r>
    </w:p>
    <w:p>
      <w:r>
        <w:t>This edition adds the execution sequence to the three implementation-edition 2.0 documents. If the developer changes names, architecture or business behaviour, record the change and update the affected guide/tests together. This document is an instruction pack; it is not evidence that the software has already been built or tested.</w:t>
      </w:r>
    </w:p>
    <w:p>
      <w:r>
        <w:t xml:space="preserve">[R1] Google Apps Script, Installable triggers: </w:t>
      </w:r>
      <w:hyperlink r:id="rId11">
        <w:r>
          <w:rPr>
            <w:color w:val="2E74B5"/>
          </w:rPr>
          <w:t>https://developers.google.com/apps-script/guides/triggers/installable</w:t>
        </w:r>
      </w:hyperlink>
      <w:r>
        <w:t xml:space="preserve"> — consulted 5 September 2026 for API-write and trigger-owner constraints.</w:t>
      </w:r>
    </w:p>
    <w:p>
      <w:r>
        <w:t xml:space="preserve">[R2] AppSheet, Security filters: </w:t>
      </w:r>
      <w:hyperlink r:id="rId12">
        <w:r>
          <w:rPr>
            <w:color w:val="2E74B5"/>
          </w:rPr>
          <w:t>https://support.google.com/appsheet/answer/10104488</w:t>
        </w:r>
      </w:hyperlink>
      <w:r>
        <w:t xml:space="preserve"> — consulted 5 September 2026 for sign-in, row filters and editor location. Actual plan entitlements and file/source permissions must be verified in S01/S04.</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Implementation edition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SIMPLE SOLAR  /  STEP-BY-STEP BUILD AND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tabs>
          <w:tab w:val="num" w:pos="540"/>
        </w:tabs>
        <w:ind w:left="540" w:hanging="271"/>
      </w:pPr>
    </w:lvl>
  </w:abstractNum>
  <w:num w:numId="10">
    <w:abstractNumId w:val="9"/>
  </w:num>
  <w:abstractNum w:abstractNumId="10">
    <w:lvl w:ilvl="0">
      <w:start w:val="1"/>
      <w:numFmt w:val="decimal"/>
      <w:lvlText w:val="%1."/>
      <w:lvlJc w:val="left"/>
      <w:pPr>
        <w:tabs>
          <w:tab w:val="num" w:pos="540"/>
        </w:tabs>
        <w:ind w:left="540" w:hanging="271"/>
      </w:pPr>
    </w:lvl>
  </w:abstractNum>
  <w:num w:numId="11">
    <w:abstractNumId w:val="10"/>
  </w:num>
  <w:abstractNum w:abstractNumId="11">
    <w:lvl w:ilvl="0">
      <w:start w:val="1"/>
      <w:numFmt w:val="decimal"/>
      <w:lvlText w:val="%1."/>
      <w:lvlJc w:val="left"/>
      <w:pPr>
        <w:tabs>
          <w:tab w:val="num" w:pos="540"/>
        </w:tabs>
        <w:ind w:left="540" w:hanging="271"/>
      </w:pPr>
    </w:lvl>
  </w:abstractNum>
  <w:num w:numId="12">
    <w:abstractNumId w:val="11"/>
  </w:num>
  <w:abstractNum w:abstractNumId="12">
    <w:lvl w:ilvl="0">
      <w:start w:val="1"/>
      <w:numFmt w:val="decimal"/>
      <w:lvlText w:val="%1."/>
      <w:lvlJc w:val="left"/>
      <w:pPr>
        <w:tabs>
          <w:tab w:val="num" w:pos="540"/>
        </w:tabs>
        <w:ind w:left="540" w:hanging="271"/>
      </w:pPr>
    </w:lvl>
  </w:abstractNum>
  <w:num w:numId="13">
    <w:abstractNumId w:val="12"/>
  </w:num>
  <w:abstractNum w:abstractNumId="13">
    <w:lvl w:ilvl="0">
      <w:start w:val="1"/>
      <w:numFmt w:val="decimal"/>
      <w:lvlText w:val="%1."/>
      <w:lvlJc w:val="left"/>
      <w:pPr>
        <w:tabs>
          <w:tab w:val="num" w:pos="540"/>
        </w:tabs>
        <w:ind w:left="540" w:hanging="271"/>
      </w:pPr>
    </w:lvl>
  </w:abstractNum>
  <w:num w:numId="14">
    <w:abstractNumId w:val="13"/>
  </w:num>
  <w:abstractNum w:abstractNumId="14">
    <w:lvl w:ilvl="0">
      <w:start w:val="1"/>
      <w:numFmt w:val="decimal"/>
      <w:lvlText w:val="%1."/>
      <w:lvlJc w:val="left"/>
      <w:pPr>
        <w:tabs>
          <w:tab w:val="num" w:pos="540"/>
        </w:tabs>
        <w:ind w:left="540" w:hanging="271"/>
      </w:pPr>
    </w:lvl>
  </w:abstractNum>
  <w:num w:numId="15">
    <w:abstractNumId w:val="14"/>
  </w:num>
  <w:abstractNum w:abstractNumId="15">
    <w:lvl w:ilvl="0">
      <w:start w:val="1"/>
      <w:numFmt w:val="decimal"/>
      <w:lvlText w:val="%1."/>
      <w:lvlJc w:val="left"/>
      <w:pPr>
        <w:tabs>
          <w:tab w:val="num" w:pos="540"/>
        </w:tabs>
        <w:ind w:left="540" w:hanging="271"/>
      </w:pPr>
    </w:lvl>
  </w:abstractNum>
  <w:num w:numId="16">
    <w:abstractNumId w:val="15"/>
  </w:num>
  <w:abstractNum w:abstractNumId="16">
    <w:lvl w:ilvl="0">
      <w:start w:val="1"/>
      <w:numFmt w:val="decimal"/>
      <w:lvlText w:val="%1."/>
      <w:lvlJc w:val="left"/>
      <w:pPr>
        <w:tabs>
          <w:tab w:val="num" w:pos="540"/>
        </w:tabs>
        <w:ind w:left="540" w:hanging="271"/>
      </w:pPr>
    </w:lvl>
  </w:abstractNum>
  <w:num w:numId="17">
    <w:abstractNumId w:val="16"/>
  </w:num>
  <w:abstractNum w:abstractNumId="17">
    <w:lvl w:ilvl="0">
      <w:start w:val="1"/>
      <w:numFmt w:val="decimal"/>
      <w:lvlText w:val="%1."/>
      <w:lvlJc w:val="left"/>
      <w:pPr>
        <w:tabs>
          <w:tab w:val="num" w:pos="540"/>
        </w:tabs>
        <w:ind w:left="540" w:hanging="271"/>
      </w:pPr>
    </w:lvl>
  </w:abstractNum>
  <w:num w:numId="18">
    <w:abstractNumId w:val="17"/>
  </w:num>
  <w:abstractNum w:abstractNumId="18">
    <w:lvl w:ilvl="0">
      <w:start w:val="1"/>
      <w:numFmt w:val="decimal"/>
      <w:lvlText w:val="%1."/>
      <w:lvlJc w:val="left"/>
      <w:pPr>
        <w:tabs>
          <w:tab w:val="num" w:pos="540"/>
        </w:tabs>
        <w:ind w:left="540" w:hanging="271"/>
      </w:pPr>
    </w:lvl>
  </w:abstractNum>
  <w:num w:numId="19">
    <w:abstractNumId w:val="18"/>
  </w:num>
  <w:abstractNum w:abstractNumId="19">
    <w:lvl w:ilvl="0">
      <w:start w:val="1"/>
      <w:numFmt w:val="decimal"/>
      <w:lvlText w:val="%1."/>
      <w:lvlJc w:val="left"/>
      <w:pPr>
        <w:tabs>
          <w:tab w:val="num" w:pos="540"/>
        </w:tabs>
        <w:ind w:left="540" w:hanging="271"/>
      </w:pPr>
    </w:lvl>
  </w:abstractNum>
  <w:num w:numId="20">
    <w:abstractNumId w:val="19"/>
  </w:num>
  <w:abstractNum w:abstractNumId="20">
    <w:lvl w:ilvl="0">
      <w:start w:val="1"/>
      <w:numFmt w:val="decimal"/>
      <w:lvlText w:val="%1."/>
      <w:lvlJc w:val="left"/>
      <w:pPr>
        <w:tabs>
          <w:tab w:val="num" w:pos="540"/>
        </w:tabs>
        <w:ind w:left="540" w:hanging="271"/>
      </w:pPr>
    </w:lvl>
  </w:abstractNum>
  <w:num w:numId="21">
    <w:abstractNumId w:val="20"/>
  </w:num>
  <w:abstractNum w:abstractNumId="21">
    <w:lvl w:ilvl="0">
      <w:start w:val="1"/>
      <w:numFmt w:val="decimal"/>
      <w:lvlText w:val="%1."/>
      <w:lvlJc w:val="left"/>
      <w:pPr>
        <w:tabs>
          <w:tab w:val="num" w:pos="540"/>
        </w:tabs>
        <w:ind w:left="540" w:hanging="271"/>
      </w:pPr>
    </w:lvl>
  </w:abstractNum>
  <w:num w:numId="22">
    <w:abstractNumId w:val="21"/>
  </w:num>
  <w:abstractNum w:abstractNumId="22">
    <w:lvl w:ilvl="0">
      <w:start w:val="1"/>
      <w:numFmt w:val="decimal"/>
      <w:lvlText w:val="%1."/>
      <w:lvlJc w:val="left"/>
      <w:pPr>
        <w:tabs>
          <w:tab w:val="num" w:pos="540"/>
        </w:tabs>
        <w:ind w:left="540" w:hanging="271"/>
      </w:pPr>
    </w:lvl>
  </w:abstractNum>
  <w:num w:numId="23">
    <w:abstractNumId w:val="22"/>
  </w:num>
  <w:abstractNum w:abstractNumId="23">
    <w:lvl w:ilvl="0">
      <w:start w:val="1"/>
      <w:numFmt w:val="decimal"/>
      <w:lvlText w:val="%1."/>
      <w:lvlJc w:val="left"/>
      <w:pPr>
        <w:tabs>
          <w:tab w:val="num" w:pos="540"/>
        </w:tabs>
        <w:ind w:left="540" w:hanging="271"/>
      </w:pPr>
    </w:lvl>
  </w:abstractNum>
  <w:num w:numId="24">
    <w:abstractNumId w:val="23"/>
  </w:num>
  <w:abstractNum w:abstractNumId="24">
    <w:lvl w:ilvl="0">
      <w:start w:val="1"/>
      <w:numFmt w:val="decimal"/>
      <w:lvlText w:val="%1."/>
      <w:lvlJc w:val="left"/>
      <w:pPr>
        <w:tabs>
          <w:tab w:val="num" w:pos="540"/>
        </w:tabs>
        <w:ind w:left="540" w:hanging="271"/>
      </w:pPr>
    </w:lvl>
  </w:abstractNum>
  <w:num w:numId="25">
    <w:abstractNumId w:val="24"/>
  </w:num>
  <w:abstractNum w:abstractNumId="25">
    <w:lvl w:ilvl="0">
      <w:start w:val="1"/>
      <w:numFmt w:val="decimal"/>
      <w:lvlText w:val="%1."/>
      <w:lvlJc w:val="left"/>
      <w:pPr>
        <w:tabs>
          <w:tab w:val="num" w:pos="540"/>
        </w:tabs>
        <w:ind w:left="540" w:hanging="271"/>
      </w:pPr>
    </w:lvl>
  </w:abstractNum>
  <w:num w:numId="26">
    <w:abstractNumId w:val="25"/>
  </w:num>
  <w:abstractNum w:abstractNumId="26">
    <w:lvl w:ilvl="0">
      <w:start w:val="1"/>
      <w:numFmt w:val="decimal"/>
      <w:lvlText w:val="%1."/>
      <w:lvlJc w:val="left"/>
      <w:pPr>
        <w:tabs>
          <w:tab w:val="num" w:pos="540"/>
        </w:tabs>
        <w:ind w:left="540" w:hanging="271"/>
      </w:pPr>
    </w:lvl>
  </w:abstractNum>
  <w:num w:numId="27">
    <w:abstractNumId w:val="26"/>
  </w:num>
  <w:abstractNum w:abstractNumId="27">
    <w:lvl w:ilvl="0">
      <w:start w:val="1"/>
      <w:numFmt w:val="decimal"/>
      <w:lvlText w:val="%1."/>
      <w:lvlJc w:val="left"/>
      <w:pPr>
        <w:tabs>
          <w:tab w:val="num" w:pos="540"/>
        </w:tabs>
        <w:ind w:left="540" w:hanging="271"/>
      </w:pPr>
    </w:lvl>
  </w:abstractNum>
  <w:num w:numId="28">
    <w:abstractNumId w:val="27"/>
  </w:num>
  <w:abstractNum w:abstractNumId="28">
    <w:lvl w:ilvl="0">
      <w:start w:val="1"/>
      <w:numFmt w:val="decimal"/>
      <w:lvlText w:val="%1."/>
      <w:lvlJc w:val="left"/>
      <w:pPr>
        <w:tabs>
          <w:tab w:val="num" w:pos="540"/>
        </w:tabs>
        <w:ind w:left="540" w:hanging="271"/>
      </w:pPr>
    </w:lvl>
  </w:abstractNum>
  <w:num w:numId="29">
    <w:abstractNumId w:val="28"/>
  </w:num>
  <w:abstractNum w:abstractNumId="29">
    <w:lvl w:ilvl="0">
      <w:start w:val="1"/>
      <w:numFmt w:val="decimal"/>
      <w:lvlText w:val="%1."/>
      <w:lvlJc w:val="left"/>
      <w:pPr>
        <w:tabs>
          <w:tab w:val="num" w:pos="540"/>
        </w:tabs>
        <w:ind w:left="540" w:hanging="271"/>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4"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i w:val="0"/>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head">
    <w:name w:val="Guide Subhead"/>
    <w:basedOn w:val="Normal"/>
    <w:pPr>
      <w:keepNext/>
      <w:spacing w:line="264" w:lineRule="auto" w:before="120" w:after="60"/>
    </w:pPr>
    <w:rPr>
      <w:b/>
      <w:color w:val="1F4D78"/>
      <w:sz w:val="22"/>
    </w:rPr>
  </w:style>
  <w:style w:type="paragraph" w:customStyle="1" w:styleId="GuideMeta">
    <w:name w:val="Guide Meta"/>
    <w:basedOn w:val="Normal"/>
    <w:pPr>
      <w:spacing w:line="264" w:lineRule="auto" w:before="0" w:after="120"/>
    </w:pPr>
    <w:rPr>
      <w:color w:val="64748B"/>
      <w:sz w:val="20"/>
    </w:rPr>
  </w:style>
  <w:style w:type="paragraph" w:customStyle="1" w:styleId="Index">
    <w:name w:val="Index"/>
    <w:basedOn w:val="Normal"/>
    <w:pPr>
      <w:spacing w:line="252" w:lineRule="auto" w:before="0" w:after="60"/>
    </w:pPr>
    <w:rPr>
      <w:sz w:val="19"/>
    </w:rPr>
  </w:style>
  <w:style w:type="paragraph" w:customStyle="1" w:styleId="Running">
    <w:name w:val="Running"/>
    <w:basedOn w:val="Normal"/>
    <w:pPr>
      <w:spacing w:line="264" w:lineRule="auto" w:before="0" w:after="0"/>
    </w:pPr>
    <w:rPr>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apps-script/guides/triggers/installable" TargetMode="External"/><Relationship Id="rId12" Type="http://schemas.openxmlformats.org/officeDocument/2006/relationships/hyperlink" Target="https://support.google.com/appsheet/answer/10104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Solar Step-by-Step Build and Test Guide</dc:title>
  <dc:subject>Ordered developer instructions and staged acceptance checks</dc:subject>
  <dc:creator>Simple Solar</dc:creator>
  <cp:keywords/>
  <dc:description>generated by python-docx</dc:description>
  <cp:lastModifiedBy/>
  <cp:revision>1</cp:revision>
  <dcterms:created xsi:type="dcterms:W3CDTF">2013-12-23T23:15:00Z</dcterms:created>
  <dcterms:modified xsi:type="dcterms:W3CDTF">2013-12-23T23:15:00Z</dcterms:modified>
  <cp:category/>
</cp:coreProperties>
</file>