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Phased rollout amendment</w:t>
      </w:r>
    </w:p>
    <w:p>
      <w:pPr>
        <w:pStyle w:val="Subtitle"/>
      </w:pPr>
      <w:r>
        <w:t>Simple Solar • RA01 • Version 1.0 • 5 September 2026</w:t>
      </w:r>
    </w:p>
    <w:p>
      <w:pPr/>
      <w:r/>
      <w:r>
        <w:rPr>
          <w:b/>
        </w:rPr>
        <w:t>Purpose: allow a tested office system to be used on real jobs while the remaining modules are built.</w:t>
      </w:r>
      <w:r>
        <w:t xml:space="preserve"> Introduce four controlled releases, each with its own testing, training and go-live decision. The developer should quote and demonstrate these as separate milestones.</w:t>
      </w:r>
    </w:p>
    <w:p>
      <w:pPr>
        <w:pStyle w:val="Heading2"/>
      </w:pPr>
      <w:r>
        <w:t>1. How this changes the existing instructions</w:t>
      </w:r>
    </w:p>
    <w:p>
      <w:pPr/>
      <w:r>
        <w:t>Read this amendment with documents 01–03, implementation edition 2.0, and document 04, Step-by-step Build and Test Guide, edition 2.1. It takes precedence where those documents require every build stage to finish before the first live release. The agreed final functions and business rules remain in scope.</w:t>
      </w:r>
    </w:p>
    <w:p>
      <w:pPr>
        <w:pStyle w:val="ListBullet"/>
        <w:numPr>
          <w:ilvl w:val="0"/>
          <w:numId w:val="40"/>
        </w:numPr>
      </w:pPr>
      <w:r>
        <w:t>Replace the instruction to follow S01–S20 strictly in numerical order with the dependency-based allocation below. Keep each stage’s technical instructions and evidence requirements for the part being built.</w:t>
      </w:r>
    </w:p>
    <w:p>
      <w:pPr>
        <w:pStyle w:val="ListBullet"/>
        <w:numPr>
          <w:ilvl w:val="0"/>
          <w:numId w:val="40"/>
        </w:numPr>
      </w:pPr>
      <w:r>
        <w:t xml:space="preserve">Repeat </w:t>
      </w:r>
      <w:r>
        <w:rPr>
          <w:b/>
        </w:rPr>
        <w:t>S18 acceptance, S19 migration/training and S20 controlled release for each release</w:t>
      </w:r>
      <w:r>
        <w:t>: R1-S18 through R4-S20. S20 becomes a repeatable release procedure, rather than a single final switch-on.</w:t>
      </w:r>
    </w:p>
    <w:p>
      <w:pPr>
        <w:pStyle w:val="ListBullet"/>
        <w:numPr>
          <w:ilvl w:val="0"/>
          <w:numId w:val="40"/>
        </w:numPr>
      </w:pPr>
      <w:r>
        <w:t>Move the relevant cancellation, recovery, health and usable-screen work forward into R1. Later modules cannot be used as a reason to omit those controls from the first live system.</w:t>
      </w:r>
    </w:p>
    <w:p>
      <w:pPr>
        <w:pStyle w:val="ListBullet"/>
        <w:numPr>
          <w:ilvl w:val="0"/>
          <w:numId w:val="40"/>
        </w:numPr>
      </w:pPr>
      <w:r>
        <w:t>Apply tests to the functions enabled in each release and the manual work connecting them to existing processes. Retain the complete T001–T112 register; deferred assertions remain outstanding until implemented and tested.</w:t>
      </w:r>
    </w:p>
    <w:p>
      <w:pPr>
        <w:pStyle w:val="Heading2"/>
      </w:pPr>
      <w:r>
        <w:t>2. Release allocation</w:t>
      </w:r>
    </w:p>
    <w:tbl>
      <w:tblPr>
        <w:tblLook w:firstColumn="1" w:firstRow="1" w:lastColumn="0" w:lastRow="0" w:noHBand="0" w:noVBand="1" w:val="04A0"/>
        <w:tblW w:w="9412" w:type="dxa"/>
        <w:tblInd w:w="120" w:type="dxa"/>
        <w:tblLayout w:type="fixed"/>
        <w:tblCellMar>
          <w:top w:w="80" w:type="dxa"/>
          <w:bottom w:w="80" w:type="dxa"/>
          <w:start w:w="120" w:type="dxa"/>
          <w:end w:w="120" w:type="dxa"/>
        </w:tblCellMar>
        <w:tblBorders>
          <w:top w:val="single" w:sz="4" w:color="CED4DC"/>
          <w:left w:val="single" w:sz="4" w:color="CED4DC"/>
          <w:bottom w:val="single" w:sz="4" w:color="CED4DC"/>
          <w:right w:val="single" w:sz="4" w:color="CED4DC"/>
          <w:insideH w:val="single" w:sz="4" w:color="CED4DC"/>
          <w:insideV w:val="single" w:sz="4" w:color="CED4DC"/>
        </w:tblBorders>
      </w:tblPr>
      <w:tblGrid>
        <w:gridCol w:w="1977"/>
        <w:gridCol w:w="3953"/>
        <w:gridCol w:w="3482"/>
      </w:tblGrid>
      <w:tr>
        <w:trPr>
          <w:cantSplit/>
          <w:tblHeader/>
        </w:trPr>
        <w:tc>
          <w:tcPr>
            <w:tcW w:type="dxa" w:w="1977"/>
            <w:shd w:fill="F2F4F7"/>
          </w:tcPr>
          <w:p>
            <w:pPr>
              <w:pStyle w:val="TableHeader"/>
            </w:pPr>
            <w:r>
              <w:t>Release</w:t>
            </w:r>
          </w:p>
        </w:tc>
        <w:tc>
          <w:tcPr>
            <w:tcW w:type="dxa" w:w="3953"/>
            <w:shd w:fill="F2F4F7"/>
          </w:tcPr>
          <w:p>
            <w:pPr>
              <w:pStyle w:val="TableHeader"/>
            </w:pPr>
            <w:r>
              <w:t>Build work from document 04</w:t>
            </w:r>
          </w:p>
        </w:tc>
        <w:tc>
          <w:tcPr>
            <w:tcW w:type="dxa" w:w="3482"/>
            <w:shd w:fill="F2F4F7"/>
          </w:tcPr>
          <w:p>
            <w:pPr>
              <w:pStyle w:val="TableHeader"/>
            </w:pPr>
            <w:r>
              <w:t>First usable outcome</w:t>
            </w:r>
          </w:p>
        </w:tc>
      </w:tr>
      <w:tr>
        <w:trPr>
          <w:cantSplit/>
        </w:trPr>
        <w:tc>
          <w:tcPr>
            <w:tcW w:type="dxa" w:w="1977"/>
          </w:tcPr>
          <w:p>
            <w:pPr>
              <w:pStyle w:val="TableText"/>
            </w:pPr>
            <w:r>
              <w:t>R1 • Office operations</w:t>
            </w:r>
          </w:p>
        </w:tc>
        <w:tc>
          <w:tcPr>
            <w:tcW w:type="dxa" w:w="3953"/>
          </w:tcPr>
          <w:p>
            <w:pPr>
              <w:pStyle w:val="TableText"/>
            </w:pPr>
            <w:r>
              <w:t>S01–S06; office/manual portions of S09–S13 and S15–S17</w:t>
            </w:r>
          </w:p>
        </w:tc>
        <w:tc>
          <w:tcPr>
            <w:tcW w:type="dxa" w:w="3482"/>
          </w:tcPr>
          <w:p>
            <w:pPr>
              <w:pStyle w:val="TableText"/>
            </w:pPr>
            <w:r>
              <w:t>Tanya manages selected jobs, tasks, planners, calls, issues and changes.</w:t>
            </w:r>
          </w:p>
        </w:tc>
      </w:tr>
      <w:tr>
        <w:trPr>
          <w:cantSplit/>
        </w:trPr>
        <w:tc>
          <w:tcPr>
            <w:tcW w:type="dxa" w:w="1977"/>
          </w:tcPr>
          <w:p>
            <w:pPr>
              <w:pStyle w:val="TableText"/>
            </w:pPr>
            <w:r>
              <w:t>R2 • Materials and scaffolding</w:t>
            </w:r>
          </w:p>
        </w:tc>
        <w:tc>
          <w:tcPr>
            <w:tcW w:type="dxa" w:w="3953"/>
          </w:tcPr>
          <w:p>
            <w:pPr>
              <w:pStyle w:val="TableText"/>
            </w:pPr>
            <w:r>
              <w:t>S07–S09; Calendar portion of S11; extend S15–S17</w:t>
            </w:r>
          </w:p>
        </w:tc>
        <w:tc>
          <w:tcPr>
            <w:tcW w:type="dxa" w:w="3482"/>
          </w:tcPr>
          <w:p>
            <w:pPr>
              <w:pStyle w:val="TableText"/>
            </w:pPr>
            <w:r>
              <w:t>Stores, orders, deliveries, scaffold bookings and Calendar updates work together.</w:t>
            </w:r>
          </w:p>
        </w:tc>
      </w:tr>
      <w:tr>
        <w:trPr>
          <w:cantSplit/>
        </w:trPr>
        <w:tc>
          <w:tcPr>
            <w:tcW w:type="dxa" w:w="1977"/>
          </w:tcPr>
          <w:p>
            <w:pPr>
              <w:pStyle w:val="TableText"/>
            </w:pPr>
            <w:r>
              <w:t>R3 • Installer commissioning</w:t>
            </w:r>
          </w:p>
        </w:tc>
        <w:tc>
          <w:tcPr>
            <w:tcW w:type="dxa" w:w="3953"/>
          </w:tcPr>
          <w:p>
            <w:pPr>
              <w:pStyle w:val="TableText"/>
            </w:pPr>
            <w:r>
              <w:t>S12; extend S10, S15–S17</w:t>
            </w:r>
          </w:p>
        </w:tc>
        <w:tc>
          <w:tcPr>
            <w:tcW w:type="dxa" w:w="3482"/>
          </w:tcPr>
          <w:p>
            <w:pPr>
              <w:pStyle w:val="TableText"/>
            </w:pPr>
            <w:r>
              <w:t>Installers submit the agreed forms and evidence; office reviews and follows up.</w:t>
            </w:r>
          </w:p>
        </w:tc>
      </w:tr>
      <w:tr>
        <w:trPr>
          <w:cantSplit/>
        </w:trPr>
        <w:tc>
          <w:tcPr>
            <w:tcW w:type="dxa" w:w="1977"/>
          </w:tcPr>
          <w:p>
            <w:pPr>
              <w:pStyle w:val="TableText"/>
            </w:pPr>
            <w:r>
              <w:t>R4 • Finance and reporting</w:t>
            </w:r>
          </w:p>
        </w:tc>
        <w:tc>
          <w:tcPr>
            <w:tcW w:type="dxa" w:w="3953"/>
          </w:tcPr>
          <w:p>
            <w:pPr>
              <w:pStyle w:val="TableText"/>
            </w:pPr>
            <w:r>
              <w:t>Automated portions of S13; S14; remaining S16–S17</w:t>
            </w:r>
          </w:p>
        </w:tc>
        <w:tc>
          <w:tcPr>
            <w:tcW w:type="dxa" w:w="3482"/>
          </w:tcPr>
          <w:p>
            <w:pPr>
              <w:pStyle w:val="TableText"/>
            </w:pPr>
            <w:r>
              <w:t>Invoice/payment integration, accounting schedules, reports and archive workflow.</w:t>
            </w:r>
          </w:p>
        </w:tc>
      </w:tr>
    </w:tbl>
    <w:p>
      <w:pPr>
        <w:spacing w:before="120"/>
      </w:pPr>
      <w:r>
        <w:t>Use the order R1 → R2 → R3 → R4 by default. R3 and R4 may exchange order if commissioning details are still pending and the documented manual evidence process supports R4. Record the revised dependency plan with Ben. Development can continue in test while an earlier release is live.</w:t>
      </w:r>
    </w:p>
    <w:p>
      <w:pPr/>
      <w:r/>
      <w:r>
        <w:rPr>
          <w:b/>
        </w:rPr>
        <w:t>Commissioning remains provisional.</w:t>
      </w:r>
      <w:r>
        <w:t xml:space="preserve"> Ben has not yet provided the commissioning forms and full process. R3 requires a separate commissioning amendment covering the actual questions, photos, checks, reviewers and handover contents. This does not prevent a properly controlled R1 or R2 release.</w:t>
      </w:r>
    </w:p>
    <w:p>
      <w:pPr>
        <w:pStyle w:val="Heading1"/>
      </w:pPr>
      <w:r>
        <w:t>R1 • Office operations</w:t>
      </w:r>
    </w:p>
    <w:p>
      <w:pPr>
        <w:pStyle w:val="Heading2"/>
      </w:pPr>
      <w:r>
        <w:t>3. Foundations required before any live use</w:t>
      </w:r>
    </w:p>
    <w:p>
      <w:pPr>
        <w:pStyle w:val="ListBullet"/>
        <w:numPr>
          <w:ilvl w:val="0"/>
          <w:numId w:val="40"/>
        </w:numPr>
      </w:pPr>
      <w:r>
        <w:t>Company-owned accounts, source/configuration, named support contacts and separate test/production environments. Test messages use approved test destinations.</w:t>
      </w:r>
    </w:p>
    <w:p>
      <w:pPr>
        <w:pStyle w:val="ListBullet"/>
        <w:numPr>
          <w:ilvl w:val="0"/>
          <w:numId w:val="40"/>
        </w:numPr>
      </w:pPr>
      <w:r>
        <w:t>Stable random Job IDs, correct text fields, duplicate-intake protection, authenticated users, role checks and protected history. Disabled installer/scaffolder access must be denied, including direct links.</w:t>
      </w:r>
    </w:p>
    <w:p>
      <w:pPr>
        <w:pStyle w:val="ListBullet"/>
        <w:numPr>
          <w:ilvl w:val="0"/>
          <w:numId w:val="40"/>
        </w:numPr>
      </w:pPr>
      <w:r>
        <w:t>Reliable task generation, safe simultaneous updates, interrupted-write recovery and an outbound queue with duplicate prevention. Uncertain external outcomes create a review task.</w:t>
      </w:r>
    </w:p>
    <w:p>
      <w:pPr>
        <w:pStyle w:val="ListBullet"/>
        <w:numPr>
          <w:ilvl w:val="0"/>
          <w:numId w:val="40"/>
        </w:numPr>
      </w:pPr>
      <w:r>
        <w:t>Backups and a demonstrated restore; failure alerts and a last-success indicator. Tanya has a daily authorisation/system-health task, with Ben as backup and a documented manual check if automation itself stops.</w:t>
      </w:r>
    </w:p>
    <w:p>
      <w:pPr>
        <w:pStyle w:val="ListBullet"/>
        <w:numPr>
          <w:ilvl w:val="0"/>
          <w:numId w:val="40"/>
        </w:numPr>
      </w:pPr>
      <w:r>
        <w:t>Per-function release settings, a defined list of pilot jobs and the ownership register in section 7. New features remain disabled until their release is approved.</w:t>
      </w:r>
    </w:p>
    <w:p>
      <w:pPr>
        <w:pStyle w:val="Heading2"/>
      </w:pPr>
      <w:r>
        <w:t>4. What must work in R1</w:t>
      </w:r>
    </w:p>
    <w:p>
      <w:pPr/>
      <w:r>
        <w:t>Implement Sold/Booking intake, detail/value checks, signed-contract and Ben’s bank-deposit checks for standard jobs, and the separate finance route. Record work already completed on paper. Provide named task owners, due dates, follow-ups, completion evidence and history; My Tasks, Team Tasks, overdue views and grouped job actions must be usable.</w:t>
      </w:r>
    </w:p>
    <w:p>
      <w:pPr/>
      <w:r>
        <w:t>Provide the three-week and six-week planners, multi-day work, Move Job, Change Installer and Add Installer. Preserve historical work and outstanding obligations. Customer/installer notices and all affected merchant, scaffold, Calendar and invoice changes create tracked actions, even while those external processes remain manual.</w:t>
      </w:r>
    </w:p>
    <w:p>
      <w:pPr/>
      <w:r>
        <w:t>Implement installer/customer call queues, no-answer follow-ups, return-visit remedials, complaints, Hannah’s variation alerts and the two-working-day missing-form reminder workflow for any installer. Tanya sends and records a reminder where automated delivery is not enabled. Complaints and issue history must survive cancellation, reassignment and apparent job completion.</w:t>
      </w:r>
    </w:p>
    <w:p>
      <w:pPr>
        <w:pStyle w:val="Heading2"/>
      </w:pPr>
      <w:r>
        <w:t>5. Manual work included from the start</w:t>
      </w:r>
    </w:p>
    <w:p>
      <w:pPr>
        <w:pStyle w:val="ListBullet"/>
        <w:numPr>
          <w:ilvl w:val="0"/>
          <w:numId w:val="40"/>
        </w:numPr>
      </w:pPr>
      <w:r/>
      <w:r>
        <w:rPr>
          <w:b/>
        </w:rPr>
        <w:t>Money:</w:t>
      </w:r>
      <w:r>
        <w:t xml:space="preserve"> retain the existing invoice process. Add tasks to obtain and verify one deposit invoice and the interim/balance drafts through the existing authorised route, check the 35% interim due on the Friday before installation, chase payments and verify the balance invoice before the GHL payment message. Ben’s bank check stays separate. Phoenix evidence/upload/chase tasks retain their named owners.</w:t>
      </w:r>
    </w:p>
    <w:p>
      <w:pPr>
        <w:pStyle w:val="ListBullet"/>
        <w:numPr>
          <w:ilvl w:val="0"/>
          <w:numId w:val="40"/>
        </w:numPr>
      </w:pPr>
      <w:r/>
      <w:r>
        <w:rPr>
          <w:b/>
        </w:rPr>
        <w:t>Evidence:</w:t>
      </w:r>
      <w:r>
        <w:t xml:space="preserve"> retain current commissioning forms. Record the form/file reference, package, receipt date, reviewer and review outcome against the existing company process. A planned installation date or a missing future app module cannot count as accepted evidence.</w:t>
      </w:r>
    </w:p>
    <w:p>
      <w:pPr>
        <w:pStyle w:val="ListBullet"/>
        <w:numPr>
          <w:ilvl w:val="0"/>
          <w:numId w:val="40"/>
        </w:numPr>
      </w:pPr>
      <w:r/>
      <w:r>
        <w:rPr>
          <w:b/>
        </w:rPr>
        <w:t>Completion:</w:t>
      </w:r>
      <w:r>
        <w:t xml:space="preserve"> keep required-work confirmation, accepted evidence, customer happiness and blocker checks. Tanya can approve operational completion when these pass; balance collection, handover and actual scaffold strip remain separate tracked obligations. GHL remains a human task.</w:t>
      </w:r>
    </w:p>
    <w:p>
      <w:pPr>
        <w:pStyle w:val="ListBullet"/>
        <w:numPr>
          <w:ilvl w:val="0"/>
          <w:numId w:val="40"/>
        </w:numPr>
      </w:pPr>
      <w:r/>
      <w:r>
        <w:rPr>
          <w:b/>
        </w:rPr>
        <w:t>Cancellation:</w:t>
      </w:r>
      <w:r>
        <w:t xml:space="preserve"> include notices, merchant confirmation/returns, scaffolder cancellation or safe strip, Calendar removal, invoice/credit/refund review, Signable, GHL and Phoenix where applicable. Reinstatement keeps the same Job ID and reviews previous commitments.</w:t>
      </w:r>
    </w:p>
    <w:p>
      <w:pPr/>
      <w:r/>
      <w:r>
        <w:rPr>
          <w:b/>
        </w:rPr>
        <w:t>R1 exit demonstration:</w:t>
      </w:r>
      <w:r>
        <w:t xml:space="preserve"> Tanya completes a normal job journey using the retained external processes, moves one trade, replaces an installer and handles a cancellation. Nothing outstanding disappears; the new system cannot trigger orders, invoices or invitations outside its approved scope.</w:t>
      </w:r>
    </w:p>
    <w:p>
      <w:pPr>
        <w:pStyle w:val="Heading1"/>
      </w:pPr>
      <w:r>
        <w:t>R2–R4 • Expand the live system</w:t>
      </w:r>
    </w:p>
    <w:p>
      <w:pPr>
        <w:pStyle w:val="Heading2"/>
      </w:pPr>
      <w:r>
        <w:t>6. Release scope and dependencies</w:t>
      </w:r>
    </w:p>
    <w:p>
      <w:pPr>
        <w:pStyle w:val="Heading3"/>
      </w:pPr>
      <w:r>
        <w:t>R2 • Materials, scaffolding and Calendar</w:t>
      </w:r>
    </w:p>
    <w:p>
      <w:pPr/>
      <w:r>
        <w:t>Enable ordering tasks, Other items with required details, already-ordered/stock sources, separate roofing/electrical delivery batches, Friday merchant lists and urgent revisions. Tanya’s confirmation task must refer to the latest revision. Delivery is the Thursday in the week before the relevant installation week; the reminder list is sent on the Friday before that Thursday.</w:t>
      </w:r>
    </w:p>
    <w:p>
      <w:pPr/>
      <w:r>
        <w:t>Add current/future picking, early and partial receipts, reservations, issues, installed quantities, returns, quarantine/damage and stocktakes. Show 460W/515W usage for each of the next two weeks, separately from stock. Until R3, office/store staff enter actual panel counts from roofing notes; do not infer installation from a planned date.</w:t>
      </w:r>
    </w:p>
    <w:p>
      <w:pPr/>
      <w:r>
        <w:t>Enable company-specific scaffold erect/authorised-strip lists, acknowledgement, actual removal and complaint tracking. Introduce the Calendar adapter here by default: verified contacts, retained event IDs, moves, guest changes and cancellations. Until its cutover passes, keep the R1 Calendar task process active.</w:t>
      </w:r>
    </w:p>
    <w:p>
      <w:pPr/>
      <w:r>
        <w:t xml:space="preserve">Before release, reconcile opening stock, open orders, deliveries, scaffold commitments and existing events. The store ledger must include </w:t>
      </w:r>
      <w:r>
        <w:rPr>
          <w:b/>
        </w:rPr>
        <w:t>all movements at the locations it covers, including non-pilot jobs</w:t>
      </w:r>
      <w:r>
        <w:t>. If that is not possible, retain manual stock records and keep the new balance feature disabled. Test the Wednesday change/Thursday delivery and stale-confirmation scenarios.</w:t>
      </w:r>
    </w:p>
    <w:p>
      <w:pPr>
        <w:pStyle w:val="Heading3"/>
      </w:pPr>
      <w:r>
        <w:t>R3 • Installer commissioning and handover</w:t>
      </w:r>
    </w:p>
    <w:p>
      <w:pPr/>
      <w:r>
        <w:t>Obtain Ben’s forms and map them with the technical lead. Agree trade/equipment questions, required photos, review/sign-off, return work and handover requirements. Use the separate commissioning amendment to update relevant build instructions, user guidance and tests before enabling these live forms.</w:t>
      </w:r>
    </w:p>
    <w:p>
      <w:pPr/>
      <w:r>
        <w:t>Enable assigned installer jobs, draft/resume, uploads, required-answer checks, offline/sync status, variations and submission/review/correction workflows. Keep reminders and historical installer responsibility. Existing accepted evidence remains valid; do not ask for every historic form again.</w:t>
      </w:r>
    </w:p>
    <w:p>
      <w:pPr/>
      <w:r>
        <w:t>Switch evidence capture by a recorded job/package and form-version boundary. Jobs already in progress keep their current capture route unless explicitly migrated. PDF presentation may follow later; maintain the existing complete handover process, with an owner and recorded sent version, until its replacement is accepted.</w:t>
      </w:r>
    </w:p>
    <w:p>
      <w:pPr>
        <w:pStyle w:val="Heading3"/>
      </w:pPr>
      <w:r>
        <w:t>R4 • Finance, reporting and archive</w:t>
      </w:r>
    </w:p>
    <w:p>
      <w:pPr/>
      <w:r>
        <w:t>Enable the tested Zapier/Xero request and callback routes, stage drafts, due-date handling and payment reconciliation. Match existing invoice IDs first; do not recreate invoices merely because a job enters this release. Preserve 25%/35%/40% rules, manual bank confirmation, Phoenix handling and human GHL progression.</w:t>
      </w:r>
    </w:p>
    <w:p>
      <w:pPr/>
      <w:r>
        <w:t>Add accounting schedules using configured accounts/tax/recognition rules, weekly reports, monthly/yearly sales trends and quality metrics. Reconcile opening balances and protect period snapshots. No placeholder live postings. If R3 is still pending, use accepted evidence from the recorded current process.</w:t>
      </w:r>
    </w:p>
    <w:p>
      <w:pPr/>
      <w:r>
        <w:t>Complete the six-month archive workflow with obligation checks and restore tests. Until that feature is accepted, retain records in the active data store, hide completed tasks through views, and monitor capacity. Do not purge records to simulate archiving. Final acceptance covers all commissioned features and outstanding test assertions.</w:t>
      </w:r>
    </w:p>
    <w:p>
      <w:pPr>
        <w:pStyle w:val="Heading1"/>
      </w:pPr>
      <w:r>
        <w:t>Working safely between releases</w:t>
      </w:r>
    </w:p>
    <w:p>
      <w:pPr>
        <w:pStyle w:val="Heading2"/>
      </w:pPr>
      <w:r>
        <w:t>7. One owner for each live action</w:t>
      </w:r>
    </w:p>
    <w:p>
      <w:pPr/>
      <w:r>
        <w:t xml:space="preserve">Create a release/ownership register using existing configuration and audit facilities. For each function record: mode </w:t>
      </w:r>
      <w:r>
        <w:rPr>
          <w:b/>
        </w:rPr>
        <w:t>Disabled / Manual / Automated</w:t>
      </w:r>
      <w:r>
        <w:t>; authorised job scope; current system and responsible person; external IDs; activation time; approved version; fallback procedure. Enforce these modes in the processor, not only by hiding app buttons.</w:t>
      </w:r>
    </w:p>
    <w:tbl>
      <w:tblPr>
        <w:tblLook w:firstColumn="1" w:firstRow="1" w:lastColumn="0" w:lastRow="0" w:noHBand="0" w:noVBand="1" w:val="04A0"/>
        <w:tblW w:w="9412" w:type="dxa"/>
        <w:tblInd w:w="120" w:type="dxa"/>
        <w:tblLayout w:type="fixed"/>
        <w:tblCellMar>
          <w:top w:w="80" w:type="dxa"/>
          <w:bottom w:w="80" w:type="dxa"/>
          <w:start w:w="120" w:type="dxa"/>
          <w:end w:w="120" w:type="dxa"/>
        </w:tblCellMar>
        <w:tblBorders>
          <w:top w:val="single" w:sz="4" w:color="CED4DC"/>
          <w:left w:val="single" w:sz="4" w:color="CED4DC"/>
          <w:bottom w:val="single" w:sz="4" w:color="CED4DC"/>
          <w:right w:val="single" w:sz="4" w:color="CED4DC"/>
          <w:insideH w:val="single" w:sz="4" w:color="CED4DC"/>
          <w:insideV w:val="single" w:sz="4" w:color="CED4DC"/>
        </w:tblBorders>
      </w:tblPr>
      <w:tblGrid>
        <w:gridCol w:w="2071"/>
        <w:gridCol w:w="4800"/>
        <w:gridCol w:w="2541"/>
      </w:tblGrid>
      <w:tr>
        <w:trPr>
          <w:cantSplit/>
          <w:tblHeader/>
        </w:trPr>
        <w:tc>
          <w:tcPr>
            <w:tcW w:type="dxa" w:w="2071"/>
            <w:shd w:fill="F2F4F7"/>
          </w:tcPr>
          <w:p>
            <w:pPr>
              <w:pStyle w:val="TableHeader"/>
            </w:pPr>
            <w:r>
              <w:t>Function</w:t>
            </w:r>
          </w:p>
        </w:tc>
        <w:tc>
          <w:tcPr>
            <w:tcW w:type="dxa" w:w="4800"/>
            <w:shd w:fill="F2F4F7"/>
          </w:tcPr>
          <w:p>
            <w:pPr>
              <w:pStyle w:val="TableHeader"/>
            </w:pPr>
            <w:r>
              <w:t>R1 operating route</w:t>
            </w:r>
          </w:p>
        </w:tc>
        <w:tc>
          <w:tcPr>
            <w:tcW w:type="dxa" w:w="2541"/>
            <w:shd w:fill="F2F4F7"/>
          </w:tcPr>
          <w:p>
            <w:pPr>
              <w:pStyle w:val="TableHeader"/>
            </w:pPr>
            <w:r>
              <w:t>Planned change</w:t>
            </w:r>
          </w:p>
        </w:tc>
      </w:tr>
      <w:tr>
        <w:trPr>
          <w:cantSplit/>
        </w:trPr>
        <w:tc>
          <w:tcPr>
            <w:tcW w:type="dxa" w:w="2071"/>
          </w:tcPr>
          <w:p>
            <w:pPr>
              <w:pStyle w:val="TableText"/>
            </w:pPr>
            <w:r>
              <w:t>Calendar entries</w:t>
            </w:r>
          </w:p>
        </w:tc>
        <w:tc>
          <w:tcPr>
            <w:tcW w:type="dxa" w:w="4800"/>
          </w:tcPr>
          <w:p>
            <w:pPr>
              <w:pStyle w:val="TableText"/>
            </w:pPr>
            <w:r>
              <w:t>Existing Jotform producer; Tanya completes move/reassign/delete tasks and records the event link and outcome.</w:t>
            </w:r>
          </w:p>
        </w:tc>
        <w:tc>
          <w:tcPr>
            <w:tcW w:type="dxa" w:w="2541"/>
          </w:tcPr>
          <w:p>
            <w:pPr>
              <w:pStyle w:val="TableText"/>
            </w:pPr>
            <w:r>
              <w:t>Tested Calendar adapter in R2.</w:t>
            </w:r>
          </w:p>
        </w:tc>
      </w:tr>
      <w:tr>
        <w:trPr>
          <w:cantSplit/>
        </w:trPr>
        <w:tc>
          <w:tcPr>
            <w:tcW w:type="dxa" w:w="2071"/>
          </w:tcPr>
          <w:p>
            <w:pPr>
              <w:pStyle w:val="TableText"/>
            </w:pPr>
            <w:r>
              <w:t>Orders and merchant messages</w:t>
            </w:r>
          </w:p>
        </w:tc>
        <w:tc>
          <w:tcPr>
            <w:tcW w:type="dxa" w:w="4800"/>
          </w:tcPr>
          <w:p>
            <w:pPr>
              <w:pStyle w:val="TableText"/>
            </w:pPr>
            <w:r>
              <w:t>Existing ordering/email route; Tanya tracks sends, revisions, confirmation and late changes.</w:t>
            </w:r>
          </w:p>
        </w:tc>
        <w:tc>
          <w:tcPr>
            <w:tcW w:type="dxa" w:w="2541"/>
          </w:tcPr>
          <w:p>
            <w:pPr>
              <w:pStyle w:val="TableText"/>
            </w:pPr>
            <w:r>
              <w:t>New order/delivery workflow in R2.</w:t>
            </w:r>
          </w:p>
        </w:tc>
      </w:tr>
      <w:tr>
        <w:trPr>
          <w:cantSplit/>
        </w:trPr>
        <w:tc>
          <w:tcPr>
            <w:tcW w:type="dxa" w:w="2071"/>
          </w:tcPr>
          <w:p>
            <w:pPr>
              <w:pStyle w:val="TableText"/>
            </w:pPr>
            <w:r>
              <w:t>Scaffold commitments</w:t>
            </w:r>
          </w:p>
        </w:tc>
        <w:tc>
          <w:tcPr>
            <w:tcW w:type="dxa" w:w="4800"/>
          </w:tcPr>
          <w:p>
            <w:pPr>
              <w:pStyle w:val="TableText"/>
            </w:pPr>
            <w:r>
              <w:t>Existing shared scaffold sheet; Tanya tracks its update, confirmation and actual strip.</w:t>
            </w:r>
          </w:p>
        </w:tc>
        <w:tc>
          <w:tcPr>
            <w:tcW w:type="dxa" w:w="2541"/>
          </w:tcPr>
          <w:p>
            <w:pPr>
              <w:pStyle w:val="TableText"/>
            </w:pPr>
            <w:r>
              <w:t>Integrated scaffold workflow in R2.</w:t>
            </w:r>
          </w:p>
        </w:tc>
      </w:tr>
      <w:tr>
        <w:trPr>
          <w:cantSplit/>
        </w:trPr>
        <w:tc>
          <w:tcPr>
            <w:tcW w:type="dxa" w:w="2071"/>
          </w:tcPr>
          <w:p>
            <w:pPr>
              <w:pStyle w:val="TableText"/>
            </w:pPr>
            <w:r>
              <w:t>Panel stock</w:t>
            </w:r>
          </w:p>
        </w:tc>
        <w:tc>
          <w:tcPr>
            <w:tcW w:type="dxa" w:w="4800"/>
          </w:tcPr>
          <w:p>
            <w:pPr>
              <w:pStyle w:val="TableText"/>
            </w:pPr>
            <w:r>
              <w:t>Existing physical/store records. Record relevant job requirements; do not label a partial new ledger as total stock.</w:t>
            </w:r>
          </w:p>
        </w:tc>
        <w:tc>
          <w:tcPr>
            <w:tcW w:type="dxa" w:w="2541"/>
          </w:tcPr>
          <w:p>
            <w:pPr>
              <w:pStyle w:val="TableText"/>
            </w:pPr>
            <w:r>
              <w:t>Reconciled location-wide ledger in R2.</w:t>
            </w:r>
          </w:p>
        </w:tc>
      </w:tr>
      <w:tr>
        <w:trPr>
          <w:cantSplit/>
        </w:trPr>
        <w:tc>
          <w:tcPr>
            <w:tcW w:type="dxa" w:w="2071"/>
          </w:tcPr>
          <w:p>
            <w:pPr>
              <w:pStyle w:val="TableText"/>
            </w:pPr>
            <w:r>
              <w:t>Commissioning and handover</w:t>
            </w:r>
          </w:p>
        </w:tc>
        <w:tc>
          <w:tcPr>
            <w:tcW w:type="dxa" w:w="4800"/>
          </w:tcPr>
          <w:p>
            <w:pPr>
              <w:pStyle w:val="TableText"/>
            </w:pPr>
            <w:r>
              <w:t>Current forms/files; authorised reviewer records receipt/acceptance; Tanya tracks missing items and handover.</w:t>
            </w:r>
          </w:p>
        </w:tc>
        <w:tc>
          <w:tcPr>
            <w:tcW w:type="dxa" w:w="2541"/>
          </w:tcPr>
          <w:p>
            <w:pPr>
              <w:pStyle w:val="TableText"/>
            </w:pPr>
            <w:r>
              <w:t>Agreed capture/review in R3; PDF route separately accepted.</w:t>
            </w:r>
          </w:p>
        </w:tc>
      </w:tr>
      <w:tr>
        <w:trPr>
          <w:cantSplit/>
        </w:trPr>
        <w:tc>
          <w:tcPr>
            <w:tcW w:type="dxa" w:w="2071"/>
          </w:tcPr>
          <w:p>
            <w:pPr>
              <w:pStyle w:val="TableText"/>
            </w:pPr>
            <w:r>
              <w:t>Invoices and payments</w:t>
            </w:r>
          </w:p>
        </w:tc>
        <w:tc>
          <w:tcPr>
            <w:tcW w:type="dxa" w:w="4800"/>
          </w:tcPr>
          <w:p>
            <w:pPr>
              <w:pStyle w:val="TableText"/>
            </w:pPr>
            <w:r>
              <w:t>Existing Zapier/Xero route; Tanya verifies invoices/chases, Ben confirms deposits, Hannah uploads Phoenix evidence.</w:t>
            </w:r>
          </w:p>
        </w:tc>
        <w:tc>
          <w:tcPr>
            <w:tcW w:type="dxa" w:w="2541"/>
          </w:tcPr>
          <w:p>
            <w:pPr>
              <w:pStyle w:val="TableText"/>
            </w:pPr>
            <w:r>
              <w:t>Tested invoice/payment adapters in R4.</w:t>
            </w:r>
          </w:p>
        </w:tc>
      </w:tr>
      <w:tr>
        <w:trPr>
          <w:cantSplit/>
        </w:trPr>
        <w:tc>
          <w:tcPr>
            <w:tcW w:type="dxa" w:w="2071"/>
          </w:tcPr>
          <w:p>
            <w:pPr>
              <w:pStyle w:val="TableText"/>
            </w:pPr>
            <w:r>
              <w:t>GHL</w:t>
            </w:r>
          </w:p>
        </w:tc>
        <w:tc>
          <w:tcPr>
            <w:tcW w:type="dxa" w:w="4800"/>
          </w:tcPr>
          <w:p>
            <w:pPr>
              <w:pStyle w:val="TableText"/>
            </w:pPr>
            <w:r>
              <w:t>Tanya’s human task, with correct invoice/evidence checks and recorded outcome.</w:t>
            </w:r>
          </w:p>
        </w:tc>
        <w:tc>
          <w:tcPr>
            <w:tcW w:type="dxa" w:w="2541"/>
          </w:tcPr>
          <w:p>
            <w:pPr>
              <w:pStyle w:val="TableText"/>
            </w:pPr>
            <w:r>
              <w:t>Remains a human task in every release.</w:t>
            </w:r>
          </w:p>
        </w:tc>
      </w:tr>
    </w:tbl>
    <w:p>
      <w:pPr>
        <w:pStyle w:val="Heading2"/>
        <w:spacing w:before="120"/>
      </w:pPr>
      <w:r>
        <w:t>8. Rules for manual actions and later cutover</w:t>
      </w:r>
    </w:p>
    <w:p>
      <w:pPr/>
      <w:r>
        <w:t>Every manual action needs a Job ID/package, owner, due date, current revision, external reference and completion evidence. “Waiting” needs a next follow-up date. Sent, received, accepted and confirmed are distinct outcomes. Repeated processing must not create duplicate tasks.</w:t>
      </w:r>
    </w:p>
    <w:p>
      <w:pPr/>
      <w:r>
        <w:t xml:space="preserve">A date, installer, quantity or cancellation change updates the required action and creates a new confirmation where needed. Show </w:t>
      </w:r>
      <w:r>
        <w:rPr>
          <w:b/>
        </w:rPr>
        <w:t>external update pending</w:t>
      </w:r>
      <w:r>
        <w:t xml:space="preserve"> until the latest change is verified. An old acknowledgement cannot complete a newer revision. Do not mark unfinished modules Not Required to bypass a business check.</w:t>
      </w:r>
    </w:p>
    <w:p>
      <w:pPr/>
      <w:r>
        <w:t>For enrolled jobs, the new job record owns agreed installation dates; Calendar updates are tracked against them. Non-pilot jobs keep their existing planning route. Existing invoice/Calendar producers must still see one agreed source event. New intake processing must not replay their triggers. Before taking ownership, reconcile external IDs, current states and pending tasks; adopt existing work instead of sending it again. A manual task is completed only with evidence, or superseded with a link to the replacement action.</w:t>
      </w:r>
    </w:p>
    <w:p>
      <w:pPr/>
      <w:r>
        <w:t>If an old Zap cannot exclude migrated jobs reliably, keep that function manual or perform one tested whole-function cutover. Do not run two creators for the same scope. Production pilots and continuing development use separate environments; schema changes preserve live IDs, history and open work.</w:t>
      </w:r>
    </w:p>
    <w:p>
      <w:pPr>
        <w:pStyle w:val="Heading1"/>
      </w:pPr>
      <w:r>
        <w:t>Release testing and evidence</w:t>
      </w:r>
    </w:p>
    <w:p>
      <w:pPr>
        <w:pStyle w:val="Heading2"/>
      </w:pPr>
      <w:r>
        <w:t>9. Apply the existing test pack by release</w:t>
      </w:r>
    </w:p>
    <w:p>
      <w:pPr/>
      <w:r>
        <w:t>Keep T001–T112 as the traceable requirement register; retain their history when the commissioning amendment updates them. Add release, assertion/component, mode, actual result, evidence, defect and target release. An original case is fully Pass only when every currently approved expected result has been observed. A manual-work test can pass for R1 while the automated assertion stays Not Run for its later release.</w:t>
      </w:r>
    </w:p>
    <w:tbl>
      <w:tblPr>
        <w:tblLook w:firstColumn="1" w:firstRow="1" w:lastColumn="0" w:lastRow="0" w:noHBand="0" w:noVBand="1" w:val="04A0"/>
        <w:tblW w:w="9412" w:type="dxa"/>
        <w:tblInd w:w="120" w:type="dxa"/>
        <w:tblLayout w:type="fixed"/>
        <w:tblCellMar>
          <w:top w:w="80" w:type="dxa"/>
          <w:bottom w:w="80" w:type="dxa"/>
          <w:start w:w="120" w:type="dxa"/>
          <w:end w:w="120" w:type="dxa"/>
        </w:tblCellMar>
        <w:tblBorders>
          <w:top w:val="single" w:sz="4" w:color="CED4DC"/>
          <w:left w:val="single" w:sz="4" w:color="CED4DC"/>
          <w:bottom w:val="single" w:sz="4" w:color="CED4DC"/>
          <w:right w:val="single" w:sz="4" w:color="CED4DC"/>
          <w:insideH w:val="single" w:sz="4" w:color="CED4DC"/>
          <w:insideV w:val="single" w:sz="4" w:color="CED4DC"/>
        </w:tblBorders>
      </w:tblPr>
      <w:tblGrid>
        <w:gridCol w:w="2353"/>
        <w:gridCol w:w="7059"/>
      </w:tblGrid>
      <w:tr>
        <w:trPr>
          <w:cantSplit/>
          <w:tblHeader/>
        </w:trPr>
        <w:tc>
          <w:tcPr>
            <w:tcW w:type="dxa" w:w="2353"/>
            <w:shd w:fill="F2F4F7"/>
          </w:tcPr>
          <w:p>
            <w:pPr>
              <w:pStyle w:val="TableHeader"/>
            </w:pPr>
            <w:r>
              <w:t>Checkpoint</w:t>
            </w:r>
          </w:p>
        </w:tc>
        <w:tc>
          <w:tcPr>
            <w:tcW w:type="dxa" w:w="7059"/>
            <w:shd w:fill="F2F4F7"/>
          </w:tcPr>
          <w:p>
            <w:pPr>
              <w:pStyle w:val="TableHeader"/>
            </w:pPr>
            <w:r>
              <w:t>Original tests to begin or extend</w:t>
            </w:r>
          </w:p>
        </w:tc>
      </w:tr>
      <w:tr>
        <w:trPr>
          <w:cantSplit/>
        </w:trPr>
        <w:tc>
          <w:tcPr>
            <w:tcW w:type="dxa" w:w="2353"/>
          </w:tcPr>
          <w:p>
            <w:pPr>
              <w:pStyle w:val="TableText"/>
            </w:pPr>
            <w:r>
              <w:t>Every release</w:t>
            </w:r>
          </w:p>
        </w:tc>
        <w:tc>
          <w:tcPr>
            <w:tcW w:type="dxa" w:w="7059"/>
          </w:tcPr>
          <w:p>
            <w:pPr>
              <w:pStyle w:val="TableText"/>
            </w:pPr>
            <w:r>
              <w:t>Relevant identity, role, concurrency, recovery, change and cancellation tests; T098–T106, T108–T112 as applicable. Denial of disabled features must be proved.</w:t>
            </w:r>
          </w:p>
        </w:tc>
      </w:tr>
      <w:tr>
        <w:trPr>
          <w:cantSplit/>
        </w:trPr>
        <w:tc>
          <w:tcPr>
            <w:tcW w:type="dxa" w:w="2353"/>
          </w:tcPr>
          <w:p>
            <w:pPr>
              <w:pStyle w:val="TableText"/>
            </w:pPr>
            <w:r>
              <w:t>R1</w:t>
            </w:r>
          </w:p>
        </w:tc>
        <w:tc>
          <w:tcPr>
            <w:tcW w:type="dxa" w:w="7059"/>
          </w:tcPr>
          <w:p>
            <w:pPr>
              <w:pStyle w:val="TableText"/>
            </w:pPr>
            <w:r>
              <w:t>T001–T032; T064–T069, T074–T075, T077; manual/business-rule portions of T078, T080–T085 and T090–T093.</w:t>
            </w:r>
          </w:p>
        </w:tc>
      </w:tr>
      <w:tr>
        <w:trPr>
          <w:cantSplit/>
        </w:trPr>
        <w:tc>
          <w:tcPr>
            <w:tcW w:type="dxa" w:w="2353"/>
          </w:tcPr>
          <w:p>
            <w:pPr>
              <w:pStyle w:val="TableText"/>
            </w:pPr>
            <w:r>
              <w:t>R2</w:t>
            </w:r>
          </w:p>
        </w:tc>
        <w:tc>
          <w:tcPr>
            <w:tcW w:type="dxa" w:w="7059"/>
          </w:tcPr>
          <w:p>
            <w:pPr>
              <w:pStyle w:val="TableText"/>
            </w:pPr>
            <w:r>
              <w:t>Complete applicable T026–T063; extend T090–T093, T098–T100 and T108–T112 across stores, scaffolding and Calendar.</w:t>
            </w:r>
          </w:p>
        </w:tc>
      </w:tr>
      <w:tr>
        <w:trPr>
          <w:cantSplit/>
        </w:trPr>
        <w:tc>
          <w:tcPr>
            <w:tcW w:type="dxa" w:w="2353"/>
          </w:tcPr>
          <w:p>
            <w:pPr>
              <w:pStyle w:val="TableText"/>
            </w:pPr>
            <w:r>
              <w:t>R3</w:t>
            </w:r>
          </w:p>
        </w:tc>
        <w:tc>
          <w:tcPr>
            <w:tcW w:type="dxa" w:w="7059"/>
          </w:tcPr>
          <w:p>
            <w:pPr>
              <w:pStyle w:val="TableText"/>
            </w:pPr>
            <w:r>
              <w:t>Complete applicable T064–T077; repeat installer-change, file access and recovery checks. Add cases from the commissioning amendment.</w:t>
            </w:r>
          </w:p>
        </w:tc>
      </w:tr>
      <w:tr>
        <w:trPr>
          <w:cantSplit/>
        </w:trPr>
        <w:tc>
          <w:tcPr>
            <w:tcW w:type="dxa" w:w="2353"/>
          </w:tcPr>
          <w:p>
            <w:pPr>
              <w:pStyle w:val="TableText"/>
            </w:pPr>
            <w:r>
              <w:t>R4</w:t>
            </w:r>
          </w:p>
        </w:tc>
        <w:tc>
          <w:tcPr>
            <w:tcW w:type="dxa" w:w="7059"/>
          </w:tcPr>
          <w:p>
            <w:pPr>
              <w:pStyle w:val="TableText"/>
            </w:pPr>
            <w:r>
              <w:t>Complete T078–T089, T094–T097 and T107; close finance/archive assertions and rerun affected earlier journeys.</w:t>
            </w:r>
          </w:p>
        </w:tc>
      </w:tr>
    </w:tbl>
    <w:p>
      <w:pPr>
        <w:spacing w:before="120"/>
      </w:pPr>
      <w:r>
        <w:t>The developer must map every original assertion to its first release and later regression check. This table is a starting map, not permission to omit a dependency. After all four releases, rerun T001–T112 and the commissioning-amendment cases together. Formally deferred PDF assertions remain outstanding. A failed enabled behaviour cannot be labelled deferred. No critical security, lost-data, false-completion, duplicate-action or financial discrepancy may remain in the enabled scope.</w:t>
      </w:r>
    </w:p>
    <w:p>
      <w:pPr>
        <w:pStyle w:val="Heading2"/>
      </w:pPr>
      <w:r>
        <w:t>10. Additional staged-release tests</w:t>
      </w:r>
    </w:p>
    <w:p>
      <w:pPr>
        <w:pStyle w:val="Heading3"/>
      </w:pPr>
      <w:r>
        <w:t>RT01 • Disabled modules and duplicate intake — before R1</w:t>
      </w:r>
    </w:p>
    <w:p>
      <w:pPr/>
      <w:r>
        <w:t>Replay a pilot Booking and submit a non-pilot Booking. Verify the pilot has one task set; non-pilot records cannot trigger new operational actions. Direct/API attempts to invoke disabled orders, invoices, Calendar or installer forms are rejected. Existing producers do not receive a duplicate source event.</w:t>
      </w:r>
    </w:p>
    <w:p>
      <w:pPr>
        <w:pStyle w:val="Heading3"/>
      </w:pPr>
      <w:r>
        <w:t>RT02 • Manual moves and cancellations — before R1</w:t>
      </w:r>
    </w:p>
    <w:p>
      <w:pPr/>
      <w:r>
        <w:t>Move one trade, replace the installer, then cancel a separate job after an order was sent and scaffold erected. Verify named Calendar/supplier/scaffold/finance actions, safe strip, customer/installer notices and GHL cancellation. Leave a reply missing: the latest action stays open and no good-job message is triggered.</w:t>
      </w:r>
    </w:p>
    <w:p>
      <w:pPr>
        <w:pStyle w:val="Heading3"/>
      </w:pPr>
      <w:r>
        <w:t>RT03 • Evidence and completion — before R1; repeat at R3</w:t>
      </w:r>
    </w:p>
    <w:p>
      <w:pPr/>
      <w:r>
        <w:t>Record missing, received and accepted external forms separately. NoAnswer, unhappy customer, return work or missing required acceptance must not satisfy completion. Verify the two-working-day reminder and reviewer identity. Accept valid current-process evidence and verify that cash, handover and actual strip can remain separately outstanding.</w:t>
      </w:r>
    </w:p>
    <w:p>
      <w:pPr>
        <w:pStyle w:val="Heading3"/>
      </w:pPr>
      <w:r>
        <w:t>RT04 • Payment tasks while Xero stays external — before R1</w:t>
      </w:r>
    </w:p>
    <w:p>
      <w:pPr/>
      <w:r>
        <w:t>Use a standard job and a Phoenix job. Verify bank/signature gates, draft-verification tasks, the Friday interim chase without an automatic install block, and the balance/GHL sequence. Withhold evidence that the balance invoice was sent: payment-message action stays pending. No new automated invoice request is emitted.</w:t>
      </w:r>
    </w:p>
    <w:p>
      <w:pPr>
        <w:pStyle w:val="Heading1"/>
      </w:pPr>
      <w:r>
        <w:t>Cutover, pilot and release approval</w:t>
      </w:r>
    </w:p>
    <w:p>
      <w:pPr>
        <w:pStyle w:val="Heading3"/>
      </w:pPr>
      <w:r>
        <w:t>RT05 • Transfer ownership without replay — before R2, R3 and R4</w:t>
      </w:r>
    </w:p>
    <w:p>
      <w:pPr/>
      <w:r>
        <w:t>Seed an existing event, sent order, accepted form and invoice; leave relevant manual tasks open. Rehearse each module’s transfer. Verify ID/history retention, pending-action reconciliation and no repeated send, invoice, form request or GHL action. Prove unmigrated jobs keep their existing route.</w:t>
      </w:r>
    </w:p>
    <w:p>
      <w:pPr>
        <w:pStyle w:val="Heading3"/>
      </w:pPr>
      <w:r>
        <w:t>RT06 • Shared stock and late changes — before R2</w:t>
      </w:r>
    </w:p>
    <w:p>
      <w:pPr/>
      <w:r>
        <w:t>Record movements for pilot and non-pilot jobs at the same store; reconcile the whole location. Move a job on Wednesday after its Thursday list was sent. Verify the urgent revision, Tanya’s confirmation task and rejection of a stale acknowledgement. Restart processing: quantities and sends do not duplicate.</w:t>
      </w:r>
    </w:p>
    <w:p>
      <w:pPr>
        <w:pStyle w:val="Heading3"/>
      </w:pPr>
      <w:r>
        <w:t>RT07 • Failure and rollback — before every release</w:t>
      </w:r>
    </w:p>
    <w:p>
      <w:pPr/>
      <w:r>
        <w:t>In test, interrupt an enabled action and its callback and revoke a connection. On later releases, also fail the new module while the office core remains available. Verify visible failures and named manual follow-ups. Restore/reconcile without losing newer committed work or resending completed actions. Tanya can identify outstanding work without the failed automation.</w:t>
      </w:r>
    </w:p>
    <w:p>
      <w:pPr>
        <w:pStyle w:val="Heading3"/>
      </w:pPr>
      <w:r>
        <w:t>RT08 • Release extension and regression — before every extension</w:t>
      </w:r>
    </w:p>
    <w:p>
      <w:pPr/>
      <w:r>
        <w:t>Upgrade a copy containing active jobs, partly completed tasks and historic evidence. Verify IDs, due dates, ownership, completion history and security survive. Newly enabled features must not backfill old jobs with duplicate commitments. Run each affected earlier-release journey as well as new feature tests.</w:t>
      </w:r>
    </w:p>
    <w:p>
      <w:pPr>
        <w:pStyle w:val="Heading2"/>
      </w:pPr>
      <w:r>
        <w:t>11. Repeat this go-live procedure for each release</w:t>
      </w:r>
    </w:p>
    <w:p>
      <w:pPr>
        <w:pStyle w:val="ListNumber"/>
        <w:numPr>
          <w:ilvl w:val="0"/>
          <w:numId w:val="41"/>
        </w:numPr>
      </w:pPr>
      <w:r>
        <w:t>Define the release version, functions, manual routes, pilot job IDs/users and support owner. Resolve missing live configuration for enabled features. Finish the relevant tests, including RT01–RT08 as applicable, and record deferred assertions and their target release.</w:t>
      </w:r>
    </w:p>
    <w:p>
      <w:pPr>
        <w:pStyle w:val="ListNumber"/>
        <w:numPr>
          <w:ilvl w:val="0"/>
          <w:numId w:val="41"/>
        </w:numPr>
      </w:pPr>
      <w:r>
        <w:t>Rehearse migration and rollback in test. Reconcile jobs, open tasks and applicable external IDs/balances. Train the users of this release using updated screen-specific instructions. Demonstrate a normal job, a move, an installer change and a cancellation.</w:t>
      </w:r>
    </w:p>
    <w:p>
      <w:pPr>
        <w:pStyle w:val="ListNumber"/>
        <w:numPr>
          <w:ilvl w:val="0"/>
          <w:numId w:val="41"/>
        </w:numPr>
      </w:pPr>
      <w:r>
        <w:t>Obtain Ben’s recorded release decision. Back up and reconcile final changes. Disable an old producer only when its tested replacement is ready for the same scope. Enable the approved features and perform harmless authorised checks on pilot jobs.</w:t>
      </w:r>
    </w:p>
    <w:p>
      <w:pPr>
        <w:pStyle w:val="ListNumber"/>
        <w:numPr>
          <w:ilvl w:val="0"/>
          <w:numId w:val="41"/>
        </w:numPr>
      </w:pPr>
      <w:r>
        <w:t>Observe the agreed pilot period. R1 must cover daily tasks, overdue work, changes and completion follow-ups; R2 Friday/Thursday and stock/scaffold cycles; R3 submission/correction and reminders; R4 payment and reporting cycles. Exercise uncommon exceptions in test. Record real cycle outcomes before wider acceptance.</w:t>
      </w:r>
    </w:p>
    <w:p>
      <w:pPr>
        <w:pStyle w:val="ListNumber"/>
        <w:numPr>
          <w:ilvl w:val="0"/>
          <w:numId w:val="41"/>
        </w:numPr>
      </w:pPr>
      <w:r>
        <w:t>Tanya checks overdue/waiting tasks, external updates and system health daily. The developer investigates failures. Pause a faulty outgoing function and issue owned manual actions; do not blindly restore an old backup over newer work or reactivate both producers. Ben accepts expansion after the pilot criteria pass.</w:t>
      </w:r>
    </w:p>
    <w:p>
      <w:pPr>
        <w:pStyle w:val="Heading2"/>
      </w:pPr>
      <w:r>
        <w:t>12. Release record for the developer to complete</w:t>
      </w:r>
    </w:p>
    <w:p>
      <w:pPr/>
      <w:r>
        <w:t>For each release supply: scope and version; completed build portions; test/evidence links; manual-action and producer registers; migration totals; remaining defects/deferred assertions with owners and dates; updated user instructions; support and rollback contacts; pilot dates/jobs/users and acceptance criteria; Ben’s go-live decision; pilot results and expansion decision.</w:t>
      </w:r>
    </w:p>
    <w:p>
      <w:pPr/>
      <w:r/>
      <w:r>
        <w:rPr>
          <w:b/>
        </w:rPr>
        <w:t>Immediate developer action:</w:t>
      </w:r>
      <w:r>
        <w:t xml:space="preserve"> add RA01 to the project register, revise the build dependencies and milestone estimate, and plan R1 first. Each live release needs its own acceptance record. The final handover must reconcile all original requirements and the later commissioning amendment. This document is build/release guidance; it does not claim that any tests or software have already been completed.</w:t>
      </w:r>
    </w:p>
    <w:sectPr w:rsidR="00FC693F" w:rsidRPr="0006063C" w:rsidSect="00034616">
      <w:headerReference w:type="default" r:id="rId9"/>
      <w:footerReference w:type="default" r:id="rId10"/>
      <w:pgSz w:w="11906" w:h="16838"/>
      <w:pgMar w:top="1247" w:right="1247" w:bottom="1247"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RA01 • Version 1.0 • 5 September 2026  |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SIMPLE SOLAR  |  PHASED ROLLOUT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0">
    <w:multiLevelType w:val="singleLevel"/>
    <w:lvl w:ilvl="0">
      <w:start w:val="1"/>
      <w:numFmt w:val="bullet"/>
      <w:lvlText w:val="•"/>
      <w:lvlJc w:val="left"/>
      <w:pPr>
        <w:tabs>
          <w:tab w:val="num" w:pos="720"/>
        </w:tabs>
        <w:ind w:left="720" w:hanging="360"/>
        <w:spacing w:before="0" w:after="160" w:line="280" w:lineRule="auto"/>
      </w:pPr>
    </w:lvl>
  </w:abstractNum>
  <w:abstractNum w:abstractNumId="31">
    <w:multiLevelType w:val="singleLevel"/>
    <w:lvl w:ilvl="0">
      <w:start w:val="1"/>
      <w:numFmt w:val="decimal"/>
      <w:lvlText w:val="%1."/>
      <w:lvlJc w:val="left"/>
      <w:pPr>
        <w:tabs>
          <w:tab w:val="num" w:pos="720"/>
        </w:tabs>
        <w:ind w:left="720" w:hanging="360"/>
        <w:spacing w:before="0" w:after="160" w:line="280" w:lineRule="auto"/>
      </w:pPr>
    </w:lvl>
  </w:abstractNum>
  <w:num w:numId="40">
    <w:abstractNumId w:val="30"/>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eastAsia="Calibri" w:cs="Calibri"/>
      <w:b w:val="0"/>
      <w:i w:val="0"/>
      <w:color w:val="222222"/>
      <w:sz w:val="22"/>
      <w:u w:val="none"/>
      <w:lang w:val="en-GB"/>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jc w:val="left"/>
    </w:pPr>
    <w:rPr>
      <w:rFonts w:ascii="Calibri" w:hAnsi="Calibri" w:eastAsia="Calibri" w:cs="Calibri"/>
      <w:b w:val="0"/>
      <w:i w:val="0"/>
      <w:color w:val="555555"/>
      <w:sz w:val="18"/>
      <w:u w:val="none"/>
      <w:lang w:val="en-GB"/>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jc w:val="left"/>
    </w:pPr>
    <w:rPr>
      <w:rFonts w:ascii="Calibri" w:hAnsi="Calibri" w:eastAsia="Calibri" w:cs="Calibri"/>
      <w:b w:val="0"/>
      <w:i w:val="0"/>
      <w:color w:val="555555"/>
      <w:sz w:val="18"/>
      <w:u w:val="none"/>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jc w:val="left"/>
      <w:outlineLvl w:val="0"/>
    </w:pPr>
    <w:rPr>
      <w:rFonts w:asciiTheme="majorHAnsi" w:eastAsiaTheme="majorEastAsia" w:hAnsiTheme="majorHAnsi" w:cstheme="majorBidi" w:ascii="Calibri" w:hAnsi="Calibri" w:eastAsia="Calibri" w:cs="Calibri"/>
      <w:b/>
      <w:bCs/>
      <w:i w:val="0"/>
      <w:color w:val="2E74B5"/>
      <w:sz w:val="32"/>
      <w:szCs w:val="28"/>
      <w:u w:val="none"/>
      <w:lang w:val="en-GB"/>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jc w:val="left"/>
      <w:outlineLvl w:val="1"/>
    </w:pPr>
    <w:rPr>
      <w:rFonts w:asciiTheme="majorHAnsi" w:eastAsiaTheme="majorEastAsia" w:hAnsiTheme="majorHAnsi" w:cstheme="majorBidi" w:ascii="Calibri" w:hAnsi="Calibri" w:eastAsia="Calibri" w:cs="Calibri"/>
      <w:b/>
      <w:bCs/>
      <w:i w:val="0"/>
      <w:color w:val="2E74B5"/>
      <w:sz w:val="26"/>
      <w:szCs w:val="26"/>
      <w:u w:val="none"/>
      <w:lang w:val="en-GB"/>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jc w:val="left"/>
      <w:outlineLvl w:val="2"/>
    </w:pPr>
    <w:rPr>
      <w:rFonts w:asciiTheme="majorHAnsi" w:eastAsiaTheme="majorEastAsia" w:hAnsiTheme="majorHAnsi" w:cstheme="majorBidi" w:ascii="Calibri" w:hAnsi="Calibri" w:eastAsia="Calibri" w:cs="Calibri"/>
      <w:b/>
      <w:bCs/>
      <w:i w:val="0"/>
      <w:color w:val="1F4D78"/>
      <w:sz w:val="24"/>
      <w:u w:val="none"/>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80" w:line="264" w:lineRule="auto" w:before="0"/>
      <w:contextualSpacing/>
      <w:jc w:val="left"/>
    </w:pPr>
    <w:rPr>
      <w:rFonts w:asciiTheme="majorHAnsi" w:eastAsiaTheme="majorEastAsia" w:hAnsiTheme="majorHAnsi" w:cstheme="majorBidi" w:ascii="Calibri" w:hAnsi="Calibri" w:eastAsia="Calibri" w:cs="Calibri"/>
      <w:b/>
      <w:i w:val="0"/>
      <w:color w:val="0B2545"/>
      <w:spacing w:val="5"/>
      <w:kern w:val="28"/>
      <w:sz w:val="48"/>
      <w:szCs w:val="52"/>
      <w:u w:val="none"/>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200" w:line="264" w:lineRule="auto"/>
      <w:jc w:val="left"/>
    </w:pPr>
    <w:rPr>
      <w:rFonts w:asciiTheme="majorHAnsi" w:eastAsiaTheme="majorEastAsia" w:hAnsiTheme="majorHAnsi" w:cstheme="majorBidi" w:ascii="Calibri" w:hAnsi="Calibri" w:eastAsia="Calibri" w:cs="Calibri"/>
      <w:b w:val="0"/>
      <w:i w:val="0"/>
      <w:iCs/>
      <w:color w:val="555555"/>
      <w:spacing w:val="15"/>
      <w:sz w:val="20"/>
      <w:szCs w:val="24"/>
      <w:u w:val="none"/>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ind w:left="720" w:hanging="360"/>
      <w:contextualSpacing/>
      <w:jc w:val="left"/>
    </w:pPr>
    <w:rPr>
      <w:rFonts w:ascii="Calibri" w:hAnsi="Calibri" w:eastAsia="Calibri" w:cs="Calibri"/>
      <w:b w:val="0"/>
      <w:i w:val="0"/>
      <w:color w:val="222222"/>
      <w:sz w:val="22"/>
      <w:u w:val="none"/>
      <w:lang w:val="en-GB"/>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60" w:line="280" w:lineRule="auto"/>
      <w:ind w:left="720" w:hanging="360"/>
      <w:contextualSpacing/>
      <w:jc w:val="left"/>
    </w:pPr>
    <w:rPr>
      <w:rFonts w:ascii="Calibri" w:hAnsi="Calibri" w:eastAsia="Calibri" w:cs="Calibri"/>
      <w:b w:val="0"/>
      <w:i w:val="0"/>
      <w:color w:val="222222"/>
      <w:sz w:val="22"/>
      <w:u w:val="none"/>
      <w:lang w:val="en-GB"/>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80" w:line="264" w:lineRule="auto"/>
      <w:jc w:val="left"/>
    </w:pPr>
    <w:rPr>
      <w:rFonts w:ascii="Calibri" w:hAnsi="Calibri" w:eastAsia="Calibri" w:cs="Calibri"/>
      <w:b w:val="0"/>
      <w:i w:val="0"/>
      <w:color w:val="222222"/>
      <w:sz w:val="21"/>
      <w:u w:val="none"/>
      <w:lang w:val="en-GB"/>
    </w:rPr>
  </w:style>
  <w:style w:type="paragraph" w:customStyle="1" w:styleId="TableHeader">
    <w:name w:val="Table Header"/>
    <w:pPr>
      <w:widowControl/>
      <w:spacing w:before="0" w:after="80" w:line="264" w:lineRule="auto"/>
      <w:jc w:val="left"/>
    </w:pPr>
    <w:rPr>
      <w:rFonts w:ascii="Calibri" w:hAnsi="Calibri" w:eastAsia="Calibri" w:cs="Calibri"/>
      <w:b/>
      <w:i w:val="0"/>
      <w:color w:val="222222"/>
      <w:sz w:val="21"/>
      <w:u w:val="none"/>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Solar – Phased Rollout Amendment</dc:title>
  <dc:subject>RA01: four live releases with scoped acceptance and controlled handovers</dc:subject>
  <dc:creator>Simple Solar Ltd</dc:creator>
  <cp:keywords/>
  <dc:description>Supplements implementation editions 2.0 and 2.1. Commissioning details await a separate amendment.</dc:description>
  <cp:lastModifiedBy/>
  <cp:revision>1</cp:revision>
  <dcterms:created xsi:type="dcterms:W3CDTF">2026-09-05T00:00:00Z</dcterms:created>
  <dcterms:modified xsi:type="dcterms:W3CDTF">2026-09-05T00:00:00Z</dcterms:modified>
  <cp:category/>
</cp:coreProperties>
</file>