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Table </w:t>
      </w:r>
      <w:r>
        <w:rPr>
          <w:rFonts w:hint="eastAsia"/>
          <w:b/>
          <w:sz w:val="20"/>
          <w:szCs w:val="20"/>
          <w:lang w:val="en-US" w:eastAsia="zh-CN"/>
        </w:rPr>
        <w:t>H1</w:t>
      </w:r>
      <w:r>
        <w:rPr>
          <w:b/>
          <w:sz w:val="20"/>
          <w:szCs w:val="20"/>
        </w:rPr>
        <w:t xml:space="preserve"> The RNA-Ligand binding information of test sets</w:t>
      </w:r>
    </w:p>
    <w:tbl>
      <w:tblPr>
        <w:tblStyle w:val="5"/>
        <w:tblW w:w="4984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133"/>
        <w:gridCol w:w="409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3" w:type="pct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20"/>
                <w:szCs w:val="20"/>
              </w:rPr>
            </w:pPr>
            <w:bookmarkStart w:id="0" w:name="_Hlk105519266"/>
            <w:r>
              <w:rPr>
                <w:rFonts w:eastAsia="等线"/>
                <w:b/>
                <w:bCs/>
                <w:kern w:val="2"/>
                <w:sz w:val="20"/>
                <w:szCs w:val="20"/>
              </w:rPr>
              <w:t>Test sets</w:t>
            </w:r>
          </w:p>
        </w:tc>
        <w:tc>
          <w:tcPr>
            <w:tcW w:w="1255" w:type="pct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eastAsia="等线"/>
                <w:b/>
                <w:bCs/>
                <w:kern w:val="2"/>
                <w:sz w:val="20"/>
                <w:szCs w:val="20"/>
              </w:rPr>
              <w:t>PDBID</w:t>
            </w:r>
          </w:p>
        </w:tc>
        <w:tc>
          <w:tcPr>
            <w:tcW w:w="2411" w:type="pct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eastAsia="等线"/>
                <w:b/>
                <w:bCs/>
                <w:kern w:val="2"/>
                <w:sz w:val="20"/>
                <w:szCs w:val="20"/>
              </w:rPr>
              <w:t>Ligand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3" w:type="pct"/>
            <w:vMerge w:val="restart"/>
            <w:tcBorders>
              <w:top w:val="single" w:color="auto" w:sz="12" w:space="0"/>
              <w:left w:val="nil"/>
              <w:right w:val="nil"/>
            </w:tcBorders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  <w:p>
            <w:pPr>
              <w:spacing w:line="240" w:lineRule="auto"/>
              <w:ind w:firstLine="90" w:firstLineChars="50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 xml:space="preserve">Test18 </w:t>
            </w:r>
          </w:p>
        </w:tc>
        <w:tc>
          <w:tcPr>
            <w:tcW w:w="1255" w:type="pct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1ddy</w:t>
            </w:r>
          </w:p>
        </w:tc>
        <w:tc>
          <w:tcPr>
            <w:tcW w:w="2411" w:type="pct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B12,NME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1f1t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ROS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1fmn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FMN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1nem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BDR,BDG,NEB,IDG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1q8n</w:t>
            </w:r>
          </w:p>
        </w:tc>
        <w:tc>
          <w:tcPr>
            <w:tcW w:w="2411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widowControl w:val="0"/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MGR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3" w:type="pct"/>
            <w:vMerge w:val="restart"/>
            <w:tcBorders>
              <w:top w:val="single" w:color="auto" w:sz="12" w:space="0"/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  <w:p>
            <w:pPr>
              <w:shd w:val="clear" w:fill="FFFFFF" w:themeFill="background1"/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  <w:p>
            <w:pPr>
              <w:shd w:val="clear" w:fill="FFFFFF" w:themeFill="background1"/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  <w:p>
            <w:pPr>
              <w:shd w:val="clear" w:fill="FFFFFF" w:themeFill="background1"/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  <w:p>
            <w:pPr>
              <w:shd w:val="clear" w:fill="FFFFFF" w:themeFill="background1"/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  <w:p>
            <w:pPr>
              <w:shd w:val="clear" w:fill="FFFFFF" w:themeFill="background1"/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eastAsia="等线"/>
                <w:b/>
                <w:bCs/>
                <w:kern w:val="2"/>
                <w:sz w:val="18"/>
                <w:szCs w:val="18"/>
              </w:rPr>
              <w:t xml:space="preserve">Test18 </w:t>
            </w:r>
          </w:p>
        </w:tc>
        <w:tc>
          <w:tcPr>
            <w:tcW w:w="1255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2juk</w:t>
            </w:r>
          </w:p>
        </w:tc>
        <w:tc>
          <w:tcPr>
            <w:tcW w:w="2411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widowControl w:val="0"/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G0B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2mis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MG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2pwt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widowControl w:val="0"/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LHA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2tob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TOA,2TB,TOC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4f8u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widowControl w:val="0"/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SIS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4pqv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MG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4yaz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4BW,MG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5bjo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MG,747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5v3f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widowControl w:val="0"/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74G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6ez0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U37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364d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MG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379d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CO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bottom w:val="single" w:color="auto" w:sz="12" w:space="0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430d</w:t>
            </w:r>
          </w:p>
        </w:tc>
        <w:tc>
          <w:tcPr>
            <w:tcW w:w="2411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MG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3" w:type="pct"/>
            <w:vMerge w:val="restart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line="240" w:lineRule="auto"/>
              <w:ind w:firstLine="181" w:firstLineChars="100"/>
              <w:rPr>
                <w:b/>
                <w:bCs/>
                <w:kern w:val="2"/>
                <w:sz w:val="18"/>
                <w:szCs w:val="18"/>
              </w:rPr>
            </w:pPr>
          </w:p>
          <w:p>
            <w:pPr>
              <w:spacing w:line="240" w:lineRule="auto"/>
              <w:ind w:firstLine="181" w:firstLineChars="100"/>
              <w:rPr>
                <w:b/>
                <w:bCs/>
                <w:kern w:val="2"/>
                <w:sz w:val="18"/>
                <w:szCs w:val="18"/>
              </w:rPr>
            </w:pPr>
            <w:r>
              <w:rPr>
                <w:b/>
                <w:bCs/>
                <w:kern w:val="2"/>
                <w:sz w:val="18"/>
                <w:szCs w:val="18"/>
              </w:rPr>
              <w:t>Test3</w:t>
            </w:r>
          </w:p>
        </w:tc>
        <w:tc>
          <w:tcPr>
            <w:tcW w:w="1255" w:type="pct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1y26</w:t>
            </w:r>
          </w:p>
        </w:tc>
        <w:tc>
          <w:tcPr>
            <w:tcW w:w="2411" w:type="pct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ADE,MG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3" w:type="pct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spacing w:line="240" w:lineRule="auto"/>
              <w:ind w:firstLine="181" w:firstLineChars="100"/>
              <w:rPr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3d2x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 w:val="0"/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D2X,MG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3" w:type="pct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spacing w:line="240" w:lineRule="auto"/>
              <w:ind w:firstLine="181" w:firstLineChars="100"/>
              <w:rPr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3gx2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SFG,MG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3" w:type="pct"/>
            <w:vMerge w:val="restart"/>
            <w:tcBorders>
              <w:top w:val="single" w:color="auto" w:sz="12" w:space="0"/>
              <w:left w:val="nil"/>
              <w:bottom w:val="single" w:color="000000" w:sz="2" w:space="0"/>
              <w:right w:val="nil"/>
            </w:tcBorders>
          </w:tcPr>
          <w:p>
            <w:pPr>
              <w:spacing w:line="240" w:lineRule="auto"/>
              <w:ind w:firstLine="181" w:firstLineChars="100"/>
              <w:rPr>
                <w:b/>
                <w:bCs/>
                <w:kern w:val="2"/>
                <w:sz w:val="18"/>
                <w:szCs w:val="18"/>
              </w:rPr>
            </w:pPr>
          </w:p>
          <w:p>
            <w:pPr>
              <w:spacing w:line="240" w:lineRule="auto"/>
              <w:ind w:firstLine="181" w:firstLineChars="100"/>
              <w:rPr>
                <w:b/>
                <w:bCs/>
                <w:kern w:val="2"/>
                <w:sz w:val="18"/>
                <w:szCs w:val="18"/>
              </w:rPr>
            </w:pPr>
            <w:r>
              <w:rPr>
                <w:b/>
                <w:bCs/>
                <w:kern w:val="2"/>
                <w:sz w:val="18"/>
                <w:szCs w:val="18"/>
              </w:rPr>
              <w:t>CL1</w:t>
            </w: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top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4tzx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top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ADE,MG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333" w:type="pct"/>
            <w:vMerge w:val="continue"/>
            <w:tcBorders>
              <w:top w:val="single" w:color="000000" w:sz="2" w:space="0"/>
              <w:left w:val="nil"/>
              <w:right w:val="nil"/>
            </w:tcBorders>
          </w:tcPr>
          <w:p>
            <w:pPr>
              <w:spacing w:line="240" w:lineRule="auto"/>
              <w:rPr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4xnr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ADE,MG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spacing w:line="240" w:lineRule="auto"/>
              <w:rPr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5swe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ADE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3" w:type="pct"/>
            <w:vMerge w:val="restart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line="240" w:lineRule="auto"/>
              <w:rPr>
                <w:b/>
                <w:bCs/>
                <w:kern w:val="2"/>
                <w:sz w:val="18"/>
                <w:szCs w:val="18"/>
              </w:rPr>
            </w:pPr>
          </w:p>
          <w:p>
            <w:pPr>
              <w:spacing w:line="240" w:lineRule="auto"/>
              <w:rPr>
                <w:b/>
                <w:bCs/>
                <w:kern w:val="2"/>
                <w:sz w:val="18"/>
                <w:szCs w:val="18"/>
              </w:rPr>
            </w:pPr>
          </w:p>
          <w:p>
            <w:pPr>
              <w:spacing w:line="240" w:lineRule="auto"/>
              <w:ind w:firstLine="181" w:firstLineChars="100"/>
              <w:rPr>
                <w:b/>
                <w:bCs/>
                <w:kern w:val="2"/>
                <w:sz w:val="18"/>
                <w:szCs w:val="18"/>
              </w:rPr>
            </w:pPr>
            <w:r>
              <w:rPr>
                <w:b/>
                <w:bCs/>
                <w:kern w:val="2"/>
                <w:sz w:val="18"/>
                <w:szCs w:val="18"/>
              </w:rPr>
              <w:t>CL2</w:t>
            </w: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1j7t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PAR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3" w:type="pct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line="240" w:lineRule="auto"/>
              <w:rPr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1mwl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3" w:type="pct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line="240" w:lineRule="auto"/>
              <w:ind w:firstLine="181" w:firstLineChars="100"/>
              <w:rPr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2be0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JS5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3" w:type="pct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line="240" w:lineRule="auto"/>
              <w:rPr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2et3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LLL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3" w:type="pct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line="240" w:lineRule="auto"/>
              <w:rPr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2et4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NMY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3" w:type="pct"/>
            <w:vMerge w:val="restart"/>
            <w:tcBorders>
              <w:top w:val="single" w:color="auto" w:sz="12" w:space="0"/>
              <w:left w:val="nil"/>
              <w:right w:val="nil"/>
            </w:tcBorders>
            <w:vAlign w:val="top"/>
          </w:tcPr>
          <w:p>
            <w:pPr>
              <w:spacing w:line="240" w:lineRule="auto"/>
              <w:rPr>
                <w:b/>
                <w:bCs/>
                <w:kern w:val="2"/>
                <w:sz w:val="18"/>
                <w:szCs w:val="18"/>
              </w:rPr>
            </w:pPr>
          </w:p>
          <w:p>
            <w:pPr>
              <w:spacing w:line="240" w:lineRule="auto"/>
              <w:rPr>
                <w:b/>
                <w:bCs/>
                <w:kern w:val="2"/>
                <w:sz w:val="18"/>
                <w:szCs w:val="18"/>
              </w:rPr>
            </w:pPr>
          </w:p>
          <w:p>
            <w:pPr>
              <w:spacing w:line="240" w:lineRule="auto"/>
              <w:ind w:firstLine="181" w:firstLineChars="100"/>
              <w:rPr>
                <w:rFonts w:eastAsia="等线"/>
                <w:b/>
                <w:bCs/>
                <w:kern w:val="2"/>
                <w:sz w:val="18"/>
                <w:szCs w:val="18"/>
              </w:rPr>
            </w:pPr>
            <w:r>
              <w:rPr>
                <w:b/>
                <w:bCs/>
                <w:kern w:val="2"/>
                <w:sz w:val="18"/>
                <w:szCs w:val="18"/>
              </w:rPr>
              <w:t xml:space="preserve">CL3 </w:t>
            </w: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1uts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P13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</w:tcPr>
          <w:p>
            <w:pPr>
              <w:spacing w:line="240" w:lineRule="auto"/>
              <w:rPr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1uud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P14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</w:tcPr>
          <w:p>
            <w:pPr>
              <w:spacing w:line="240" w:lineRule="auto"/>
              <w:rPr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2l8h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R, L8H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</w:tcPr>
          <w:p>
            <w:pPr>
              <w:spacing w:line="240" w:lineRule="auto"/>
              <w:rPr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1uui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P12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33" w:type="pct"/>
            <w:vMerge w:val="continue"/>
            <w:tcBorders>
              <w:left w:val="nil"/>
              <w:right w:val="nil"/>
            </w:tcBorders>
          </w:tcPr>
          <w:p>
            <w:pPr>
              <w:spacing w:line="240" w:lineRule="auto"/>
              <w:rPr>
                <w:b/>
                <w:bCs/>
                <w:kern w:val="2"/>
                <w:sz w:val="18"/>
                <w:szCs w:val="18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1arj</w:t>
            </w:r>
          </w:p>
        </w:tc>
        <w:tc>
          <w:tcPr>
            <w:tcW w:w="2411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eastAsia="宋体"/>
                <w:kern w:val="2"/>
                <w:sz w:val="18"/>
                <w:szCs w:val="18"/>
              </w:rPr>
            </w:pPr>
            <w:r>
              <w:rPr>
                <w:rFonts w:eastAsia="宋体"/>
                <w:kern w:val="2"/>
                <w:sz w:val="18"/>
                <w:szCs w:val="18"/>
              </w:rPr>
              <w:t>ARG</w:t>
            </w:r>
          </w:p>
        </w:tc>
      </w:tr>
      <w:bookmarkEnd w:id="0"/>
    </w:tbl>
    <w:p>
      <w:pPr>
        <w:spacing w:line="240" w:lineRule="auto"/>
        <w:rPr>
          <w:rFonts w:hint="eastAsia"/>
          <w:b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/>
          <w:b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/>
          <w:b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/>
          <w:b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/>
          <w:b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/>
          <w:b/>
          <w:sz w:val="20"/>
          <w:szCs w:val="20"/>
          <w:lang w:val="en-US" w:eastAsia="zh-CN"/>
        </w:rPr>
      </w:pPr>
      <w:r>
        <w:rPr>
          <w:rFonts w:hint="eastAsia"/>
          <w:b/>
          <w:sz w:val="20"/>
          <w:szCs w:val="20"/>
          <w:lang w:val="en-US" w:eastAsia="zh-CN"/>
        </w:rPr>
        <w:t xml:space="preserve">Table H2. Performance of </w:t>
      </w:r>
      <w:r>
        <w:rPr>
          <w:rFonts w:hint="default"/>
          <w:b/>
          <w:sz w:val="20"/>
          <w:szCs w:val="20"/>
          <w:lang w:val="en-US" w:eastAsia="zh-CN"/>
        </w:rPr>
        <w:t>MultiModRLBP</w:t>
      </w:r>
      <w:r>
        <w:rPr>
          <w:rFonts w:hint="eastAsia"/>
          <w:b/>
          <w:sz w:val="20"/>
          <w:szCs w:val="20"/>
          <w:lang w:val="en-US" w:eastAsia="zh-CN"/>
        </w:rPr>
        <w:t xml:space="preserve"> with differentlearning rate and dropout on Test18 and Test3 set.</w:t>
      </w:r>
    </w:p>
    <w:tbl>
      <w:tblPr>
        <w:tblStyle w:val="3"/>
        <w:tblW w:w="765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583"/>
        <w:gridCol w:w="2063"/>
        <w:gridCol w:w="227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739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  <w:vAlign w:val="top"/>
          </w:tcPr>
          <w:p>
            <w:pPr>
              <w:spacing w:line="240" w:lineRule="auto"/>
              <w:rPr>
                <w:rFonts w:hint="default"/>
                <w:b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/>
                <w:color w:val="auto"/>
                <w:sz w:val="20"/>
                <w:szCs w:val="20"/>
                <w:lang w:val="en-US" w:eastAsia="zh-CN"/>
              </w:rPr>
              <w:t>learning rate</w:t>
            </w:r>
          </w:p>
        </w:tc>
        <w:tc>
          <w:tcPr>
            <w:tcW w:w="1583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  <w:vAlign w:val="top"/>
          </w:tcPr>
          <w:p>
            <w:pPr>
              <w:spacing w:line="240" w:lineRule="auto"/>
              <w:rPr>
                <w:rFonts w:hint="eastAsia"/>
                <w:b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auto"/>
                <w:sz w:val="20"/>
                <w:szCs w:val="20"/>
                <w:lang w:val="en-US" w:eastAsia="zh-CN"/>
              </w:rPr>
              <w:t>dropout</w:t>
            </w:r>
          </w:p>
        </w:tc>
        <w:tc>
          <w:tcPr>
            <w:tcW w:w="2063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Test18-AUC</w:t>
            </w:r>
          </w:p>
        </w:tc>
        <w:tc>
          <w:tcPr>
            <w:tcW w:w="2273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Test3-AUC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739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0.001</w:t>
            </w:r>
          </w:p>
        </w:tc>
        <w:tc>
          <w:tcPr>
            <w:tcW w:w="1583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0.1</w:t>
            </w:r>
          </w:p>
        </w:tc>
        <w:tc>
          <w:tcPr>
            <w:tcW w:w="2063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0.781</w:t>
            </w:r>
          </w:p>
        </w:tc>
        <w:tc>
          <w:tcPr>
            <w:tcW w:w="2273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0.843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0.001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0.753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0.831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0.03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0.72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739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0.005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0.1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0.737</w:t>
            </w:r>
          </w:p>
        </w:tc>
        <w:tc>
          <w:tcPr>
            <w:tcW w:w="2273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0.935</w:t>
            </w:r>
          </w:p>
        </w:tc>
      </w:tr>
    </w:tbl>
    <w:p>
      <w:pPr>
        <w:spacing w:line="240" w:lineRule="auto"/>
        <w:rPr>
          <w:rFonts w:hint="eastAsia"/>
          <w:b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/>
          <w:b/>
          <w:sz w:val="20"/>
          <w:szCs w:val="20"/>
          <w:lang w:val="en-US" w:eastAsia="zh-CN"/>
        </w:rPr>
      </w:pPr>
      <w:r>
        <w:rPr>
          <w:rFonts w:hint="eastAsia"/>
          <w:b/>
          <w:sz w:val="20"/>
          <w:szCs w:val="20"/>
          <w:lang w:val="en-US" w:eastAsia="zh-CN"/>
        </w:rPr>
        <w:t>Table H3. The hyperparameter configuration of MultiModRLBP</w:t>
      </w:r>
    </w:p>
    <w:tbl>
      <w:tblPr>
        <w:tblStyle w:val="3"/>
        <w:tblW w:w="817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3496"/>
        <w:gridCol w:w="24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  <w:jc w:val="center"/>
        </w:trPr>
        <w:tc>
          <w:tcPr>
            <w:tcW w:w="2272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Neural network component</w:t>
            </w:r>
          </w:p>
        </w:tc>
        <w:tc>
          <w:tcPr>
            <w:tcW w:w="3496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H</w:t>
            </w: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yperparameters </w:t>
            </w:r>
          </w:p>
        </w:tc>
        <w:tc>
          <w:tcPr>
            <w:tcW w:w="2410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Value of hyperparameter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272" w:type="dxa"/>
            <w:vMerge w:val="restart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RGCN Module </w:t>
            </w:r>
          </w:p>
        </w:tc>
        <w:tc>
          <w:tcPr>
            <w:tcW w:w="3496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Number of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RGCN layer</w:t>
            </w: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s in 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RGCN </w:t>
            </w: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Module </w:t>
            </w:r>
          </w:p>
        </w:tc>
        <w:tc>
          <w:tcPr>
            <w:tcW w:w="2410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272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default" w:eastAsia="等线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Number of neurons for the dense</w:t>
            </w: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layer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192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  <w:jc w:val="center"/>
        </w:trPr>
        <w:tc>
          <w:tcPr>
            <w:tcW w:w="2272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default" w:eastAsia="等线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Activation function 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of the dense</w:t>
            </w: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layer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ReLU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272" w:type="dxa"/>
            <w:vMerge w:val="restart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等线"/>
                <w:b/>
                <w:bCs/>
                <w:sz w:val="16"/>
                <w:szCs w:val="16"/>
                <w:highlight w:val="none"/>
                <w:lang w:val="en-US" w:eastAsia="zh-CN"/>
              </w:rPr>
              <w:t>RNABert Module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Maximum sequence embedding length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440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272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Number of Transformer blocks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272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Activation function 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of the dense layers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GELU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  <w:jc w:val="center"/>
        </w:trPr>
        <w:tc>
          <w:tcPr>
            <w:tcW w:w="2272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ascii="Liberation Serif" w:hAnsi="Liberation Serif" w:eastAsia="宋体" w:cs="DejaVu LGC Sans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  <w:highlight w:val="none"/>
                <w:shd w:val="clear"/>
                <w:lang w:eastAsia="zh-CN"/>
              </w:rPr>
              <w:t xml:space="preserve">Number of neurons </w:t>
            </w:r>
            <w:r>
              <w:rPr>
                <w:rFonts w:hint="eastAsia" w:eastAsia="宋体" w:cs="DejaVu LGC Sans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  <w:highlight w:val="none"/>
                <w:shd w:val="clear"/>
                <w:lang w:eastAsia="zh-CN"/>
              </w:rPr>
              <w:t>f</w:t>
            </w:r>
            <w:r>
              <w:rPr>
                <w:rFonts w:hint="eastAsia" w:eastAsia="宋体" w:cs="DejaVu LGC Sans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  <w:highlight w:val="none"/>
                <w:shd w:val="clear"/>
                <w:lang w:val="en-US" w:eastAsia="zh-CN"/>
              </w:rPr>
              <w:t>or</w:t>
            </w:r>
            <w:r>
              <w:rPr>
                <w:rFonts w:ascii="Liberation Serif" w:hAnsi="Liberation Serif" w:eastAsia="宋体" w:cs="DejaVu LGC Sans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  <w:highlight w:val="none"/>
                <w:shd w:val="clear"/>
                <w:lang w:eastAsia="zh-CN"/>
              </w:rPr>
              <w:t xml:space="preserve"> the </w:t>
            </w:r>
            <w:r>
              <w:rPr>
                <w:rFonts w:hint="eastAsia" w:eastAsia="宋体" w:cs="DejaVu LGC Sans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  <w:highlight w:val="none"/>
                <w:shd w:val="clear"/>
                <w:lang w:eastAsia="zh-CN"/>
              </w:rPr>
              <w:t>l</w:t>
            </w:r>
            <w:r>
              <w:rPr>
                <w:rFonts w:hint="eastAsia" w:eastAsia="宋体" w:cs="DejaVu LGC Sans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  <w:highlight w:val="none"/>
                <w:shd w:val="clear"/>
                <w:lang w:val="en-US" w:eastAsia="zh-CN"/>
              </w:rPr>
              <w:t xml:space="preserve">aste dense </w:t>
            </w:r>
            <w:r>
              <w:rPr>
                <w:rFonts w:ascii="Liberation Serif" w:hAnsi="Liberation Serif" w:eastAsia="宋体" w:cs="DejaVu LGC Sans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  <w:highlight w:val="none"/>
                <w:shd w:val="clear"/>
                <w:lang w:eastAsia="zh-CN"/>
              </w:rPr>
              <w:t>layer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272" w:type="dxa"/>
            <w:vMerge w:val="restart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ELBFS Module </w:t>
            </w:r>
            <w:r>
              <w:rPr>
                <w:rFonts w:hint="eastAsia" w:eastAsia="等线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hint="eastAsia" w:ascii="Liberation Serif" w:hAnsi="Liberation Serif" w:eastAsia="等线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</w:p>
          <w:p>
            <w:pPr>
              <w:spacing w:line="360" w:lineRule="auto"/>
              <w:jc w:val="center"/>
              <w:rPr>
                <w:rFonts w:hint="eastAsia" w:ascii="Liberation Serif" w:hAnsi="Liberation Serif" w:eastAsia="DejaVu LGC Sans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Convolutional kernel size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of the CNN layer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17×71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272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Liberation Serif" w:hAnsi="Liberation Serif" w:eastAsia="等线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Sliding window size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272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Liberation Serif" w:hAnsi="Liberation Serif" w:eastAsia="DejaVu LGC Sans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Activation function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of CNN layer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ReLU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272" w:type="dxa"/>
            <w:vMerge w:val="restart"/>
            <w:tcBorders>
              <w:top w:val="single" w:color="auto" w:sz="12" w:space="0"/>
              <w:left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MFFusion Module </w:t>
            </w:r>
          </w:p>
          <w:p>
            <w:pPr>
              <w:spacing w:line="360" w:lineRule="auto"/>
              <w:jc w:val="center"/>
              <w:rPr>
                <w:rFonts w:hint="eastAsia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Number of dense layers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2272" w:type="dxa"/>
            <w:vMerge w:val="continue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Number of neurons for the 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first</w:t>
            </w: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dense layer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192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2272" w:type="dxa"/>
            <w:vMerge w:val="continue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Activation function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of </w:t>
            </w: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the 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first</w:t>
            </w: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dense layer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eastAsia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  <w:t>ReLU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2272" w:type="dxa"/>
            <w:vMerge w:val="continue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Number of neurons for the 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second</w:t>
            </w: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dense layer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2272" w:type="dxa"/>
            <w:vMerge w:val="continue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Activation function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of </w:t>
            </w: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the 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second</w:t>
            </w: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dense layer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eastAsia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  <w:t>ReLU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2272" w:type="dxa"/>
            <w:vMerge w:val="continue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Number of neurons for the third dense layer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default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2272" w:type="dxa"/>
            <w:vMerge w:val="continue"/>
            <w:tcBorders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Activation function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of </w:t>
            </w: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the 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third</w:t>
            </w: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dense layer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Sigmod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272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Overall architecture</w:t>
            </w:r>
          </w:p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Loss function 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Binary Cross-Entropy Loss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22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EBEBE" w:themeFill="background1" w:themeFillShade="BF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 w:bidi="ar-SA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Neural network component</w:t>
            </w:r>
          </w:p>
        </w:tc>
        <w:tc>
          <w:tcPr>
            <w:tcW w:w="349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EBEBE" w:themeFill="background1" w:themeFillShade="BF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 w:bidi="ar-SA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H</w:t>
            </w: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yperparameters 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EBEBE" w:themeFill="background1" w:themeFillShade="BF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 w:bidi="ar-SA"/>
              </w:rPr>
            </w:pPr>
            <w:r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Value of hyperparameter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2272" w:type="dxa"/>
            <w:vMerge w:val="restart"/>
            <w:tcBorders>
              <w:top w:val="single" w:color="auto" w:sz="4" w:space="0"/>
              <w:left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Overall architecture</w:t>
            </w:r>
          </w:p>
          <w:p>
            <w:pPr>
              <w:spacing w:line="360" w:lineRule="auto"/>
              <w:jc w:val="center"/>
              <w:rPr>
                <w:rFonts w:hint="eastAsia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</w:p>
        </w:tc>
        <w:tc>
          <w:tcPr>
            <w:tcW w:w="349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Optimizer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Adam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72" w:type="dxa"/>
            <w:vMerge w:val="continue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widowControl/>
              <w:spacing w:line="240" w:lineRule="auto"/>
              <w:jc w:val="left"/>
              <w:rPr>
                <w:rFonts w:hint="eastAsia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Adam learning rate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0.001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72" w:type="dxa"/>
            <w:vMerge w:val="continue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widowControl/>
              <w:spacing w:line="24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Adam decay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72" w:type="dxa"/>
            <w:vMerge w:val="continue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widowControl/>
              <w:spacing w:line="24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Adam bata_1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72" w:type="dxa"/>
            <w:vMerge w:val="continue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widowControl/>
              <w:spacing w:line="240" w:lineRule="auto"/>
              <w:jc w:val="left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Adam bata_2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0.999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72" w:type="dxa"/>
            <w:vMerge w:val="continue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ar"/>
              </w:rPr>
              <w:t xml:space="preserve">Dropout rate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  <w:t>0.1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72" w:type="dxa"/>
            <w:vMerge w:val="continue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Liberation Serif" w:hAnsi="Liberation Serif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eastAsia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ar"/>
              </w:rPr>
              <w:t>Batch size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  <w:r>
              <w:rPr>
                <w:rFonts w:hint="eastAsia" w:eastAsia="宋体" w:cs="DejaVu LGC Sans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  <w:t>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2272" w:type="dxa"/>
            <w:vMerge w:val="continue"/>
            <w:tcBorders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Epochs 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16"/>
                <w:szCs w:val="16"/>
                <w:highlight w:val="none"/>
                <w:lang w:val="en-US" w:eastAsia="zh-CN"/>
              </w:rPr>
              <w:t>80</w:t>
            </w:r>
          </w:p>
        </w:tc>
      </w:tr>
    </w:tbl>
    <w:p>
      <w:pPr>
        <w:spacing w:line="240" w:lineRule="auto"/>
        <w:rPr>
          <w:rFonts w:hint="default"/>
          <w:b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/>
          <w:b/>
          <w:sz w:val="20"/>
          <w:szCs w:val="20"/>
          <w:lang w:eastAsia="zh-CN"/>
        </w:rPr>
      </w:pPr>
      <w:r>
        <w:rPr>
          <w:rFonts w:hint="default"/>
          <w:b/>
          <w:sz w:val="20"/>
          <w:szCs w:val="20"/>
          <w:lang w:val="en-US" w:eastAsia="zh-CN"/>
        </w:rPr>
        <w:t xml:space="preserve">Table </w:t>
      </w:r>
      <w:r>
        <w:rPr>
          <w:rFonts w:hint="eastAsia"/>
          <w:b/>
          <w:sz w:val="20"/>
          <w:szCs w:val="20"/>
          <w:lang w:val="en-US" w:eastAsia="zh-CN"/>
        </w:rPr>
        <w:t>H4</w:t>
      </w:r>
      <w:r>
        <w:rPr>
          <w:rFonts w:hint="default"/>
          <w:b/>
          <w:sz w:val="20"/>
          <w:szCs w:val="20"/>
          <w:lang w:val="en-US" w:eastAsia="zh-CN"/>
        </w:rPr>
        <w:t xml:space="preserve"> </w:t>
      </w:r>
      <w:r>
        <w:rPr>
          <w:rFonts w:hint="eastAsia"/>
          <w:b/>
          <w:sz w:val="20"/>
          <w:szCs w:val="20"/>
          <w:lang w:eastAsia="zh-CN"/>
        </w:rPr>
        <w:t xml:space="preserve">Performance of RLBind with different local window sizes on Test18 set. </w:t>
      </w:r>
    </w:p>
    <w:tbl>
      <w:tblPr>
        <w:tblStyle w:val="3"/>
        <w:tblpPr w:leftFromText="180" w:rightFromText="180" w:vertAnchor="text" w:horzAnchor="page" w:tblpX="2046" w:tblpY="76"/>
        <w:tblOverlap w:val="never"/>
        <w:tblW w:w="78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328"/>
        <w:gridCol w:w="1328"/>
        <w:gridCol w:w="1328"/>
        <w:gridCol w:w="132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586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/>
                <w:sz w:val="20"/>
                <w:szCs w:val="20"/>
                <w:lang w:val="en-US" w:eastAsia="zh-CN"/>
              </w:rPr>
              <w:t>Sizes of local windows (nts)</w:t>
            </w:r>
          </w:p>
        </w:tc>
        <w:tc>
          <w:tcPr>
            <w:tcW w:w="1328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Precision</w:t>
            </w:r>
          </w:p>
        </w:tc>
        <w:tc>
          <w:tcPr>
            <w:tcW w:w="1328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Recall</w:t>
            </w:r>
          </w:p>
        </w:tc>
        <w:tc>
          <w:tcPr>
            <w:tcW w:w="1328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MCC</w:t>
            </w:r>
          </w:p>
        </w:tc>
        <w:tc>
          <w:tcPr>
            <w:tcW w:w="1328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AUC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586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328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0.568</w:t>
            </w:r>
          </w:p>
        </w:tc>
        <w:tc>
          <w:tcPr>
            <w:tcW w:w="1328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0.389</w:t>
            </w:r>
          </w:p>
        </w:tc>
        <w:tc>
          <w:tcPr>
            <w:tcW w:w="1328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0.296</w:t>
            </w:r>
          </w:p>
        </w:tc>
        <w:tc>
          <w:tcPr>
            <w:tcW w:w="1328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0.733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0.769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0.435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0.326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0.742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0.644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0.523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0.378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0.78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0.56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0.461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0.323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0.738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586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0.585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0.417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0.323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0.715</w:t>
            </w:r>
          </w:p>
        </w:tc>
      </w:tr>
    </w:tbl>
    <w:p>
      <w:pPr>
        <w:spacing w:line="240" w:lineRule="auto"/>
        <w:rPr>
          <w:rFonts w:hint="default"/>
          <w:b/>
          <w:sz w:val="20"/>
          <w:szCs w:val="20"/>
          <w:lang w:val="en-US" w:eastAsia="zh-CN"/>
        </w:rPr>
      </w:pPr>
    </w:p>
    <w:tbl>
      <w:tblPr>
        <w:tblStyle w:val="2"/>
        <w:tblpPr w:leftFromText="180" w:rightFromText="180" w:vertAnchor="page" w:horzAnchor="page" w:tblpX="2005" w:tblpY="9185"/>
        <w:tblOverlap w:val="never"/>
        <w:tblW w:w="7977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1421"/>
        <w:gridCol w:w="1421"/>
        <w:gridCol w:w="1421"/>
        <w:gridCol w:w="142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93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color w:val="auto"/>
                <w:sz w:val="20"/>
                <w:szCs w:val="20"/>
                <w:lang w:val="en-US" w:eastAsia="zh-CN"/>
              </w:rPr>
              <w:t>convolution kernel sizes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Precision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Recall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MCC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D8D8D8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AUC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93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13×71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0.678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0.351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0.315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0.722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17×71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0.644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0.523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0.378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0.78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93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spacing w:line="240" w:lineRule="auto"/>
              <w:rPr>
                <w:rFonts w:hint="eastAsia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21×71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0.648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0.473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0.356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hint="default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0.768</w:t>
            </w:r>
          </w:p>
        </w:tc>
      </w:tr>
    </w:tbl>
    <w:p>
      <w:pPr>
        <w:spacing w:line="240" w:lineRule="auto"/>
      </w:pPr>
      <w:r>
        <w:rPr>
          <w:rFonts w:hint="default"/>
          <w:b/>
          <w:sz w:val="20"/>
          <w:szCs w:val="20"/>
          <w:lang w:val="en-US" w:eastAsia="zh-CN"/>
        </w:rPr>
        <w:t>Table</w:t>
      </w:r>
      <w:r>
        <w:rPr>
          <w:rFonts w:hint="eastAsia"/>
          <w:b/>
          <w:sz w:val="20"/>
          <w:szCs w:val="20"/>
          <w:lang w:val="en-US" w:eastAsia="zh-CN"/>
        </w:rPr>
        <w:t xml:space="preserve"> H5</w:t>
      </w:r>
      <w:r>
        <w:rPr>
          <w:rFonts w:hint="default"/>
          <w:b/>
          <w:sz w:val="20"/>
          <w:szCs w:val="20"/>
          <w:lang w:val="en-US" w:eastAsia="zh-CN"/>
        </w:rPr>
        <w:t xml:space="preserve"> </w:t>
      </w:r>
      <w:r>
        <w:rPr>
          <w:rFonts w:hint="eastAsia"/>
          <w:b/>
          <w:sz w:val="20"/>
          <w:szCs w:val="20"/>
          <w:lang w:val="en-US" w:eastAsia="zh-CN"/>
        </w:rPr>
        <w:t>Performance of MultiModRLBP with different convolution kernel size</w:t>
      </w:r>
      <w:bookmarkStart w:id="1" w:name="_GoBack"/>
      <w:bookmarkEnd w:id="1"/>
      <w:r>
        <w:rPr>
          <w:rFonts w:hint="eastAsia"/>
          <w:b/>
          <w:sz w:val="20"/>
          <w:szCs w:val="20"/>
          <w:lang w:val="en-US" w:eastAsia="zh-CN"/>
        </w:rPr>
        <w:t>s on Test18 set 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erif">
    <w:altName w:val="Yu Gothic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DejaVu LGC Sans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3MGY1NjE2OTI5MTBiNDJkMzIzOTE0YTZjNTczMTUifQ=="/>
  </w:docVars>
  <w:rsids>
    <w:rsidRoot w:val="0D4F3B9C"/>
    <w:rsid w:val="022D77D0"/>
    <w:rsid w:val="028B60AD"/>
    <w:rsid w:val="0D4F3B9C"/>
    <w:rsid w:val="6E18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网格型1"/>
    <w:basedOn w:val="2"/>
    <w:autoRedefine/>
    <w:qFormat/>
    <w:uiPriority w:val="9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399</Words>
  <Characters>1971</Characters>
  <Lines>0</Lines>
  <Paragraphs>0</Paragraphs>
  <TotalTime>1</TotalTime>
  <ScaleCrop>false</ScaleCrop>
  <LinksUpToDate>false</LinksUpToDate>
  <CharactersWithSpaces>2164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2024-05-16T08:04:00Z</dcterms:created>
  <dc:creator>　青春是㈠首不老的歌ヾ</dc:creator>
  <cp:lastModifiedBy>　青春是㈠首不老的歌ヾ</cp:lastModifiedBy>
  <dcterms:modified xsi:type="dcterms:W3CDTF">2024-05-16T08:45:07Z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4F3185D20C414CC68725251AF210566D_11</vt:lpwstr>
  </property>
</Properties>
</file>