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="0" w:leftChars="0" w:right="612" w:rightChars="0"/>
        <w:jc w:val="center"/>
        <w:rPr>
          <w:rFonts w:hint="default" w:ascii="Times New Roman" w:hAnsi="Times New Roman" w:eastAsia="宋体" w:cs="Times New Roman"/>
          <w:b/>
          <w:i/>
          <w:kern w:val="1"/>
          <w:sz w:val="20"/>
          <w:szCs w:val="20"/>
          <w:highlight w:val="none"/>
          <w:lang w:val="en-US" w:eastAsia="zh-CN" w:bidi="hi-IN"/>
        </w:rPr>
      </w:pPr>
      <w:r>
        <w:rPr>
          <w:rFonts w:hint="eastAsia" w:ascii="Times New Roman" w:hAnsi="Times New Roman" w:eastAsia="宋体" w:cs="Times New Roman"/>
          <w:b/>
          <w:i/>
          <w:kern w:val="1"/>
          <w:sz w:val="20"/>
          <w:szCs w:val="20"/>
          <w:highlight w:val="none"/>
          <w:lang w:val="en-US" w:eastAsia="zh-CN" w:bidi="hi-IN"/>
        </w:rPr>
        <w:t>Table R1. The composition of the</w:t>
      </w:r>
      <w:bookmarkStart w:id="0" w:name="_GoBack"/>
      <w:bookmarkEnd w:id="0"/>
      <w:r>
        <w:rPr>
          <w:rFonts w:hint="eastAsia" w:ascii="Times New Roman" w:hAnsi="Times New Roman" w:eastAsia="宋体" w:cs="Times New Roman"/>
          <w:b/>
          <w:i/>
          <w:kern w:val="1"/>
          <w:sz w:val="20"/>
          <w:szCs w:val="20"/>
          <w:highlight w:val="none"/>
          <w:lang w:val="en-US" w:eastAsia="zh-CN" w:bidi="hi-IN"/>
        </w:rPr>
        <w:t xml:space="preserve"> RNABert module</w:t>
      </w:r>
    </w:p>
    <w:tbl>
      <w:tblPr>
        <w:tblStyle w:val="3"/>
        <w:tblW w:w="8259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6"/>
        <w:gridCol w:w="1305"/>
        <w:gridCol w:w="1301"/>
        <w:gridCol w:w="2353"/>
        <w:gridCol w:w="1434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66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shd w:val="clear" w:color="auto" w:fill="D8D8D8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  <w:t>RNABert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  <w:t xml:space="preserve"> component</w:t>
            </w:r>
          </w:p>
        </w:tc>
        <w:tc>
          <w:tcPr>
            <w:tcW w:w="4959" w:type="dxa"/>
            <w:gridSpan w:val="3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shd w:val="clear" w:color="auto" w:fill="D8D8D8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  <w:t>S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  <w:t xml:space="preserve">ubmodule </w:t>
            </w:r>
          </w:p>
        </w:tc>
        <w:tc>
          <w:tcPr>
            <w:tcW w:w="1434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shd w:val="clear" w:color="auto" w:fill="D8D8D8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  <w:t>Number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  <w:t xml:space="preserve"> of 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  <w:t>layers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  <w:jc w:val="center"/>
        </w:trPr>
        <w:tc>
          <w:tcPr>
            <w:tcW w:w="186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  <w:t>BertModel</w:t>
            </w:r>
          </w:p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</w:p>
        </w:tc>
        <w:tc>
          <w:tcPr>
            <w:tcW w:w="2606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  <w:t>BertEmbeddings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  <w:t>word_embeddings</w:t>
            </w:r>
          </w:p>
        </w:tc>
        <w:tc>
          <w:tcPr>
            <w:tcW w:w="143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  <w:jc w:val="center"/>
        </w:trPr>
        <w:tc>
          <w:tcPr>
            <w:tcW w:w="186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</w:pPr>
          </w:p>
        </w:tc>
        <w:tc>
          <w:tcPr>
            <w:tcW w:w="2606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</w:pP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  <w:t>position_embeddings</w:t>
            </w:r>
          </w:p>
        </w:tc>
        <w:tc>
          <w:tcPr>
            <w:tcW w:w="143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  <w:jc w:val="center"/>
        </w:trPr>
        <w:tc>
          <w:tcPr>
            <w:tcW w:w="186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</w:p>
        </w:tc>
        <w:tc>
          <w:tcPr>
            <w:tcW w:w="2606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  <w:t>token_type_embeddings</w:t>
            </w:r>
          </w:p>
        </w:tc>
        <w:tc>
          <w:tcPr>
            <w:tcW w:w="143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  <w:jc w:val="center"/>
        </w:trPr>
        <w:tc>
          <w:tcPr>
            <w:tcW w:w="186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</w:p>
        </w:tc>
        <w:tc>
          <w:tcPr>
            <w:tcW w:w="2606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  <w:t>LayerNorm</w:t>
            </w:r>
          </w:p>
        </w:tc>
        <w:tc>
          <w:tcPr>
            <w:tcW w:w="143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  <w:jc w:val="center"/>
        </w:trPr>
        <w:tc>
          <w:tcPr>
            <w:tcW w:w="186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等线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</w:p>
        </w:tc>
        <w:tc>
          <w:tcPr>
            <w:tcW w:w="130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/>
              <w:spacing w:line="36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  <w:t>BertEncoder</w:t>
            </w:r>
          </w:p>
          <w:p>
            <w:pPr>
              <w:widowControl/>
              <w:spacing w:line="36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</w:p>
        </w:tc>
        <w:tc>
          <w:tcPr>
            <w:tcW w:w="130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/>
              <w:spacing w:line="36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  <w:t>BertLayer</w:t>
            </w:r>
          </w:p>
          <w:p>
            <w:pPr>
              <w:widowControl/>
              <w:spacing w:line="36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  <w:t>(transformer )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/>
              <w:spacing w:line="36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  <w:t>BertAttention</w:t>
            </w:r>
          </w:p>
        </w:tc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  <w:jc w:val="center"/>
        </w:trPr>
        <w:tc>
          <w:tcPr>
            <w:tcW w:w="186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/>
              <w:spacing w:line="360" w:lineRule="auto"/>
              <w:jc w:val="left"/>
            </w:pPr>
          </w:p>
        </w:tc>
        <w:tc>
          <w:tcPr>
            <w:tcW w:w="130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/>
              <w:spacing w:line="360" w:lineRule="auto"/>
              <w:jc w:val="left"/>
            </w:pPr>
          </w:p>
        </w:tc>
        <w:tc>
          <w:tcPr>
            <w:tcW w:w="130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/>
              <w:spacing w:line="360" w:lineRule="auto"/>
              <w:jc w:val="left"/>
            </w:pP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/>
              <w:spacing w:line="360" w:lineRule="auto"/>
              <w:jc w:val="left"/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  <w:t>BertIntermediate</w:t>
            </w:r>
          </w:p>
        </w:tc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  <w:jc w:val="center"/>
        </w:trPr>
        <w:tc>
          <w:tcPr>
            <w:tcW w:w="186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/>
              <w:spacing w:line="360" w:lineRule="auto"/>
              <w:jc w:val="left"/>
            </w:pPr>
          </w:p>
        </w:tc>
        <w:tc>
          <w:tcPr>
            <w:tcW w:w="130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/>
              <w:spacing w:line="360" w:lineRule="auto"/>
              <w:jc w:val="left"/>
            </w:pPr>
          </w:p>
        </w:tc>
        <w:tc>
          <w:tcPr>
            <w:tcW w:w="130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/>
              <w:spacing w:line="360" w:lineRule="auto"/>
              <w:jc w:val="left"/>
            </w:pP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/>
              <w:spacing w:line="360" w:lineRule="auto"/>
              <w:jc w:val="left"/>
              <w:rPr>
                <w:b/>
                <w:bCs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  <w:t>BertOutput</w:t>
            </w:r>
          </w:p>
        </w:tc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186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/>
              <w:spacing w:line="360" w:lineRule="auto"/>
              <w:jc w:val="left"/>
            </w:pPr>
          </w:p>
        </w:tc>
        <w:tc>
          <w:tcPr>
            <w:tcW w:w="130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/>
              <w:spacing w:line="36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</w:p>
        </w:tc>
        <w:tc>
          <w:tcPr>
            <w:tcW w:w="36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/>
              <w:spacing w:line="36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  <w:t>BertLayer</w:t>
            </w:r>
          </w:p>
        </w:tc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  <w:jc w:val="center"/>
        </w:trPr>
        <w:tc>
          <w:tcPr>
            <w:tcW w:w="186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/>
              <w:spacing w:line="36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</w:p>
        </w:tc>
        <w:tc>
          <w:tcPr>
            <w:tcW w:w="130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/>
              <w:spacing w:line="36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</w:p>
        </w:tc>
        <w:tc>
          <w:tcPr>
            <w:tcW w:w="36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/>
              <w:spacing w:line="36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  <w:t>BertLayer</w:t>
            </w:r>
          </w:p>
        </w:tc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  <w:jc w:val="center"/>
        </w:trPr>
        <w:tc>
          <w:tcPr>
            <w:tcW w:w="186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/>
              <w:spacing w:line="36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</w:p>
        </w:tc>
        <w:tc>
          <w:tcPr>
            <w:tcW w:w="130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/>
              <w:spacing w:line="36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</w:p>
        </w:tc>
        <w:tc>
          <w:tcPr>
            <w:tcW w:w="36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/>
              <w:spacing w:line="36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  <w:t>BertLayer</w:t>
            </w:r>
          </w:p>
        </w:tc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  <w:jc w:val="center"/>
        </w:trPr>
        <w:tc>
          <w:tcPr>
            <w:tcW w:w="186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/>
              <w:spacing w:line="36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</w:p>
        </w:tc>
        <w:tc>
          <w:tcPr>
            <w:tcW w:w="130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/>
              <w:spacing w:line="36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</w:p>
        </w:tc>
        <w:tc>
          <w:tcPr>
            <w:tcW w:w="36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/>
              <w:spacing w:line="36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  <w:t>BertLayer</w:t>
            </w:r>
          </w:p>
        </w:tc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  <w:jc w:val="center"/>
        </w:trPr>
        <w:tc>
          <w:tcPr>
            <w:tcW w:w="186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/>
              <w:spacing w:line="36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</w:p>
        </w:tc>
        <w:tc>
          <w:tcPr>
            <w:tcW w:w="130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/>
              <w:spacing w:line="36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</w:p>
        </w:tc>
        <w:tc>
          <w:tcPr>
            <w:tcW w:w="130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/>
              <w:spacing w:line="36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  <w:t>BertLayer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/>
              <w:spacing w:line="36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  <w:t>BertAttention</w:t>
            </w:r>
          </w:p>
        </w:tc>
        <w:tc>
          <w:tcPr>
            <w:tcW w:w="143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/>
              <w:spacing w:line="36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  <w:jc w:val="center"/>
        </w:trPr>
        <w:tc>
          <w:tcPr>
            <w:tcW w:w="186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/>
              <w:spacing w:line="360" w:lineRule="auto"/>
              <w:jc w:val="left"/>
            </w:pPr>
          </w:p>
        </w:tc>
        <w:tc>
          <w:tcPr>
            <w:tcW w:w="130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/>
              <w:spacing w:line="360" w:lineRule="auto"/>
              <w:jc w:val="left"/>
            </w:pPr>
          </w:p>
        </w:tc>
        <w:tc>
          <w:tcPr>
            <w:tcW w:w="1301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/>
              <w:spacing w:line="36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/>
              <w:spacing w:line="36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  <w:t>BertIntermediate</w:t>
            </w:r>
          </w:p>
        </w:tc>
        <w:tc>
          <w:tcPr>
            <w:tcW w:w="1434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/>
              <w:spacing w:line="360" w:lineRule="auto"/>
              <w:jc w:val="left"/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  <w:jc w:val="center"/>
        </w:trPr>
        <w:tc>
          <w:tcPr>
            <w:tcW w:w="186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/>
              <w:spacing w:line="360" w:lineRule="auto"/>
              <w:jc w:val="left"/>
            </w:pPr>
          </w:p>
        </w:tc>
        <w:tc>
          <w:tcPr>
            <w:tcW w:w="130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/>
              <w:spacing w:line="360" w:lineRule="auto"/>
              <w:jc w:val="left"/>
            </w:pPr>
          </w:p>
        </w:tc>
        <w:tc>
          <w:tcPr>
            <w:tcW w:w="130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/>
              <w:spacing w:line="36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/>
              <w:spacing w:line="36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6"/>
                <w:szCs w:val="16"/>
                <w:highlight w:val="none"/>
                <w:lang w:val="en-US" w:eastAsia="zh-CN"/>
              </w:rPr>
              <w:t>*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  <w:t>BertOutput</w:t>
            </w:r>
          </w:p>
        </w:tc>
        <w:tc>
          <w:tcPr>
            <w:tcW w:w="143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/>
              <w:spacing w:line="360" w:lineRule="auto"/>
              <w:jc w:val="left"/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6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等线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</w:p>
        </w:tc>
        <w:tc>
          <w:tcPr>
            <w:tcW w:w="49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/>
              <w:spacing w:line="36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6"/>
                <w:szCs w:val="16"/>
                <w:highlight w:val="none"/>
                <w:lang w:val="en-US" w:eastAsia="zh-CN"/>
              </w:rPr>
              <w:t>*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  <w:t>BertPooler</w:t>
            </w:r>
          </w:p>
        </w:tc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/>
              <w:spacing w:line="36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  <w:jc w:val="center"/>
        </w:trPr>
        <w:tc>
          <w:tcPr>
            <w:tcW w:w="186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/>
              <w:spacing w:line="36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6"/>
                <w:szCs w:val="16"/>
                <w:highlight w:val="none"/>
                <w:lang w:val="en-US" w:eastAsia="zh-CN"/>
              </w:rPr>
              <w:t>*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  <w:t>BertPreTrainingHeads</w:t>
            </w:r>
          </w:p>
          <w:p>
            <w:pPr>
              <w:widowControl/>
              <w:spacing w:line="36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</w:p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</w:p>
        </w:tc>
        <w:tc>
          <w:tcPr>
            <w:tcW w:w="2606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/>
              <w:spacing w:line="36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6"/>
                <w:szCs w:val="16"/>
                <w:highlight w:val="none"/>
                <w:lang w:val="en-US" w:eastAsia="zh-CN"/>
              </w:rPr>
              <w:t>*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  <w:t>MaskedWordPredictions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/>
              <w:spacing w:line="36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6"/>
                <w:szCs w:val="16"/>
                <w:highlight w:val="none"/>
                <w:lang w:val="en-US" w:eastAsia="zh-CN"/>
              </w:rPr>
              <w:t>*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  <w:t>nn.Linear</w:t>
            </w:r>
          </w:p>
        </w:tc>
        <w:tc>
          <w:tcPr>
            <w:tcW w:w="143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/>
              <w:spacing w:line="36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  <w:jc w:val="center"/>
        </w:trPr>
        <w:tc>
          <w:tcPr>
            <w:tcW w:w="186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</w:pPr>
          </w:p>
        </w:tc>
        <w:tc>
          <w:tcPr>
            <w:tcW w:w="2606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/>
              <w:spacing w:line="36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/>
              <w:spacing w:line="36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6"/>
                <w:szCs w:val="16"/>
                <w:highlight w:val="none"/>
                <w:lang w:val="en-US" w:eastAsia="zh-CN"/>
              </w:rPr>
              <w:t>*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  <w:t>nn.Linear</w:t>
            </w:r>
          </w:p>
        </w:tc>
        <w:tc>
          <w:tcPr>
            <w:tcW w:w="143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/>
              <w:spacing w:line="36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  <w:jc w:val="center"/>
        </w:trPr>
        <w:tc>
          <w:tcPr>
            <w:tcW w:w="186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1"/>
                <w:sz w:val="16"/>
                <w:szCs w:val="16"/>
                <w:highlight w:val="none"/>
                <w:lang w:val="en-US" w:eastAsia="zh-CN" w:bidi="hi-IN"/>
              </w:rPr>
            </w:pPr>
          </w:p>
        </w:tc>
        <w:tc>
          <w:tcPr>
            <w:tcW w:w="2606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/>
              <w:spacing w:line="36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/>
              <w:spacing w:line="36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6"/>
                <w:szCs w:val="16"/>
                <w:highlight w:val="none"/>
                <w:lang w:val="en-US" w:eastAsia="zh-CN"/>
              </w:rPr>
              <w:t>*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  <w:t>LayerNorm</w:t>
            </w:r>
          </w:p>
        </w:tc>
        <w:tc>
          <w:tcPr>
            <w:tcW w:w="143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/>
              <w:spacing w:line="36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6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1"/>
                <w:sz w:val="16"/>
                <w:szCs w:val="16"/>
                <w:highlight w:val="none"/>
                <w:lang w:val="en-US" w:eastAsia="zh-CN" w:bidi="hi-IN"/>
              </w:rPr>
            </w:pPr>
          </w:p>
        </w:tc>
        <w:tc>
          <w:tcPr>
            <w:tcW w:w="49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/>
              <w:spacing w:line="36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6"/>
                <w:szCs w:val="16"/>
                <w:highlight w:val="none"/>
                <w:lang w:val="en-US" w:eastAsia="zh-CN"/>
              </w:rPr>
              <w:t>*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  <w:t>MaskedWordPredictions</w:t>
            </w:r>
          </w:p>
        </w:tc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/>
              <w:spacing w:line="36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6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</w:p>
        </w:tc>
        <w:tc>
          <w:tcPr>
            <w:tcW w:w="49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/>
              <w:spacing w:line="36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6"/>
                <w:szCs w:val="16"/>
                <w:highlight w:val="none"/>
                <w:lang w:val="en-US" w:eastAsia="zh-CN"/>
              </w:rPr>
              <w:t>*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  <w:t>nn.Linear</w:t>
            </w:r>
          </w:p>
        </w:tc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/>
              <w:spacing w:line="36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6"/>
                <w:szCs w:val="16"/>
                <w:highlight w:val="none"/>
                <w:lang w:val="en-US" w:eastAsia="zh-CN"/>
              </w:rPr>
              <w:t>1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Yu Gothic"/>
    <w:panose1 w:val="020B0604020202020204"/>
    <w:charset w:val="80"/>
    <w:family w:val="roman"/>
    <w:pitch w:val="default"/>
    <w:sig w:usb0="00000000" w:usb1="00000000" w:usb2="00000000" w:usb3="00000000" w:csb0="00000000" w:csb1="00000000"/>
  </w:font>
  <w:font w:name="DejaVu LGC Sans">
    <w:altName w:val="Yu Gothic"/>
    <w:panose1 w:val="020B0604020202020204"/>
    <w:charset w:val="8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Y3MGY1NjE2OTI5MTBiNDJkMzIzOTE0YTZjNTczMTUifQ=="/>
  </w:docVars>
  <w:rsids>
    <w:rsidRoot w:val="00000000"/>
    <w:rsid w:val="0025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Liberation Serif" w:hAnsi="Liberation Serif" w:eastAsia="DejaVu LGC Sans" w:cs="DejaVu LGC Sans"/>
      <w:kern w:val="1"/>
      <w:sz w:val="24"/>
      <w:szCs w:val="24"/>
      <w:lang w:val="en-US" w:eastAsia="hi-IN" w:bidi="hi-IN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99"/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2024-03-27T14:01:29Z</dcterms:created>
  <dc:creator>王俊凯</dc:creator>
  <cp:lastModifiedBy>　青春是㈠首不老的歌ヾ</cp:lastModifiedBy>
  <dcterms:modified xsi:type="dcterms:W3CDTF">2024-03-27T14:01:36Z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21621571A5424B10829B86B08E757AAD_12</vt:lpwstr>
  </property>
</Properties>
</file>