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w:t>
        <w:br/>
        <w:t>Địa Sắc MobileGIS</w:t>
      </w:r>
    </w:p>
    <w:p>
      <w:pPr>
        <w:pStyle w:val="Subtitle"/>
      </w:pPr>
      <w:r>
        <w:t>Phiên bản GEE7 cập nhật ngày 04 tháng 10 năm 2026</w:t>
      </w:r>
    </w:p>
    <w:p>
      <w:r>
        <w:t>Tài liệu này giúp bạn mở đúng bản ứng dụng, khám phá bản đồ môi trường giai đoạn 2020–2025, đọc số liệu và xuất kết quả phục vụ báo cáo. Bạn không cần biết lập trình hoặc có tài khoản GEE để sử dụng dữ liệu đã được tích hợp.</w:t>
      </w:r>
    </w:p>
    <w:p>
      <w:r>
        <w:t>Bản hiện tại mặc định dùng GEE đã bổ sung năm 2025. Có 167 xã/phường nghiên cứu và 1.002 dòng thống kê cho sáu năm. Năm 2025 có đủ ba giá trị trung bình ở 167 đơn vị theo ngưỡng của demo; điều đó không có nghĩa mọi pixel đều có số liệu hoặc mọi kết quả đã được kiểm định.</w:t>
      </w:r>
    </w:p>
    <w:p>
      <w:pPr>
        <w:pStyle w:val="Heading2"/>
      </w:pPr>
      <w:r>
        <w:t>Bắt đầu nhanh</w:t>
      </w:r>
    </w:p>
    <w:p>
      <w:pPr>
        <w:ind w:left="255" w:hanging="255"/>
      </w:pPr>
      <w:r>
        <w:t>1. Mở đúng thư mục mobilegis rồi nhấp đúp START_MOBILEGIS.cmd.</w:t>
      </w:r>
    </w:p>
    <w:p>
      <w:pPr>
        <w:ind w:left="255" w:hanging="255"/>
      </w:pPr>
      <w:r>
        <w:t>2. Giữ cửa sổ máy chủ mở và nhập địa chỉ được in sau chữ MobileGIS vào Chrome hoặc Edge.</w:t>
      </w:r>
    </w:p>
    <w:p>
      <w:pPr>
        <w:ind w:left="255" w:hanging="255"/>
      </w:pPr>
      <w:r>
        <w:t>3. Kiểm tra nhãn 2026.10.GEE7, chọn nguồn GEE đã bổ sung 2025, tìm mã 25942 để thực hành với phường Dĩ An.</w:t>
      </w:r>
    </w:p>
    <w:p>
      <w:pPr>
        <w:pStyle w:val="Heading2"/>
      </w:pPr>
      <w:r>
        <w:t>Tra cứu nội dung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20"/>
        <w:gridCol w:w="1417"/>
      </w:tblGrid>
      <w:tr>
        <w:trPr>
          <w:cantSplit/>
          <w:tblHeader/>
        </w:trPr>
        <w:tc>
          <w:tcPr>
            <w:tcW w:type="dxa" w:w="8220"/>
            <w:vAlign w:val="center"/>
            <w:tcMar>
              <w:top w:w="85" w:type="dxa"/>
              <w:left w:w="85" w:type="dxa"/>
              <w:bottom w:w="85" w:type="dxa"/>
              <w:right w:w="85" w:type="dxa"/>
            </w:tcMar>
            <w:shd w:fill="E5EDF3"/>
          </w:tcPr>
          <w:p>
            <w:pPr>
              <w:spacing w:after="40" w:before="40" w:line="252" w:lineRule="auto"/>
            </w:pPr>
            <w:r>
              <w:rPr>
                <w:b/>
                <w:sz w:val="18"/>
              </w:rPr>
              <w:t>Nội dung</w:t>
            </w:r>
          </w:p>
        </w:tc>
        <w:tc>
          <w:tcPr>
            <w:tcW w:type="dxa" w:w="1417"/>
            <w:vAlign w:val="center"/>
            <w:tcMar>
              <w:top w:w="85" w:type="dxa"/>
              <w:left w:w="85" w:type="dxa"/>
              <w:bottom w:w="85" w:type="dxa"/>
              <w:right w:w="85" w:type="dxa"/>
            </w:tcMar>
            <w:shd w:fill="E5EDF3"/>
          </w:tcPr>
          <w:p>
            <w:pPr>
              <w:spacing w:after="40" w:before="40" w:line="252" w:lineRule="auto"/>
            </w:pPr>
            <w:r>
              <w:rPr>
                <w:b/>
                <w:sz w:val="18"/>
              </w:rPr>
              <w:t>Trang</w:t>
            </w:r>
          </w:p>
        </w:tc>
      </w:tr>
      <w:tr>
        <w:trPr>
          <w:cantSplit/>
        </w:trPr>
        <w:tc>
          <w:tcPr>
            <w:tcW w:type="dxa" w:w="8220"/>
            <w:vAlign w:val="center"/>
            <w:tcMar>
              <w:top w:w="85" w:type="dxa"/>
              <w:left w:w="85" w:type="dxa"/>
              <w:bottom w:w="85" w:type="dxa"/>
              <w:right w:w="85" w:type="dxa"/>
            </w:tcMar>
            <w:shd w:fill="F5F7F9"/>
          </w:tcPr>
          <w:p>
            <w:pPr>
              <w:spacing w:after="40" w:before="40" w:line="252" w:lineRule="auto"/>
            </w:pPr>
            <w:r>
              <w:rPr>
                <w:b w:val="0"/>
                <w:sz w:val="18"/>
              </w:rPr>
              <w:t>Mở đúng project và xử lý bản cũ</w:t>
            </w:r>
          </w:p>
        </w:tc>
        <w:tc>
          <w:tcPr>
            <w:tcW w:type="dxa" w:w="1417"/>
            <w:vAlign w:val="center"/>
            <w:tcMar>
              <w:top w:w="85" w:type="dxa"/>
              <w:left w:w="85" w:type="dxa"/>
              <w:bottom w:w="85" w:type="dxa"/>
              <w:right w:w="85" w:type="dxa"/>
            </w:tcMar>
            <w:shd w:fill="F5F7F9"/>
          </w:tcPr>
          <w:p>
            <w:pPr>
              <w:spacing w:after="40" w:before="40" w:line="252" w:lineRule="auto"/>
            </w:pPr>
            <w:r>
              <w:rPr>
                <w:b w:val="0"/>
                <w:sz w:val="18"/>
              </w:rPr>
              <w:t>2</w:t>
            </w:r>
          </w:p>
        </w:tc>
      </w:tr>
      <w:tr>
        <w:trPr>
          <w:cantSplit/>
        </w:trPr>
        <w:tc>
          <w:tcPr>
            <w:tcW w:type="dxa" w:w="8220"/>
            <w:vAlign w:val="center"/>
            <w:tcMar>
              <w:top w:w="85" w:type="dxa"/>
              <w:left w:w="85" w:type="dxa"/>
              <w:bottom w:w="85" w:type="dxa"/>
              <w:right w:w="85" w:type="dxa"/>
            </w:tcMar>
            <w:shd w:fill="FFFFFF"/>
          </w:tcPr>
          <w:p>
            <w:pPr>
              <w:spacing w:after="40" w:before="40" w:line="252" w:lineRule="auto"/>
            </w:pPr>
            <w:r>
              <w:rPr>
                <w:b w:val="0"/>
                <w:sz w:val="18"/>
              </w:rPr>
              <w:t>Nhận diện giao diện</w:t>
            </w:r>
          </w:p>
        </w:tc>
        <w:tc>
          <w:tcPr>
            <w:tcW w:type="dxa" w:w="1417"/>
            <w:vAlign w:val="center"/>
            <w:tcMar>
              <w:top w:w="85" w:type="dxa"/>
              <w:left w:w="85" w:type="dxa"/>
              <w:bottom w:w="85" w:type="dxa"/>
              <w:right w:w="85" w:type="dxa"/>
            </w:tcMar>
            <w:shd w:fill="FFFFFF"/>
          </w:tcPr>
          <w:p>
            <w:pPr>
              <w:spacing w:after="40" w:before="40" w:line="252" w:lineRule="auto"/>
            </w:pPr>
            <w:r>
              <w:rPr>
                <w:b w:val="0"/>
                <w:sz w:val="18"/>
              </w:rPr>
              <w:t>3</w:t>
            </w:r>
          </w:p>
        </w:tc>
      </w:tr>
      <w:tr>
        <w:trPr>
          <w:cantSplit/>
        </w:trPr>
        <w:tc>
          <w:tcPr>
            <w:tcW w:type="dxa" w:w="8220"/>
            <w:vAlign w:val="center"/>
            <w:tcMar>
              <w:top w:w="85" w:type="dxa"/>
              <w:left w:w="85" w:type="dxa"/>
              <w:bottom w:w="85" w:type="dxa"/>
              <w:right w:w="85" w:type="dxa"/>
            </w:tcMar>
            <w:shd w:fill="F5F7F9"/>
          </w:tcPr>
          <w:p>
            <w:pPr>
              <w:spacing w:after="40" w:before="40" w:line="252" w:lineRule="auto"/>
            </w:pPr>
            <w:r>
              <w:rPr>
                <w:b w:val="0"/>
                <w:sz w:val="18"/>
              </w:rPr>
              <w:t>Hiểu LST NDVI TVDI</w:t>
            </w:r>
          </w:p>
        </w:tc>
        <w:tc>
          <w:tcPr>
            <w:tcW w:type="dxa" w:w="1417"/>
            <w:vAlign w:val="center"/>
            <w:tcMar>
              <w:top w:w="85" w:type="dxa"/>
              <w:left w:w="85" w:type="dxa"/>
              <w:bottom w:w="85" w:type="dxa"/>
              <w:right w:w="85" w:type="dxa"/>
            </w:tcMar>
            <w:shd w:fill="F5F7F9"/>
          </w:tcPr>
          <w:p>
            <w:pPr>
              <w:spacing w:after="40" w:before="40" w:line="252" w:lineRule="auto"/>
            </w:pPr>
            <w:r>
              <w:rPr>
                <w:b w:val="0"/>
                <w:sz w:val="18"/>
              </w:rPr>
              <w:t>4</w:t>
            </w:r>
          </w:p>
        </w:tc>
      </w:tr>
      <w:tr>
        <w:trPr>
          <w:cantSplit/>
        </w:trPr>
        <w:tc>
          <w:tcPr>
            <w:tcW w:type="dxa" w:w="8220"/>
            <w:vAlign w:val="center"/>
            <w:tcMar>
              <w:top w:w="85" w:type="dxa"/>
              <w:left w:w="85" w:type="dxa"/>
              <w:bottom w:w="85" w:type="dxa"/>
              <w:right w:w="85" w:type="dxa"/>
            </w:tcMar>
            <w:shd w:fill="FFFFFF"/>
          </w:tcPr>
          <w:p>
            <w:pPr>
              <w:spacing w:after="40" w:before="40" w:line="252" w:lineRule="auto"/>
            </w:pPr>
            <w:r>
              <w:rPr>
                <w:b w:val="0"/>
                <w:sz w:val="18"/>
              </w:rPr>
              <w:t>Thực hành đọc bản đồ</w:t>
            </w:r>
          </w:p>
        </w:tc>
        <w:tc>
          <w:tcPr>
            <w:tcW w:type="dxa" w:w="1417"/>
            <w:vAlign w:val="center"/>
            <w:tcMar>
              <w:top w:w="85" w:type="dxa"/>
              <w:left w:w="85" w:type="dxa"/>
              <w:bottom w:w="85" w:type="dxa"/>
              <w:right w:w="85" w:type="dxa"/>
            </w:tcMar>
            <w:shd w:fill="FFFFFF"/>
          </w:tcPr>
          <w:p>
            <w:pPr>
              <w:spacing w:after="40" w:before="40" w:line="252" w:lineRule="auto"/>
            </w:pPr>
            <w:r>
              <w:rPr>
                <w:b w:val="0"/>
                <w:sz w:val="18"/>
              </w:rPr>
              <w:t>5</w:t>
            </w:r>
          </w:p>
        </w:tc>
      </w:tr>
      <w:tr>
        <w:trPr>
          <w:cantSplit/>
        </w:trPr>
        <w:tc>
          <w:tcPr>
            <w:tcW w:type="dxa" w:w="8220"/>
            <w:vAlign w:val="center"/>
            <w:tcMar>
              <w:top w:w="85" w:type="dxa"/>
              <w:left w:w="85" w:type="dxa"/>
              <w:bottom w:w="85" w:type="dxa"/>
              <w:right w:w="85" w:type="dxa"/>
            </w:tcMar>
            <w:shd w:fill="F5F7F9"/>
          </w:tcPr>
          <w:p>
            <w:pPr>
              <w:spacing w:after="40" w:before="40" w:line="252" w:lineRule="auto"/>
            </w:pPr>
            <w:r>
              <w:rPr>
                <w:b w:val="0"/>
                <w:sz w:val="18"/>
              </w:rPr>
              <w:t>So sánh các năm</w:t>
            </w:r>
          </w:p>
        </w:tc>
        <w:tc>
          <w:tcPr>
            <w:tcW w:type="dxa" w:w="1417"/>
            <w:vAlign w:val="center"/>
            <w:tcMar>
              <w:top w:w="85" w:type="dxa"/>
              <w:left w:w="85" w:type="dxa"/>
              <w:bottom w:w="85" w:type="dxa"/>
              <w:right w:w="85" w:type="dxa"/>
            </w:tcMar>
            <w:shd w:fill="F5F7F9"/>
          </w:tcPr>
          <w:p>
            <w:pPr>
              <w:spacing w:after="40" w:before="40" w:line="252" w:lineRule="auto"/>
            </w:pPr>
            <w:r>
              <w:rPr>
                <w:b w:val="0"/>
                <w:sz w:val="18"/>
              </w:rPr>
              <w:t>6</w:t>
            </w:r>
          </w:p>
        </w:tc>
      </w:tr>
      <w:tr>
        <w:trPr>
          <w:cantSplit/>
        </w:trPr>
        <w:tc>
          <w:tcPr>
            <w:tcW w:type="dxa" w:w="8220"/>
            <w:vAlign w:val="center"/>
            <w:tcMar>
              <w:top w:w="85" w:type="dxa"/>
              <w:left w:w="85" w:type="dxa"/>
              <w:bottom w:w="85" w:type="dxa"/>
              <w:right w:w="85" w:type="dxa"/>
            </w:tcMar>
            <w:shd w:fill="FFFFFF"/>
          </w:tcPr>
          <w:p>
            <w:pPr>
              <w:spacing w:after="40" w:before="40" w:line="252" w:lineRule="auto"/>
            </w:pPr>
            <w:r>
              <w:rPr>
                <w:b w:val="0"/>
                <w:sz w:val="18"/>
              </w:rPr>
              <w:t>Độ phủ và phần bổ sung 2025</w:t>
            </w:r>
          </w:p>
        </w:tc>
        <w:tc>
          <w:tcPr>
            <w:tcW w:type="dxa" w:w="1417"/>
            <w:vAlign w:val="center"/>
            <w:tcMar>
              <w:top w:w="85" w:type="dxa"/>
              <w:left w:w="85" w:type="dxa"/>
              <w:bottom w:w="85" w:type="dxa"/>
              <w:right w:w="85" w:type="dxa"/>
            </w:tcMar>
            <w:shd w:fill="FFFFFF"/>
          </w:tcPr>
          <w:p>
            <w:pPr>
              <w:spacing w:after="40" w:before="40" w:line="252" w:lineRule="auto"/>
            </w:pPr>
            <w:r>
              <w:rPr>
                <w:b w:val="0"/>
                <w:sz w:val="18"/>
              </w:rPr>
              <w:t>7</w:t>
            </w:r>
          </w:p>
        </w:tc>
      </w:tr>
      <w:tr>
        <w:trPr>
          <w:cantSplit/>
        </w:trPr>
        <w:tc>
          <w:tcPr>
            <w:tcW w:type="dxa" w:w="8220"/>
            <w:vAlign w:val="center"/>
            <w:tcMar>
              <w:top w:w="85" w:type="dxa"/>
              <w:left w:w="85" w:type="dxa"/>
              <w:bottom w:w="85" w:type="dxa"/>
              <w:right w:w="85" w:type="dxa"/>
            </w:tcMar>
            <w:shd w:fill="F5F7F9"/>
          </w:tcPr>
          <w:p>
            <w:pPr>
              <w:spacing w:after="40" w:before="40" w:line="252" w:lineRule="auto"/>
            </w:pPr>
            <w:r>
              <w:rPr>
                <w:b w:val="0"/>
                <w:sz w:val="18"/>
              </w:rPr>
              <w:t>Lọc và xuất bảng số liệu</w:t>
            </w:r>
          </w:p>
        </w:tc>
        <w:tc>
          <w:tcPr>
            <w:tcW w:type="dxa" w:w="1417"/>
            <w:vAlign w:val="center"/>
            <w:tcMar>
              <w:top w:w="85" w:type="dxa"/>
              <w:left w:w="85" w:type="dxa"/>
              <w:bottom w:w="85" w:type="dxa"/>
              <w:right w:w="85" w:type="dxa"/>
            </w:tcMar>
            <w:shd w:fill="F5F7F9"/>
          </w:tcPr>
          <w:p>
            <w:pPr>
              <w:spacing w:after="40" w:before="40" w:line="252" w:lineRule="auto"/>
            </w:pPr>
            <w:r>
              <w:rPr>
                <w:b w:val="0"/>
                <w:sz w:val="18"/>
              </w:rPr>
              <w:t>8</w:t>
            </w:r>
          </w:p>
        </w:tc>
      </w:tr>
      <w:tr>
        <w:trPr>
          <w:cantSplit/>
        </w:trPr>
        <w:tc>
          <w:tcPr>
            <w:tcW w:type="dxa" w:w="8220"/>
            <w:vAlign w:val="center"/>
            <w:tcMar>
              <w:top w:w="85" w:type="dxa"/>
              <w:left w:w="85" w:type="dxa"/>
              <w:bottom w:w="85" w:type="dxa"/>
              <w:right w:w="85" w:type="dxa"/>
            </w:tcMar>
            <w:shd w:fill="FFFFFF"/>
          </w:tcPr>
          <w:p>
            <w:pPr>
              <w:spacing w:after="40" w:before="40" w:line="252" w:lineRule="auto"/>
            </w:pPr>
            <w:r>
              <w:rPr>
                <w:b w:val="0"/>
                <w:sz w:val="18"/>
              </w:rPr>
              <w:t>Phân tích và tải biểu đồ</w:t>
            </w:r>
          </w:p>
        </w:tc>
        <w:tc>
          <w:tcPr>
            <w:tcW w:type="dxa" w:w="1417"/>
            <w:vAlign w:val="center"/>
            <w:tcMar>
              <w:top w:w="85" w:type="dxa"/>
              <w:left w:w="85" w:type="dxa"/>
              <w:bottom w:w="85" w:type="dxa"/>
              <w:right w:w="85" w:type="dxa"/>
            </w:tcMar>
            <w:shd w:fill="FFFFFF"/>
          </w:tcPr>
          <w:p>
            <w:pPr>
              <w:spacing w:after="40" w:before="40" w:line="252" w:lineRule="auto"/>
            </w:pPr>
            <w:r>
              <w:rPr>
                <w:b w:val="0"/>
                <w:sz w:val="18"/>
              </w:rPr>
              <w:t>9</w:t>
            </w:r>
          </w:p>
        </w:tc>
      </w:tr>
      <w:tr>
        <w:trPr>
          <w:cantSplit/>
        </w:trPr>
        <w:tc>
          <w:tcPr>
            <w:tcW w:type="dxa" w:w="8220"/>
            <w:vAlign w:val="center"/>
            <w:tcMar>
              <w:top w:w="85" w:type="dxa"/>
              <w:left w:w="85" w:type="dxa"/>
              <w:bottom w:w="85" w:type="dxa"/>
              <w:right w:w="85" w:type="dxa"/>
            </w:tcMar>
            <w:shd w:fill="F5F7F9"/>
          </w:tcPr>
          <w:p>
            <w:pPr>
              <w:spacing w:after="40" w:before="40" w:line="252" w:lineRule="auto"/>
            </w:pPr>
            <w:r>
              <w:rPr>
                <w:b w:val="0"/>
                <w:sz w:val="18"/>
              </w:rPr>
              <w:t>Nguồn và các loại file</w:t>
            </w:r>
          </w:p>
        </w:tc>
        <w:tc>
          <w:tcPr>
            <w:tcW w:type="dxa" w:w="1417"/>
            <w:vAlign w:val="center"/>
            <w:tcMar>
              <w:top w:w="85" w:type="dxa"/>
              <w:left w:w="85" w:type="dxa"/>
              <w:bottom w:w="85" w:type="dxa"/>
              <w:right w:w="85" w:type="dxa"/>
            </w:tcMar>
            <w:shd w:fill="F5F7F9"/>
          </w:tcPr>
          <w:p>
            <w:pPr>
              <w:spacing w:after="40" w:before="40" w:line="252" w:lineRule="auto"/>
            </w:pPr>
            <w:r>
              <w:rPr>
                <w:b w:val="0"/>
                <w:sz w:val="18"/>
              </w:rPr>
              <w:t>10</w:t>
            </w:r>
          </w:p>
        </w:tc>
      </w:tr>
      <w:tr>
        <w:trPr>
          <w:cantSplit/>
        </w:trPr>
        <w:tc>
          <w:tcPr>
            <w:tcW w:type="dxa" w:w="8220"/>
            <w:vAlign w:val="center"/>
            <w:tcMar>
              <w:top w:w="85" w:type="dxa"/>
              <w:left w:w="85" w:type="dxa"/>
              <w:bottom w:w="85" w:type="dxa"/>
              <w:right w:w="85" w:type="dxa"/>
            </w:tcMar>
            <w:shd w:fill="FFFFFF"/>
          </w:tcPr>
          <w:p>
            <w:pPr>
              <w:spacing w:after="40" w:before="40" w:line="252" w:lineRule="auto"/>
            </w:pPr>
            <w:r>
              <w:rPr>
                <w:b w:val="0"/>
                <w:sz w:val="18"/>
              </w:rPr>
              <w:t>Điện thoại và ngoại tuyến</w:t>
            </w:r>
          </w:p>
        </w:tc>
        <w:tc>
          <w:tcPr>
            <w:tcW w:type="dxa" w:w="1417"/>
            <w:vAlign w:val="center"/>
            <w:tcMar>
              <w:top w:w="85" w:type="dxa"/>
              <w:left w:w="85" w:type="dxa"/>
              <w:bottom w:w="85" w:type="dxa"/>
              <w:right w:w="85" w:type="dxa"/>
            </w:tcMar>
            <w:shd w:fill="FFFFFF"/>
          </w:tcPr>
          <w:p>
            <w:pPr>
              <w:spacing w:after="40" w:before="40" w:line="252" w:lineRule="auto"/>
            </w:pPr>
            <w:r>
              <w:rPr>
                <w:b w:val="0"/>
                <w:sz w:val="18"/>
              </w:rPr>
              <w:t>11</w:t>
            </w:r>
          </w:p>
        </w:tc>
      </w:tr>
      <w:tr>
        <w:trPr>
          <w:cantSplit/>
        </w:trPr>
        <w:tc>
          <w:tcPr>
            <w:tcW w:type="dxa" w:w="8220"/>
            <w:vAlign w:val="center"/>
            <w:tcMar>
              <w:top w:w="85" w:type="dxa"/>
              <w:left w:w="85" w:type="dxa"/>
              <w:bottom w:w="85" w:type="dxa"/>
              <w:right w:w="85" w:type="dxa"/>
            </w:tcMar>
            <w:shd w:fill="F5F7F9"/>
          </w:tcPr>
          <w:p>
            <w:pPr>
              <w:spacing w:after="40" w:before="40" w:line="252" w:lineRule="auto"/>
            </w:pPr>
            <w:r>
              <w:rPr>
                <w:b w:val="0"/>
                <w:sz w:val="18"/>
              </w:rPr>
              <w:t>Thực hành thêm sửa dữ liệu demo</w:t>
            </w:r>
          </w:p>
        </w:tc>
        <w:tc>
          <w:tcPr>
            <w:tcW w:type="dxa" w:w="1417"/>
            <w:vAlign w:val="center"/>
            <w:tcMar>
              <w:top w:w="85" w:type="dxa"/>
              <w:left w:w="85" w:type="dxa"/>
              <w:bottom w:w="85" w:type="dxa"/>
              <w:right w:w="85" w:type="dxa"/>
            </w:tcMar>
            <w:shd w:fill="F5F7F9"/>
          </w:tcPr>
          <w:p>
            <w:pPr>
              <w:spacing w:after="40" w:before="40" w:line="252" w:lineRule="auto"/>
            </w:pPr>
            <w:r>
              <w:rPr>
                <w:b w:val="0"/>
                <w:sz w:val="18"/>
              </w:rPr>
              <w:t>12</w:t>
            </w:r>
          </w:p>
        </w:tc>
      </w:tr>
      <w:tr>
        <w:trPr>
          <w:cantSplit/>
        </w:trPr>
        <w:tc>
          <w:tcPr>
            <w:tcW w:type="dxa" w:w="8220"/>
            <w:vAlign w:val="center"/>
            <w:tcMar>
              <w:top w:w="85" w:type="dxa"/>
              <w:left w:w="85" w:type="dxa"/>
              <w:bottom w:w="85" w:type="dxa"/>
              <w:right w:w="85" w:type="dxa"/>
            </w:tcMar>
            <w:shd w:fill="FFFFFF"/>
          </w:tcPr>
          <w:p>
            <w:pPr>
              <w:spacing w:after="40" w:before="40" w:line="252" w:lineRule="auto"/>
            </w:pPr>
            <w:r>
              <w:rPr>
                <w:b w:val="0"/>
                <w:sz w:val="18"/>
              </w:rPr>
              <w:t>Xử lý lỗi thường gặp</w:t>
            </w:r>
          </w:p>
        </w:tc>
        <w:tc>
          <w:tcPr>
            <w:tcW w:type="dxa" w:w="1417"/>
            <w:vAlign w:val="center"/>
            <w:tcMar>
              <w:top w:w="85" w:type="dxa"/>
              <w:left w:w="85" w:type="dxa"/>
              <w:bottom w:w="85" w:type="dxa"/>
              <w:right w:w="85" w:type="dxa"/>
            </w:tcMar>
            <w:shd w:fill="FFFFFF"/>
          </w:tcPr>
          <w:p>
            <w:pPr>
              <w:spacing w:after="40" w:before="40" w:line="252" w:lineRule="auto"/>
            </w:pPr>
            <w:r>
              <w:rPr>
                <w:b w:val="0"/>
                <w:sz w:val="18"/>
              </w:rPr>
              <w:t>13</w:t>
            </w:r>
          </w:p>
        </w:tc>
      </w:tr>
      <w:tr>
        <w:trPr>
          <w:cantSplit/>
        </w:trPr>
        <w:tc>
          <w:tcPr>
            <w:tcW w:type="dxa" w:w="8220"/>
            <w:vAlign w:val="center"/>
            <w:tcMar>
              <w:top w:w="85" w:type="dxa"/>
              <w:left w:w="85" w:type="dxa"/>
              <w:bottom w:w="85" w:type="dxa"/>
              <w:right w:w="85" w:type="dxa"/>
            </w:tcMar>
            <w:shd w:fill="F5F7F9"/>
          </w:tcPr>
          <w:p>
            <w:pPr>
              <w:spacing w:after="40" w:before="40" w:line="252" w:lineRule="auto"/>
            </w:pPr>
            <w:r>
              <w:rPr>
                <w:b w:val="0"/>
                <w:sz w:val="18"/>
              </w:rPr>
              <w:t>Trình diễn và ghi vào báo cáo</w:t>
            </w:r>
          </w:p>
        </w:tc>
        <w:tc>
          <w:tcPr>
            <w:tcW w:type="dxa" w:w="1417"/>
            <w:vAlign w:val="center"/>
            <w:tcMar>
              <w:top w:w="85" w:type="dxa"/>
              <w:left w:w="85" w:type="dxa"/>
              <w:bottom w:w="85" w:type="dxa"/>
              <w:right w:w="85" w:type="dxa"/>
            </w:tcMar>
            <w:shd w:fill="F5F7F9"/>
          </w:tcPr>
          <w:p>
            <w:pPr>
              <w:spacing w:after="40" w:before="40" w:line="252" w:lineRule="auto"/>
            </w:pPr>
            <w:r>
              <w:rPr>
                <w:b w:val="0"/>
                <w:sz w:val="18"/>
              </w:rPr>
              <w:t>14</w:t>
            </w:r>
          </w:p>
        </w:tc>
      </w:tr>
    </w:tbl>
    <w:p/>
    <w:p>
      <w:r>
        <w:br w:type="page"/>
      </w:r>
    </w:p>
    <w:p>
      <w:pPr>
        <w:pStyle w:val="Heading1"/>
      </w:pPr>
      <w:r>
        <w:t>Mở đúng project trên máy tính</w:t>
      </w:r>
    </w:p>
    <w:p>
      <w:pPr>
        <w:pStyle w:val="Heading2"/>
      </w:pPr>
      <w:r>
        <w:t>Vị trí file trên máy của bạn</w:t>
      </w:r>
    </w:p>
    <w:p>
      <w:r>
        <w:t>Project đang được cập nhật nằm tại:</w:t>
      </w:r>
    </w:p>
    <w:p>
      <w:r>
        <w:t>C:\Users\phuhuy\Documents\ChatGPT\gis\mobilegis</w:t>
      </w:r>
    </w:p>
    <w:p>
      <w:r>
        <w:t>Gói để sao chép sang máy khác nằm trong thư mục gis, tên MobileGIS_GEE_2020_2025_RECOVERY.zip. File hướng dẫn Word này nằm ngay trong thư mục mobilegis. Thư mục project cũ trong Downloads là bản khác.</w:t>
      </w:r>
    </w:p>
    <w:p>
      <w:pPr>
        <w:pStyle w:val="Heading2"/>
      </w:pPr>
      <w:r>
        <w:t>Mở ứng dụng từng bước</w:t>
      </w:r>
    </w:p>
    <w:p>
      <w:pPr>
        <w:ind w:left="255" w:hanging="255"/>
      </w:pPr>
      <w:r>
        <w:t>1. Nhấn Windows + E để mở File Explorer. Nhấp thanh địa chỉ phía trên, dán đường dẫn project rồi nhấn Enter.</w:t>
      </w:r>
    </w:p>
    <w:p>
      <w:pPr>
        <w:ind w:left="255" w:hanging="255"/>
      </w:pPr>
      <w:r>
        <w:t>2. Tìm START_MOBILEGIS.cmd và nhấp đúp. Đây là file khởi động, không phải file dữ liệu bản đồ.</w:t>
      </w:r>
    </w:p>
    <w:p>
      <w:pPr>
        <w:ind w:left="255" w:hanging="255"/>
      </w:pPr>
      <w:r>
        <w:t>3. Trong cửa sổ vừa mở, tìm dòng Project để kiểm tra thư mục và dòng Version để kiểm tra GEE7.</w:t>
      </w:r>
    </w:p>
    <w:p>
      <w:pPr>
        <w:ind w:left="255" w:hanging="255"/>
      </w:pPr>
      <w:r>
        <w:t>4. Đọc địa chỉ sau MobileGIS, ví dụ http://127.0.0.1:5379. Sao chép địa chỉ đó vào thanh địa chỉ Chrome hoặc Edge rồi Enter.</w:t>
      </w:r>
    </w:p>
    <w:p>
      <w:pPr>
        <w:ind w:left="255" w:hanging="255"/>
      </w:pPr>
      <w:r>
        <w:t>5. Đợi giao diện tải. Góc trên phải phải ghi 2026.10.GEE7; nguồn nghiên cứu mặc định là GEE đã bổ sung 2025.</w:t>
      </w:r>
    </w:p>
    <w:p>
      <w:pPr>
        <w:ind w:left="255" w:hanging="255"/>
      </w:pPr>
      <w:r>
        <w:t>6. Giữ cửa sổ máy chủ mở khi dùng ứng dụng. Khi kết thúc, quay lại cửa sổ này và nhấn Ctrl + C; không cần xoá dữ liệu.</w:t>
      </w:r>
    </w:p>
    <w:p>
      <w:pPr>
        <w:pStyle w:val="Heading2"/>
      </w:pPr>
      <w:r>
        <w:t>Vì sao đôi khi vẫn thấy project cũ</w:t>
      </w:r>
    </w:p>
    <w:p>
      <w:r>
        <w:t>Mỗi máy chủ đang chạy chiếm một cổng. Nếu bản cũ đang dùng 5379, bản mới sẽ tự chọn cổng kế tiếp. Mở lại tab 5379 có thể vẫn dẫn vào bản cũ. Luôn dùng địa chỉ mới in trong cửa sổ CMD; đừng chỉ dựa vào tên tab trình duyệt.</w:t>
      </w:r>
    </w:p>
    <w:p>
      <w:r>
        <w:t>Nếu phiên bản chưa đổi, nhấn Ctrl + F5 để tải lại mạnh. Rê chuột vào nhãn phiên bản để xem đường dẫn project. Không cần đóng các chương trình khác hoặc xoá project cũ để kiểm tra.</w:t>
      </w:r>
    </w:p>
    <w:p>
      <w:pPr>
        <w:pStyle w:val="Heading2"/>
      </w:pPr>
      <w:r>
        <w:t>Khi dùng file ZIP</w:t>
      </w:r>
    </w:p>
    <w:p>
      <w:r>
        <w:t>Nhấp phải ZIP → Extract All hoặc Giải nén tất cả → chọn thư mục mới. Mở thư mục mobilegis đã giải nén rồi chạy CMD. Không chạy trực tiếp trong ZIP và không chỉ chép thư mục public: phần tra cứu ô mẫu và tải TIFF còn cần data. Máy nhận cần Python 3; file khởi động tìm Python có sẵn. Không phải cài thư viện GIS chỉ để xem demo.</w:t>
      </w:r>
    </w:p>
    <w:p>
      <w:r>
        <w:br w:type="page"/>
      </w:r>
    </w:p>
    <w:p>
      <w:pPr>
        <w:pStyle w:val="Heading1"/>
      </w:pPr>
      <w:r>
        <w:t>Nhận diện giao diện</w:t>
      </w:r>
    </w:p>
    <w:p>
      <w:pPr>
        <w:keepNext/>
        <w:jc w:val="center"/>
      </w:pPr>
      <w:r>
        <w:drawing>
          <wp:inline xmlns:a="http://schemas.openxmlformats.org/drawingml/2006/main" xmlns:pic="http://schemas.openxmlformats.org/drawingml/2006/picture">
            <wp:extent cx="6120000" cy="3442500"/>
            <wp:docPr id="1" name="Picture 1" descr="Hình 1  Phường Dĩ An trong bản GEE7 với LST năm 2025 và biểu đồ sáu năm"/>
            <wp:cNvGraphicFramePr>
              <a:graphicFrameLocks noChangeAspect="1"/>
            </wp:cNvGraphicFramePr>
            <a:graphic>
              <a:graphicData uri="http://schemas.openxmlformats.org/drawingml/2006/picture">
                <pic:pic>
                  <pic:nvPicPr>
                    <pic:cNvPr id="0" name="gee_recovery_desktop.png"/>
                    <pic:cNvPicPr/>
                  </pic:nvPicPr>
                  <pic:blipFill>
                    <a:blip r:embed="rId10"/>
                    <a:stretch>
                      <a:fillRect/>
                    </a:stretch>
                  </pic:blipFill>
                  <pic:spPr>
                    <a:xfrm>
                      <a:off x="0" y="0"/>
                      <a:ext cx="6120000" cy="3442500"/>
                    </a:xfrm>
                    <a:prstGeom prst="rect"/>
                  </pic:spPr>
                </pic:pic>
              </a:graphicData>
            </a:graphic>
          </wp:inline>
        </w:drawing>
      </w:r>
    </w:p>
    <w:p>
      <w:pPr>
        <w:pStyle w:val="Caption"/>
        <w:jc w:val="center"/>
      </w:pPr>
      <w:r>
        <w:t>Hình 1  Phường Dĩ An trong bản GEE7 với LST năm 2025 và biểu đồ sáu năm</w:t>
      </w:r>
    </w:p>
    <w:p>
      <w:pPr>
        <w:ind w:left="255" w:hanging="255"/>
      </w:pPr>
      <w:r>
        <w:t>1. Thanh trên cùng có Bản đồ, Dữ liệu, Phân tích và Nguồn. Đây là bốn khu vực làm việc chính.</w:t>
      </w:r>
    </w:p>
    <w:p>
      <w:pPr>
        <w:ind w:left="255" w:hanging="255"/>
      </w:pPr>
      <w:r>
        <w:t>2. Khung trái chứa Bộ dữ liệu, Nguồn Landsat nghiên cứu, ô tìm xã/phường, ba nút chỉ số, thanh năm và các chế độ bản đồ. Cuộn khung này để thấy các công cụ phía dưới.</w:t>
      </w:r>
    </w:p>
    <w:p>
      <w:pPr>
        <w:ind w:left="255" w:hanging="255"/>
      </w:pPr>
      <w:r>
        <w:t>3. Bản đồ ở giữa hiển thị lớp chỉ số và ranh giới. Dùng nút + hoặc − để phóng to/thu nhỏ; kéo chuột để di chuyển.</w:t>
      </w:r>
    </w:p>
    <w:p>
      <w:pPr>
        <w:ind w:left="255" w:hanging="255"/>
      </w:pPr>
      <w:r>
        <w:t>4. Ba ô phía trên bản đồ cho biết mốc năm, số đơn vị có chỉ số đang chọn và độ phân giải lưới.</w:t>
      </w:r>
    </w:p>
    <w:p>
      <w:pPr>
        <w:ind w:left="255" w:hanging="255"/>
      </w:pPr>
      <w:r>
        <w:t>5. Chú giải phía dưới trái giải thích thang màu. Bấm Thu gọn chú giải nếu che vị trí cần xem.</w:t>
      </w:r>
    </w:p>
    <w:p>
      <w:pPr>
        <w:ind w:left="255" w:hanging="255"/>
      </w:pPr>
      <w:r>
        <w:t>6. Thẻ bên phải có tên khu vực, mã, ba chỉ số, độ phủ, biểu đồ và nguồn. Cuộn bên trong thẻ để đọc hết hoặc bấm − để thu gọn.</w:t>
      </w:r>
    </w:p>
    <w:p>
      <w:pPr>
        <w:ind w:left="255" w:hanging="255"/>
      </w:pPr>
      <w:r>
        <w:t>7. Nút Toàn vùng trong công cụ đưa bản đồ về toàn bộ phạm vi nghiên cứu. Không dùng màu khi chưa kiểm tra chú giải và chỉ số đang chọn.</w:t>
      </w:r>
    </w:p>
    <w:p>
      <w:r>
        <w:br w:type="page"/>
      </w:r>
    </w:p>
    <w:p>
      <w:pPr>
        <w:pStyle w:val="Heading1"/>
      </w:pPr>
      <w:r>
        <w:t>Hiểu ba chỉ số môi trường</w:t>
      </w:r>
    </w:p>
    <w:p>
      <w:pPr>
        <w:pStyle w:val="Heading2"/>
      </w:pPr>
      <w:r>
        <w:t>LST là nhiệt độ bề mặt</w:t>
      </w:r>
    </w:p>
    <w:p>
      <w:r>
        <w:t>LST cho biết nhiệt độ bề mặt đất hoặc vật thể theo ảnh vệ tinh, đơn vị °C. Các ô LST nóng hơn có màu gần phía nóng của chú giải. Thang hiển thị bản này từ 20 đến 50°C và dùng cố định giữa các năm để tiện đối chiếu. Màu ở ngoài thang có thể bị giới hạn ở màu đầu hoặc cuối; đọc con số trong thẻ để biết giá trị.</w:t>
      </w:r>
    </w:p>
    <w:p>
      <w:r>
        <w:t>Ví dụ Dĩ An năm 2025 có LST trung bình 43,08°C. Đây không phải nhiệt độ không khí của bản tin thời tiết, cũng không phải trung bình liên tục cả năm. Ảnh vệ tinh được chọn trong mùa khô và ghép từ các ngày khác nhau.</w:t>
      </w:r>
    </w:p>
    <w:p>
      <w:pPr>
        <w:pStyle w:val="Heading2"/>
      </w:pPr>
      <w:r>
        <w:t>NDVI là chỉ số thực vật</w:t>
      </w:r>
    </w:p>
    <w:p>
      <w:r>
        <w:t>NDVI so sánh phản xạ cận hồng ngoại với ánh sáng đỏ, thường nằm từ −1 đến 1. Giá trị dương cao thường gắn với thực vật xanh/dày; nước, đất trống và khu xây dựng có đặc trưng khác. Giá trị NDVI 0,25 không có nghĩa khu vực có 25% cây xanh. NDVI cũng không xác định chính xác loại cây.</w:t>
      </w:r>
    </w:p>
    <w:p>
      <w:r>
        <w:t>Muốn biết lớp phủ là cây thân gỗ, khu xây dựng, nước hay trồng trọt, xem WorldCover. Cần phối hợp nhiều lớp và ngày ảnh thay vì suy ra loại đất chỉ từ một màu NDVI.</w:t>
      </w:r>
    </w:p>
    <w:p>
      <w:pPr>
        <w:pStyle w:val="Heading2"/>
      </w:pPr>
      <w:r>
        <w:t>TVDI là chỉ số khô tương đối thử nghiệm</w:t>
      </w:r>
    </w:p>
    <w:p>
      <w:r>
        <w:t>TVDI trong demo được tính từ quan hệ NDVI và LST, với rìa ướt/khô được khớp riêng cho từng cảnh. Giá trị được hiển thị trong khoảng 0–1. Giá trị cao phản ánh mức khô tương đối cao trong mô hình này; không tự chuyển thành cấp hạn chính thức hoặc cảnh báo mất mùa.</w:t>
      </w:r>
    </w:p>
    <w:p>
      <w:r>
        <w:t>Nước và các ô không đạt điều kiện có thể bị loại. Vì cách khớp rìa và ngày ảnh ảnh hưởng kết quả, so sánh TVDI phải đọc cùng nguồn và độ phủ. Chưa có đối chứng thực địa để khẳng định độ chính xác hoặc dùng ra quyết định cảnh báo.</w:t>
      </w:r>
    </w:p>
    <w:p>
      <w:pPr>
        <w:pStyle w:val="Heading2"/>
      </w:pPr>
      <w:r>
        <w:t>Những thuật ngữ cần nhớ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85" w:type="dxa"/>
              <w:left w:w="85" w:type="dxa"/>
              <w:bottom w:w="85" w:type="dxa"/>
              <w:right w:w="85" w:type="dxa"/>
            </w:tcMar>
            <w:shd w:fill="E5EDF3"/>
          </w:tcPr>
          <w:p>
            <w:pPr>
              <w:spacing w:after="40" w:before="40" w:line="252" w:lineRule="auto"/>
            </w:pPr>
            <w:r>
              <w:rPr>
                <w:b/>
                <w:sz w:val="18"/>
              </w:rPr>
              <w:t>Thuật ngữ</w:t>
            </w:r>
          </w:p>
        </w:tc>
        <w:tc>
          <w:tcPr>
            <w:tcW w:type="dxa" w:w="7370"/>
            <w:vAlign w:val="center"/>
            <w:tcMar>
              <w:top w:w="85" w:type="dxa"/>
              <w:left w:w="85" w:type="dxa"/>
              <w:bottom w:w="85" w:type="dxa"/>
              <w:right w:w="85" w:type="dxa"/>
            </w:tcMar>
            <w:shd w:fill="E5EDF3"/>
          </w:tcPr>
          <w:p>
            <w:pPr>
              <w:spacing w:after="40" w:before="40" w:line="252" w:lineRule="auto"/>
            </w:pPr>
            <w:r>
              <w:rPr>
                <w:b/>
                <w:sz w:val="18"/>
              </w:rPr>
              <w:t>Cách hiểu khi sử dụng</w:t>
            </w:r>
          </w:p>
        </w:tc>
      </w:tr>
      <w:tr>
        <w:trPr>
          <w:cantSplit/>
        </w:trPr>
        <w:tc>
          <w:tcPr>
            <w:tcW w:type="dxa" w:w="2268"/>
            <w:vAlign w:val="center"/>
            <w:tcMar>
              <w:top w:w="85" w:type="dxa"/>
              <w:left w:w="85" w:type="dxa"/>
              <w:bottom w:w="85" w:type="dxa"/>
              <w:right w:w="85" w:type="dxa"/>
            </w:tcMar>
            <w:shd w:fill="F5F7F9"/>
          </w:tcPr>
          <w:p>
            <w:pPr>
              <w:spacing w:after="40" w:before="40" w:line="252" w:lineRule="auto"/>
            </w:pPr>
            <w:r>
              <w:rPr>
                <w:b w:val="0"/>
                <w:sz w:val="18"/>
              </w:rPr>
              <w:t>Pixel hoặc ô mẫu</w:t>
            </w:r>
          </w:p>
        </w:tc>
        <w:tc>
          <w:tcPr>
            <w:tcW w:type="dxa" w:w="7370"/>
            <w:vAlign w:val="center"/>
            <w:tcMar>
              <w:top w:w="85" w:type="dxa"/>
              <w:left w:w="85" w:type="dxa"/>
              <w:bottom w:w="85" w:type="dxa"/>
              <w:right w:w="85" w:type="dxa"/>
            </w:tcMar>
            <w:shd w:fill="F5F7F9"/>
          </w:tcPr>
          <w:p>
            <w:pPr>
              <w:spacing w:after="40" w:before="40" w:line="252" w:lineRule="auto"/>
            </w:pPr>
            <w:r>
              <w:rPr>
                <w:b w:val="0"/>
                <w:sz w:val="18"/>
              </w:rPr>
              <w:t>Một ô trên lưới phân tích 120 m. Phóng to chỉ phóng to ô, không tạo chi tiết mới.</w:t>
            </w:r>
          </w:p>
        </w:tc>
      </w:tr>
      <w:tr>
        <w:trPr>
          <w:cantSplit/>
        </w:trPr>
        <w:tc>
          <w:tcPr>
            <w:tcW w:type="dxa" w:w="2268"/>
            <w:vAlign w:val="center"/>
            <w:tcMar>
              <w:top w:w="85" w:type="dxa"/>
              <w:left w:w="85" w:type="dxa"/>
              <w:bottom w:w="85" w:type="dxa"/>
              <w:right w:w="85" w:type="dxa"/>
            </w:tcMar>
            <w:shd w:fill="FFFFFF"/>
          </w:tcPr>
          <w:p>
            <w:pPr>
              <w:spacing w:after="40" w:before="40" w:line="252" w:lineRule="auto"/>
            </w:pPr>
            <w:r>
              <w:rPr>
                <w:b w:val="0"/>
                <w:sz w:val="18"/>
              </w:rPr>
              <w:t>Trung bình xã phường</w:t>
            </w:r>
          </w:p>
        </w:tc>
        <w:tc>
          <w:tcPr>
            <w:tcW w:type="dxa" w:w="7370"/>
            <w:vAlign w:val="center"/>
            <w:tcMar>
              <w:top w:w="85" w:type="dxa"/>
              <w:left w:w="85" w:type="dxa"/>
              <w:bottom w:w="85" w:type="dxa"/>
              <w:right w:w="85" w:type="dxa"/>
            </w:tcMar>
            <w:shd w:fill="FFFFFF"/>
          </w:tcPr>
          <w:p>
            <w:pPr>
              <w:spacing w:after="40" w:before="40" w:line="252" w:lineRule="auto"/>
            </w:pPr>
            <w:r>
              <w:rPr>
                <w:b w:val="0"/>
                <w:sz w:val="18"/>
              </w:rPr>
              <w:t>Trung bình không trọng số của các ô hợp lệ có tâm trong ranh giới.</w:t>
            </w:r>
          </w:p>
        </w:tc>
      </w:tr>
      <w:tr>
        <w:trPr>
          <w:cantSplit/>
        </w:trPr>
        <w:tc>
          <w:tcPr>
            <w:tcW w:type="dxa" w:w="2268"/>
            <w:vAlign w:val="center"/>
            <w:tcMar>
              <w:top w:w="85" w:type="dxa"/>
              <w:left w:w="85" w:type="dxa"/>
              <w:bottom w:w="85" w:type="dxa"/>
              <w:right w:w="85" w:type="dxa"/>
            </w:tcMar>
            <w:shd w:fill="F5F7F9"/>
          </w:tcPr>
          <w:p>
            <w:pPr>
              <w:spacing w:after="40" w:before="40" w:line="252" w:lineRule="auto"/>
            </w:pPr>
            <w:r>
              <w:rPr>
                <w:b w:val="0"/>
                <w:sz w:val="18"/>
              </w:rPr>
              <w:t>NoData hoặc dấu —</w:t>
            </w:r>
          </w:p>
        </w:tc>
        <w:tc>
          <w:tcPr>
            <w:tcW w:type="dxa" w:w="7370"/>
            <w:vAlign w:val="center"/>
            <w:tcMar>
              <w:top w:w="85" w:type="dxa"/>
              <w:left w:w="85" w:type="dxa"/>
              <w:bottom w:w="85" w:type="dxa"/>
              <w:right w:w="85" w:type="dxa"/>
            </w:tcMar>
            <w:shd w:fill="F5F7F9"/>
          </w:tcPr>
          <w:p>
            <w:pPr>
              <w:spacing w:after="40" w:before="40" w:line="252" w:lineRule="auto"/>
            </w:pPr>
            <w:r>
              <w:rPr>
                <w:b w:val="0"/>
                <w:sz w:val="18"/>
              </w:rPr>
              <w:t>Thiếu số liệu hoặc không đủ ngưỡng tính trung bình. Không phải bằng 0.</w:t>
            </w:r>
          </w:p>
        </w:tc>
      </w:tr>
      <w:tr>
        <w:trPr>
          <w:cantSplit/>
        </w:trPr>
        <w:tc>
          <w:tcPr>
            <w:tcW w:type="dxa" w:w="2268"/>
            <w:vAlign w:val="center"/>
            <w:tcMar>
              <w:top w:w="85" w:type="dxa"/>
              <w:left w:w="85" w:type="dxa"/>
              <w:bottom w:w="85" w:type="dxa"/>
              <w:right w:w="85" w:type="dxa"/>
            </w:tcMar>
            <w:shd w:fill="FFFFFF"/>
          </w:tcPr>
          <w:p>
            <w:pPr>
              <w:spacing w:after="40" w:before="40" w:line="252" w:lineRule="auto"/>
            </w:pPr>
            <w:r>
              <w:rPr>
                <w:b w:val="0"/>
                <w:sz w:val="18"/>
              </w:rPr>
              <w:t>Mosaic hoặc ảnh ghép</w:t>
            </w:r>
          </w:p>
        </w:tc>
        <w:tc>
          <w:tcPr>
            <w:tcW w:type="dxa" w:w="7370"/>
            <w:vAlign w:val="center"/>
            <w:tcMar>
              <w:top w:w="85" w:type="dxa"/>
              <w:left w:w="85" w:type="dxa"/>
              <w:bottom w:w="85" w:type="dxa"/>
              <w:right w:w="85" w:type="dxa"/>
            </w:tcMar>
            <w:shd w:fill="FFFFFF"/>
          </w:tcPr>
          <w:p>
            <w:pPr>
              <w:spacing w:after="40" w:before="40" w:line="252" w:lineRule="auto"/>
            </w:pPr>
            <w:r>
              <w:rPr>
                <w:b w:val="0"/>
                <w:sz w:val="18"/>
              </w:rPr>
              <w:t>Ghép các cảnh vệ tinh để phủ vùng nghiên cứu. Các vị trí có thể có ngày ảnh khác nhau.</w:t>
            </w:r>
          </w:p>
        </w:tc>
      </w:tr>
    </w:tbl>
    <w:p/>
    <w:p>
      <w:r>
        <w:br w:type="page"/>
      </w:r>
    </w:p>
    <w:p>
      <w:pPr>
        <w:pStyle w:val="Heading1"/>
      </w:pPr>
      <w:r>
        <w:t>Thực hành đọc bản đồ</w:t>
      </w:r>
    </w:p>
    <w:p>
      <w:pPr>
        <w:pStyle w:val="Heading2"/>
      </w:pPr>
      <w:r>
        <w:t>Xem nhiệt độ tại Dĩ An</w:t>
      </w:r>
    </w:p>
    <w:p>
      <w:pPr>
        <w:ind w:left="255" w:hanging="255"/>
      </w:pPr>
      <w:r>
        <w:t>1. Mở Bản đồ. Bộ dữ liệu chọn Landsat thực 167 đơn vị; Nguồn Landsat nghiên cứu chọn GEE đã bổ sung 2025.</w:t>
      </w:r>
    </w:p>
    <w:p>
      <w:pPr>
        <w:ind w:left="255" w:hanging="255"/>
      </w:pPr>
      <w:r>
        <w:t>2. Gõ 25942 hoặc Dĩ An vào ô tìm. Bấm kết quả Phường Dĩ An 25942 để chọn vùng.</w:t>
      </w:r>
    </w:p>
    <w:p>
      <w:pPr>
        <w:ind w:left="255" w:hanging="255"/>
      </w:pPr>
      <w:r>
        <w:t>3. Chọn LST và kéo Mốc quan sát đến 2025. Trong Khám phá bản đồ chọn Phân bố chỉ số.</w:t>
      </w:r>
    </w:p>
    <w:p>
      <w:pPr>
        <w:ind w:left="255" w:hanging="255"/>
      </w:pPr>
      <w:r>
        <w:t>4. Đọc thẻ: LST 43,08°C, NDVI khoảng 0,25, TVDI khoảng 0,72. Độ phủ LST là 1.473/1.485 ô, tương đương 99,2%. Số hiển thị đã làm tròn.</w:t>
      </w:r>
    </w:p>
    <w:p>
      <w:pPr>
        <w:ind w:left="255" w:hanging="255"/>
      </w:pPr>
      <w:r>
        <w:t>5. Đọc biểu đồ 2020–2025 và phần nguồn dưới biểu đồ. Có 1.403 ô được bổ sung cho Dĩ An từ cảnh ngày 28/02/2025; các ô gốc còn nguyên.</w:t>
      </w:r>
    </w:p>
    <w:p>
      <w:pPr>
        <w:ind w:left="255" w:hanging="255"/>
      </w:pPr>
      <w:r>
        <w:t>6. Chạm một vị trí trong bản đồ để tra cứu ô gần vị trí đó. Dòng tọa độ và giá trị ô mẫu có thể khác ba số trung bình trong thẻ.</w:t>
      </w:r>
    </w:p>
    <w:p>
      <w:r>
        <w:t>Tra cứu điểm dùng lưới hiển thị địa lý đã lấy mẫu gần nhất từ lưới nghiên cứu 120 m. Đừng dùng giá trị một điểm làm số đại diện toàn phường. Vị trí chạm vào nước hoặc ô thiếu có thể báo thiếu dữ liệu.</w:t>
      </w:r>
    </w:p>
    <w:p>
      <w:pPr>
        <w:pStyle w:val="Heading2"/>
      </w:pPr>
      <w:r>
        <w:t>Đổi lớp chỉ số và nền</w:t>
      </w:r>
    </w:p>
    <w:p>
      <w:r>
        <w:t>Bấm NDVI hoặc TVDI để thay lớp bản đồ và biểu đồ của vùng đang chọn. Đọc chú giải lại vì đơn vị và thang màu thay đổi. Thanh Độ đậm của lớp chỉ làm lớp trong/mờ hơn, không thay giá trị. Tắt Hiển thị lớp chỉ số để nhìn ảnh nền rõ hơn; tắt Ranh giới nếu đường viền che ảnh.</w:t>
      </w:r>
    </w:p>
    <w:p>
      <w:r>
        <w:t>Chọn Trung bình theo xã/phường để tô cả polygon theo một giá trị trung bình. Lớp này dễ so sánh hành chính nhưng không cho biết khác biệt bên trong phường. Phân bố chỉ số giữ khác biệt giữa các ô 120 m.</w:t>
      </w:r>
    </w:p>
    <w:p>
      <w:pPr>
        <w:pStyle w:val="Heading2"/>
      </w:pPr>
      <w:r>
        <w:t>Xem lớp phủ đất</w:t>
      </w:r>
    </w:p>
    <w:p>
      <w:pPr>
        <w:ind w:left="255" w:hanging="255"/>
      </w:pPr>
      <w:r>
        <w:t>1. Đánh dấu Lớp phủ đất ESA năm 2021. Bản đồ chuyển sang các loại phủ đất; không còn là lớp LST/NDVI/TVDI.</w:t>
      </w:r>
    </w:p>
    <w:p>
      <w:pPr>
        <w:ind w:left="255" w:hanging="255"/>
      </w:pPr>
      <w:r>
        <w:t>2. Đọc tên và màu trong chú giải. Thẻ khu vực cho biết ba lớp chiếm tỷ lệ lớn nhất trong các ô được phân loại.</w:t>
      </w:r>
    </w:p>
    <w:p>
      <w:pPr>
        <w:ind w:left="255" w:hanging="255"/>
      </w:pPr>
      <w:r>
        <w:t>3. Bỏ dấu để quay lại lớp chỉ số. WorldCover luôn là năm 2021, kể cả khi thanh năm đang ở 2025.</w:t>
      </w:r>
    </w:p>
    <w:p>
      <w:r>
        <w:t>WorldCover GEE thống kê trên lưới 10 m, tile hiển thị lấy mẫu khoảng 30 m. Tỷ lệ lớp phủ là tỷ lệ ô được phân loại, không phải diện tích địa chính đã đo đạc. Ảnh nền màu tự nhiên thuộc bộ xử lý cũ, được dùng làm bối cảnh chứ không thay số liệu GEE.</w:t>
      </w:r>
    </w:p>
    <w:p>
      <w:r>
        <w:br w:type="page"/>
      </w:r>
    </w:p>
    <w:p>
      <w:pPr>
        <w:pStyle w:val="Heading1"/>
      </w:pPr>
      <w:r>
        <w:t>So sánh các năm</w:t>
      </w:r>
    </w:p>
    <w:p>
      <w:pPr>
        <w:pStyle w:val="Heading2"/>
      </w:pPr>
      <w:r>
        <w:t>Đọc diễn biến từ 2020 đến 2025</w:t>
      </w:r>
    </w:p>
    <w:p>
      <w:pPr>
        <w:ind w:left="255" w:hanging="255"/>
      </w:pPr>
      <w:r>
        <w:t>1. Chọn một xã/phường và một chỉ số. Bỏ chọn WorldCover; chọn Phân bố chỉ số.</w:t>
      </w:r>
    </w:p>
    <w:p>
      <w:pPr>
        <w:ind w:left="255" w:hanging="255"/>
      </w:pPr>
      <w:r>
        <w:t>2. Kéo thanh năm từng mốc từ 2020 đến 2025. Biểu đồ trong thẻ thể hiện sáu mốc có dữ liệu của vùng đang chọn.</w:t>
      </w:r>
    </w:p>
    <w:p>
      <w:pPr>
        <w:ind w:left="255" w:hanging="255"/>
      </w:pPr>
      <w:r>
        <w:t>3. Bấm Phát diễn biến để tự chuyển mốc. Bấm nút dừng khi muốn xem một năm; đổi nguồn/chế độ cũng có thể dừng phát.</w:t>
      </w:r>
    </w:p>
    <w:p>
      <w:pPr>
        <w:ind w:left="255" w:hanging="255"/>
      </w:pPr>
      <w:r>
        <w:t>4. Đọc ngày cảnh và độ phủ cho từng mốc. Có dấu — hoặc khoảng trống thì giữ nguyên là thiếu dữ liệu, không suy đoán số.</w:t>
      </w:r>
    </w:p>
    <w:p>
      <w:pPr>
        <w:pStyle w:val="Heading2"/>
      </w:pPr>
      <w:r>
        <w:t>Kéo màn hình để đối chiếu hai bản đồ</w:t>
      </w:r>
    </w:p>
    <w:p>
      <w:pPr>
        <w:ind w:left="255" w:hanging="255"/>
      </w:pPr>
      <w:r>
        <w:t>1. Giữ cùng nguồn GEE, cùng chỉ số và chế độ Phân bố chỉ số. Chọn năm cần so với 2020, ví dụ 2025.</w:t>
      </w:r>
    </w:p>
    <w:p>
      <w:pPr>
        <w:ind w:left="255" w:hanging="255"/>
      </w:pPr>
      <w:r>
        <w:t>2. Đánh dấu So sánh kéo màn hình 2020 / năm chọn. Thanh Vị trí đường chia xuất hiện.</w:t>
      </w:r>
    </w:p>
    <w:p>
      <w:pPr>
        <w:ind w:left="255" w:hanging="255"/>
      </w:pPr>
      <w:r>
        <w:t>3. Kéo thanh để thay vị trí phân chia: phần trái là 2020, phần phải là năm chọn. Màu được so trên cùng thang.</w:t>
      </w:r>
    </w:p>
    <w:p>
      <w:pPr>
        <w:ind w:left="255" w:hanging="255"/>
      </w:pPr>
      <w:r>
        <w:t>4. Bỏ dấu để trở lại một bản đồ. Nếu năm chọn cũng là 2020, hai bên giống nhau là đúng.</w:t>
      </w:r>
    </w:p>
    <w:p>
      <w:pPr>
        <w:pStyle w:val="Heading2"/>
      </w:pPr>
      <w:r>
        <w:t>Xem bản đồ hiệu số</w:t>
      </w:r>
    </w:p>
    <w:p>
      <w:pPr>
        <w:ind w:left="255" w:hanging="255"/>
      </w:pPr>
      <w:r>
        <w:t>1. Trong Khám phá bản đồ chọn Thay đổi 2020 → 2025. Thanh năm khóa ở 2025 vì đây là hiệu hai mốc cố định.</w:t>
      </w:r>
    </w:p>
    <w:p>
      <w:pPr>
        <w:ind w:left="255" w:hanging="255"/>
      </w:pPr>
      <w:r>
        <w:t>2. Đọc chú giải: xanh là giảm, đỏ là tăng, màu gần trắng là gần 0; vùng không màu là không có đủ cặp ô.</w:t>
      </w:r>
    </w:p>
    <w:p>
      <w:pPr>
        <w:ind w:left="255" w:hanging="255"/>
      </w:pPr>
      <w:r>
        <w:t>3. Bản đồ chỉ tính 2025 trừ 2020 ở cùng vị trí có dữ liệu cả hai năm. Ví dụ +2°C nghĩa ô đó có LST cao hơn 2°C ở mốc 2025.</w:t>
      </w:r>
    </w:p>
    <w:p>
      <w:pPr>
        <w:ind w:left="255" w:hanging="255"/>
      </w:pPr>
      <w:r>
        <w:t>4. Chuyển lại Phân bố chỉ số nếu muốn kéo thanh năm hoặc phát diễn biến.</w:t>
      </w:r>
    </w:p>
    <w:p>
      <w:r>
        <w:t>NDVI và TVDI cũng lấy hiệu số tuyệt đối, không phải phần trăm. Ví dụ NDVI tăng từ 0,20 lên 0,30 thì hiệu là +0,10.</w:t>
      </w:r>
    </w:p>
    <w:p>
      <w:pPr>
        <w:pStyle w:val="Heading2"/>
      </w:pPr>
      <w:r>
        <w:t>Vì sao hai cách tính chênh lệch khác nhau</w:t>
      </w:r>
    </w:p>
    <w:p>
      <w:r>
        <w:t>Δ trung bình trong thẻ lấy trung bình vùng năm 2025 trừ trung bình vùng năm 2020. Hai năm có thể có tập ô hợp lệ khác nhau. Bản đồ Δ chỉ dùng ô có số ở cả hai năm, nên trung bình lớp Δ có thể khác Δ trung bình trong thẻ. Đó là khác biệt phương pháp, không tự động là lỗi.</w:t>
      </w:r>
    </w:p>
    <w:p>
      <w:r>
        <w:t>Ngày chụp, thời tiết, mây và cách khớp TVDI khác nhau đều có thể ảnh hưởng kết quả. Không dùng hai mốc để khẳng định xu thế khí hậu hoặc quy toàn bộ biến động cho đô thị hóa.</w:t>
      </w:r>
    </w:p>
    <w:p>
      <w:r>
        <w:br w:type="page"/>
      </w:r>
    </w:p>
    <w:p>
      <w:pPr>
        <w:pStyle w:val="Heading1"/>
      </w:pPr>
      <w:r>
        <w:t>Kiểm tra độ phủ và bản bổ sung 2025</w:t>
      </w:r>
    </w:p>
    <w:p>
      <w:pPr>
        <w:pStyle w:val="Heading2"/>
      </w:pPr>
      <w:r>
        <w:t>Độ phủ đo điều gì</w:t>
      </w:r>
    </w:p>
    <w:p>
      <w:r>
        <w:t>Độ phủ bằng số ô hợp lệ chia tổng số ô có tâm nằm trong đơn vị nghiên cứu. 100% độ phủ nghĩa đủ ô trên lưới lấy mẫu, không có nghĩa độ chính xác 100%. Ba chỉ số có thể có độ phủ khác nhau vì điều kiện dữ liệu hoặc mặt nạ khác nhau.</w:t>
      </w:r>
    </w:p>
    <w:p>
      <w:r>
        <w:t>Demo chỉ tính trung bình khi có ít nhất 5 ô và độ phủ ít nhất 10%. Khi phân tích, ngưỡng 50% là mức lọc khuyến nghị trong giao diện; dưới mức này cần đọc thận trọng. Ngưỡng này không thay thế kiểm định khoa học.</w:t>
      </w:r>
    </w:p>
    <w:p>
      <w:pPr>
        <w:ind w:left="255" w:hanging="255"/>
      </w:pPr>
      <w:r>
        <w:t>1. Chọn chỉ số và năm muốn kiểm tra.</w:t>
      </w:r>
    </w:p>
    <w:p>
      <w:pPr>
        <w:ind w:left="255" w:hanging="255"/>
      </w:pPr>
      <w:r>
        <w:t>2. Trong Khám phá bản đồ chọn Độ phủ dữ liệu từng khu vực. Màu lúc này biểu diễn phần ô hợp lệ, không phải mức nhiệt hoặc mức khô.</w:t>
      </w:r>
    </w:p>
    <w:p>
      <w:pPr>
        <w:ind w:left="255" w:hanging="255"/>
      </w:pPr>
      <w:r>
        <w:t>3. Chọn xã/phường để đọc số ô và tỷ lệ cụ thể trong thẻ. Trong Phân tích, đổi Độ phủ tối thiểu để thấy số đơn vị còn lại.</w:t>
      </w:r>
    </w:p>
    <w:p>
      <w:pPr>
        <w:pStyle w:val="Heading2"/>
      </w:pPr>
      <w:r>
        <w:t>Kết quả phục hồi năm 2025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2041"/>
        <w:gridCol w:w="2041"/>
        <w:gridCol w:w="2041"/>
      </w:tblGrid>
      <w:tr>
        <w:trPr>
          <w:cantSplit/>
          <w:tblHeader/>
        </w:trPr>
        <w:tc>
          <w:tcPr>
            <w:tcW w:type="dxa" w:w="3515"/>
            <w:vAlign w:val="center"/>
            <w:tcMar>
              <w:top w:w="85" w:type="dxa"/>
              <w:left w:w="85" w:type="dxa"/>
              <w:bottom w:w="85" w:type="dxa"/>
              <w:right w:w="85" w:type="dxa"/>
            </w:tcMar>
            <w:shd w:fill="E5EDF3"/>
          </w:tcPr>
          <w:p>
            <w:pPr>
              <w:spacing w:after="40" w:before="40" w:line="252" w:lineRule="auto"/>
            </w:pPr>
            <w:r>
              <w:rPr>
                <w:b/>
                <w:sz w:val="18"/>
              </w:rPr>
              <w:t>Phường</w:t>
            </w:r>
          </w:p>
        </w:tc>
        <w:tc>
          <w:tcPr>
            <w:tcW w:type="dxa" w:w="2041"/>
            <w:vAlign w:val="center"/>
            <w:tcMar>
              <w:top w:w="85" w:type="dxa"/>
              <w:left w:w="85" w:type="dxa"/>
              <w:bottom w:w="85" w:type="dxa"/>
              <w:right w:w="85" w:type="dxa"/>
            </w:tcMar>
            <w:shd w:fill="E5EDF3"/>
          </w:tcPr>
          <w:p>
            <w:pPr>
              <w:spacing w:after="40" w:before="40" w:line="252" w:lineRule="auto"/>
              <w:jc w:val="center"/>
            </w:pPr>
            <w:r>
              <w:rPr>
                <w:b/>
                <w:sz w:val="18"/>
              </w:rPr>
              <w:t>LST trước</w:t>
            </w:r>
          </w:p>
        </w:tc>
        <w:tc>
          <w:tcPr>
            <w:tcW w:type="dxa" w:w="2041"/>
            <w:vAlign w:val="center"/>
            <w:tcMar>
              <w:top w:w="85" w:type="dxa"/>
              <w:left w:w="85" w:type="dxa"/>
              <w:bottom w:w="85" w:type="dxa"/>
              <w:right w:w="85" w:type="dxa"/>
            </w:tcMar>
            <w:shd w:fill="E5EDF3"/>
          </w:tcPr>
          <w:p>
            <w:pPr>
              <w:spacing w:after="40" w:before="40" w:line="252" w:lineRule="auto"/>
              <w:jc w:val="center"/>
            </w:pPr>
            <w:r>
              <w:rPr>
                <w:b/>
                <w:sz w:val="18"/>
              </w:rPr>
              <w:t>LST sau</w:t>
            </w:r>
          </w:p>
        </w:tc>
        <w:tc>
          <w:tcPr>
            <w:tcW w:type="dxa" w:w="2041"/>
            <w:vAlign w:val="center"/>
            <w:tcMar>
              <w:top w:w="85" w:type="dxa"/>
              <w:left w:w="85" w:type="dxa"/>
              <w:bottom w:w="85" w:type="dxa"/>
              <w:right w:w="85" w:type="dxa"/>
            </w:tcMar>
            <w:shd w:fill="E5EDF3"/>
          </w:tcPr>
          <w:p>
            <w:pPr>
              <w:spacing w:after="40" w:before="40" w:line="252" w:lineRule="auto"/>
              <w:jc w:val="center"/>
            </w:pPr>
            <w:r>
              <w:rPr>
                <w:b/>
                <w:sz w:val="18"/>
              </w:rPr>
              <w:t>TVDI sau</w:t>
            </w:r>
          </w:p>
        </w:tc>
      </w:tr>
      <w:tr>
        <w:trPr>
          <w:cantSplit/>
        </w:trPr>
        <w:tc>
          <w:tcPr>
            <w:tcW w:type="dxa" w:w="3515"/>
            <w:vAlign w:val="center"/>
            <w:tcMar>
              <w:top w:w="85" w:type="dxa"/>
              <w:left w:w="85" w:type="dxa"/>
              <w:bottom w:w="85" w:type="dxa"/>
              <w:right w:w="85" w:type="dxa"/>
            </w:tcMar>
            <w:shd w:fill="F5F7F9"/>
          </w:tcPr>
          <w:p>
            <w:pPr>
              <w:spacing w:after="40" w:before="40" w:line="252" w:lineRule="auto"/>
            </w:pPr>
            <w:r>
              <w:rPr>
                <w:b w:val="0"/>
                <w:sz w:val="18"/>
              </w:rPr>
              <w:t>Dĩ An</w:t>
            </w:r>
          </w:p>
        </w:tc>
        <w:tc>
          <w:tcPr>
            <w:tcW w:type="dxa" w:w="2041"/>
            <w:vAlign w:val="center"/>
            <w:tcMar>
              <w:top w:w="85" w:type="dxa"/>
              <w:left w:w="85" w:type="dxa"/>
              <w:bottom w:w="85" w:type="dxa"/>
              <w:right w:w="85" w:type="dxa"/>
            </w:tcMar>
            <w:shd w:fill="F5F7F9"/>
          </w:tcPr>
          <w:p>
            <w:pPr>
              <w:spacing w:after="40" w:before="40" w:line="252" w:lineRule="auto"/>
              <w:jc w:val="center"/>
            </w:pPr>
            <w:r>
              <w:rPr>
                <w:b w:val="0"/>
                <w:sz w:val="18"/>
              </w:rPr>
              <w:t>4,71%</w:t>
            </w:r>
          </w:p>
        </w:tc>
        <w:tc>
          <w:tcPr>
            <w:tcW w:type="dxa" w:w="2041"/>
            <w:vAlign w:val="center"/>
            <w:tcMar>
              <w:top w:w="85" w:type="dxa"/>
              <w:left w:w="85" w:type="dxa"/>
              <w:bottom w:w="85" w:type="dxa"/>
              <w:right w:w="85" w:type="dxa"/>
            </w:tcMar>
            <w:shd w:fill="F5F7F9"/>
          </w:tcPr>
          <w:p>
            <w:pPr>
              <w:spacing w:after="40" w:before="40" w:line="252" w:lineRule="auto"/>
              <w:jc w:val="center"/>
            </w:pPr>
            <w:r>
              <w:rPr>
                <w:b w:val="0"/>
                <w:sz w:val="18"/>
              </w:rPr>
              <w:t>99,19%</w:t>
            </w:r>
          </w:p>
        </w:tc>
        <w:tc>
          <w:tcPr>
            <w:tcW w:type="dxa" w:w="2041"/>
            <w:vAlign w:val="center"/>
            <w:tcMar>
              <w:top w:w="85" w:type="dxa"/>
              <w:left w:w="85" w:type="dxa"/>
              <w:bottom w:w="85" w:type="dxa"/>
              <w:right w:w="85" w:type="dxa"/>
            </w:tcMar>
            <w:shd w:fill="F5F7F9"/>
          </w:tcPr>
          <w:p>
            <w:pPr>
              <w:spacing w:after="40" w:before="40" w:line="252" w:lineRule="auto"/>
              <w:jc w:val="center"/>
            </w:pPr>
            <w:r>
              <w:rPr>
                <w:b w:val="0"/>
                <w:sz w:val="18"/>
              </w:rPr>
              <w:t>99,19%</w:t>
            </w:r>
          </w:p>
        </w:tc>
      </w:tr>
      <w:tr>
        <w:trPr>
          <w:cantSplit/>
        </w:trPr>
        <w:tc>
          <w:tcPr>
            <w:tcW w:type="dxa" w:w="3515"/>
            <w:vAlign w:val="center"/>
            <w:tcMar>
              <w:top w:w="85" w:type="dxa"/>
              <w:left w:w="85" w:type="dxa"/>
              <w:bottom w:w="85" w:type="dxa"/>
              <w:right w:w="85" w:type="dxa"/>
            </w:tcMar>
            <w:shd w:fill="FFFFFF"/>
          </w:tcPr>
          <w:p>
            <w:pPr>
              <w:spacing w:after="40" w:before="40" w:line="252" w:lineRule="auto"/>
            </w:pPr>
            <w:r>
              <w:rPr>
                <w:b w:val="0"/>
                <w:sz w:val="18"/>
              </w:rPr>
              <w:t>Tân Đông Hiệp</w:t>
            </w:r>
          </w:p>
        </w:tc>
        <w:tc>
          <w:tcPr>
            <w:tcW w:type="dxa" w:w="2041"/>
            <w:vAlign w:val="center"/>
            <w:tcMar>
              <w:top w:w="85" w:type="dxa"/>
              <w:left w:w="85" w:type="dxa"/>
              <w:bottom w:w="85" w:type="dxa"/>
              <w:right w:w="85" w:type="dxa"/>
            </w:tcMar>
            <w:shd w:fill="FFFFFF"/>
          </w:tcPr>
          <w:p>
            <w:pPr>
              <w:spacing w:after="40" w:before="40" w:line="252" w:lineRule="auto"/>
              <w:jc w:val="center"/>
            </w:pPr>
            <w:r>
              <w:rPr>
                <w:b w:val="0"/>
                <w:sz w:val="18"/>
              </w:rPr>
              <w:t>7,48%</w:t>
            </w:r>
          </w:p>
        </w:tc>
        <w:tc>
          <w:tcPr>
            <w:tcW w:type="dxa" w:w="2041"/>
            <w:vAlign w:val="center"/>
            <w:tcMar>
              <w:top w:w="85" w:type="dxa"/>
              <w:left w:w="85" w:type="dxa"/>
              <w:bottom w:w="85" w:type="dxa"/>
              <w:right w:w="85" w:type="dxa"/>
            </w:tcMar>
            <w:shd w:fill="FFFFFF"/>
          </w:tcPr>
          <w:p>
            <w:pPr>
              <w:spacing w:after="40" w:before="40" w:line="252" w:lineRule="auto"/>
              <w:jc w:val="center"/>
            </w:pPr>
            <w:r>
              <w:rPr>
                <w:b w:val="0"/>
                <w:sz w:val="18"/>
              </w:rPr>
              <w:t>97,44%</w:t>
            </w:r>
          </w:p>
        </w:tc>
        <w:tc>
          <w:tcPr>
            <w:tcW w:type="dxa" w:w="2041"/>
            <w:vAlign w:val="center"/>
            <w:tcMar>
              <w:top w:w="85" w:type="dxa"/>
              <w:left w:w="85" w:type="dxa"/>
              <w:bottom w:w="85" w:type="dxa"/>
              <w:right w:w="85" w:type="dxa"/>
            </w:tcMar>
            <w:shd w:fill="FFFFFF"/>
          </w:tcPr>
          <w:p>
            <w:pPr>
              <w:spacing w:after="40" w:before="40" w:line="252" w:lineRule="auto"/>
              <w:jc w:val="center"/>
            </w:pPr>
            <w:r>
              <w:rPr>
                <w:b w:val="0"/>
                <w:sz w:val="18"/>
              </w:rPr>
              <w:t>97,37%</w:t>
            </w:r>
          </w:p>
        </w:tc>
      </w:tr>
      <w:tr>
        <w:trPr>
          <w:cantSplit/>
        </w:trPr>
        <w:tc>
          <w:tcPr>
            <w:tcW w:type="dxa" w:w="3515"/>
            <w:vAlign w:val="center"/>
            <w:tcMar>
              <w:top w:w="85" w:type="dxa"/>
              <w:left w:w="85" w:type="dxa"/>
              <w:bottom w:w="85" w:type="dxa"/>
              <w:right w:w="85" w:type="dxa"/>
            </w:tcMar>
            <w:shd w:fill="F5F7F9"/>
          </w:tcPr>
          <w:p>
            <w:pPr>
              <w:spacing w:after="40" w:before="40" w:line="252" w:lineRule="auto"/>
            </w:pPr>
            <w:r>
              <w:rPr>
                <w:b w:val="0"/>
                <w:sz w:val="18"/>
              </w:rPr>
              <w:t>Đông Hoà</w:t>
            </w:r>
          </w:p>
        </w:tc>
        <w:tc>
          <w:tcPr>
            <w:tcW w:type="dxa" w:w="2041"/>
            <w:vAlign w:val="center"/>
            <w:tcMar>
              <w:top w:w="85" w:type="dxa"/>
              <w:left w:w="85" w:type="dxa"/>
              <w:bottom w:w="85" w:type="dxa"/>
              <w:right w:w="85" w:type="dxa"/>
            </w:tcMar>
            <w:shd w:fill="F5F7F9"/>
          </w:tcPr>
          <w:p>
            <w:pPr>
              <w:spacing w:after="40" w:before="40" w:line="252" w:lineRule="auto"/>
              <w:jc w:val="center"/>
            </w:pPr>
            <w:r>
              <w:rPr>
                <w:b w:val="0"/>
                <w:sz w:val="18"/>
              </w:rPr>
              <w:t>7,07%</w:t>
            </w:r>
          </w:p>
        </w:tc>
        <w:tc>
          <w:tcPr>
            <w:tcW w:type="dxa" w:w="2041"/>
            <w:vAlign w:val="center"/>
            <w:tcMar>
              <w:top w:w="85" w:type="dxa"/>
              <w:left w:w="85" w:type="dxa"/>
              <w:bottom w:w="85" w:type="dxa"/>
              <w:right w:w="85" w:type="dxa"/>
            </w:tcMar>
            <w:shd w:fill="F5F7F9"/>
          </w:tcPr>
          <w:p>
            <w:pPr>
              <w:spacing w:after="40" w:before="40" w:line="252" w:lineRule="auto"/>
              <w:jc w:val="center"/>
            </w:pPr>
            <w:r>
              <w:rPr>
                <w:b w:val="0"/>
                <w:sz w:val="18"/>
              </w:rPr>
              <w:t>96,98%</w:t>
            </w:r>
          </w:p>
        </w:tc>
        <w:tc>
          <w:tcPr>
            <w:tcW w:type="dxa" w:w="2041"/>
            <w:vAlign w:val="center"/>
            <w:tcMar>
              <w:top w:w="85" w:type="dxa"/>
              <w:left w:w="85" w:type="dxa"/>
              <w:bottom w:w="85" w:type="dxa"/>
              <w:right w:w="85" w:type="dxa"/>
            </w:tcMar>
            <w:shd w:fill="F5F7F9"/>
          </w:tcPr>
          <w:p>
            <w:pPr>
              <w:spacing w:after="40" w:before="40" w:line="252" w:lineRule="auto"/>
              <w:jc w:val="center"/>
            </w:pPr>
            <w:r>
              <w:rPr>
                <w:b w:val="0"/>
                <w:sz w:val="18"/>
              </w:rPr>
              <w:t>96,70%</w:t>
            </w:r>
          </w:p>
        </w:tc>
      </w:tr>
      <w:tr>
        <w:trPr>
          <w:cantSplit/>
        </w:trPr>
        <w:tc>
          <w:tcPr>
            <w:tcW w:type="dxa" w:w="3515"/>
            <w:vAlign w:val="center"/>
            <w:tcMar>
              <w:top w:w="85" w:type="dxa"/>
              <w:left w:w="85" w:type="dxa"/>
              <w:bottom w:w="85" w:type="dxa"/>
              <w:right w:w="85" w:type="dxa"/>
            </w:tcMar>
            <w:shd w:fill="FFFFFF"/>
          </w:tcPr>
          <w:p>
            <w:pPr>
              <w:spacing w:after="40" w:before="40" w:line="252" w:lineRule="auto"/>
            </w:pPr>
            <w:r>
              <w:rPr>
                <w:b w:val="0"/>
                <w:sz w:val="18"/>
              </w:rPr>
              <w:t>Thuận Giao</w:t>
            </w:r>
          </w:p>
        </w:tc>
        <w:tc>
          <w:tcPr>
            <w:tcW w:type="dxa" w:w="2041"/>
            <w:vAlign w:val="center"/>
            <w:tcMar>
              <w:top w:w="85" w:type="dxa"/>
              <w:left w:w="85" w:type="dxa"/>
              <w:bottom w:w="85" w:type="dxa"/>
              <w:right w:w="85" w:type="dxa"/>
            </w:tcMar>
            <w:shd w:fill="FFFFFF"/>
          </w:tcPr>
          <w:p>
            <w:pPr>
              <w:spacing w:after="40" w:before="40" w:line="252" w:lineRule="auto"/>
              <w:jc w:val="center"/>
            </w:pPr>
            <w:r>
              <w:rPr>
                <w:b w:val="0"/>
                <w:sz w:val="18"/>
              </w:rPr>
              <w:t>0,76%</w:t>
            </w:r>
          </w:p>
        </w:tc>
        <w:tc>
          <w:tcPr>
            <w:tcW w:type="dxa" w:w="2041"/>
            <w:vAlign w:val="center"/>
            <w:tcMar>
              <w:top w:w="85" w:type="dxa"/>
              <w:left w:w="85" w:type="dxa"/>
              <w:bottom w:w="85" w:type="dxa"/>
              <w:right w:w="85" w:type="dxa"/>
            </w:tcMar>
            <w:shd w:fill="FFFFFF"/>
          </w:tcPr>
          <w:p>
            <w:pPr>
              <w:spacing w:after="40" w:before="40" w:line="252" w:lineRule="auto"/>
              <w:jc w:val="center"/>
            </w:pPr>
            <w:r>
              <w:rPr>
                <w:b w:val="0"/>
                <w:sz w:val="18"/>
              </w:rPr>
              <w:t>99,92%</w:t>
            </w:r>
          </w:p>
        </w:tc>
        <w:tc>
          <w:tcPr>
            <w:tcW w:type="dxa" w:w="2041"/>
            <w:vAlign w:val="center"/>
            <w:tcMar>
              <w:top w:w="85" w:type="dxa"/>
              <w:left w:w="85" w:type="dxa"/>
              <w:bottom w:w="85" w:type="dxa"/>
              <w:right w:w="85" w:type="dxa"/>
            </w:tcMar>
            <w:shd w:fill="FFFFFF"/>
          </w:tcPr>
          <w:p>
            <w:pPr>
              <w:spacing w:after="40" w:before="40" w:line="252" w:lineRule="auto"/>
              <w:jc w:val="center"/>
            </w:pPr>
            <w:r>
              <w:rPr>
                <w:b w:val="0"/>
                <w:sz w:val="18"/>
              </w:rPr>
              <w:t>99,92%</w:t>
            </w:r>
          </w:p>
        </w:tc>
      </w:tr>
      <w:tr>
        <w:trPr>
          <w:cantSplit/>
        </w:trPr>
        <w:tc>
          <w:tcPr>
            <w:tcW w:type="dxa" w:w="3515"/>
            <w:vAlign w:val="center"/>
            <w:tcMar>
              <w:top w:w="85" w:type="dxa"/>
              <w:left w:w="85" w:type="dxa"/>
              <w:bottom w:w="85" w:type="dxa"/>
              <w:right w:w="85" w:type="dxa"/>
            </w:tcMar>
            <w:shd w:fill="F5F7F9"/>
          </w:tcPr>
          <w:p>
            <w:pPr>
              <w:spacing w:after="40" w:before="40" w:line="252" w:lineRule="auto"/>
            </w:pPr>
            <w:r>
              <w:rPr>
                <w:b w:val="0"/>
                <w:sz w:val="18"/>
              </w:rPr>
              <w:t>An Phú</w:t>
            </w:r>
          </w:p>
        </w:tc>
        <w:tc>
          <w:tcPr>
            <w:tcW w:type="dxa" w:w="2041"/>
            <w:vAlign w:val="center"/>
            <w:tcMar>
              <w:top w:w="85" w:type="dxa"/>
              <w:left w:w="85" w:type="dxa"/>
              <w:bottom w:w="85" w:type="dxa"/>
              <w:right w:w="85" w:type="dxa"/>
            </w:tcMar>
            <w:shd w:fill="F5F7F9"/>
          </w:tcPr>
          <w:p>
            <w:pPr>
              <w:spacing w:after="40" w:before="40" w:line="252" w:lineRule="auto"/>
              <w:jc w:val="center"/>
            </w:pPr>
            <w:r>
              <w:rPr>
                <w:b w:val="0"/>
                <w:sz w:val="18"/>
              </w:rPr>
              <w:t>3,97%</w:t>
            </w:r>
          </w:p>
        </w:tc>
        <w:tc>
          <w:tcPr>
            <w:tcW w:type="dxa" w:w="2041"/>
            <w:vAlign w:val="center"/>
            <w:tcMar>
              <w:top w:w="85" w:type="dxa"/>
              <w:left w:w="85" w:type="dxa"/>
              <w:bottom w:w="85" w:type="dxa"/>
              <w:right w:w="85" w:type="dxa"/>
            </w:tcMar>
            <w:shd w:fill="F5F7F9"/>
          </w:tcPr>
          <w:p>
            <w:pPr>
              <w:spacing w:after="40" w:before="40" w:line="252" w:lineRule="auto"/>
              <w:jc w:val="center"/>
            </w:pPr>
            <w:r>
              <w:rPr>
                <w:b w:val="0"/>
                <w:sz w:val="18"/>
              </w:rPr>
              <w:t>99,57%</w:t>
            </w:r>
          </w:p>
        </w:tc>
        <w:tc>
          <w:tcPr>
            <w:tcW w:type="dxa" w:w="2041"/>
            <w:vAlign w:val="center"/>
            <w:tcMar>
              <w:top w:w="85" w:type="dxa"/>
              <w:left w:w="85" w:type="dxa"/>
              <w:bottom w:w="85" w:type="dxa"/>
              <w:right w:w="85" w:type="dxa"/>
            </w:tcMar>
            <w:shd w:fill="F5F7F9"/>
          </w:tcPr>
          <w:p>
            <w:pPr>
              <w:spacing w:after="40" w:before="40" w:line="252" w:lineRule="auto"/>
              <w:jc w:val="center"/>
            </w:pPr>
            <w:r>
              <w:rPr>
                <w:b w:val="0"/>
                <w:sz w:val="18"/>
              </w:rPr>
              <w:t>99,57%</w:t>
            </w:r>
          </w:p>
        </w:tc>
      </w:tr>
    </w:tbl>
    <w:p/>
    <w:p>
      <w:r>
        <w:t>Bổ sung tổng cộng 6.325 bộ ba ô từ ảnh thực cùng mùa năm 2025. Phần lớn là 6.324 ô từ Landsat 9 path/row 125/052 ngày 28/02/2025 và 1 ô từ Landsat 8 path/row 124/052 ngày 12/01/2025. Hai cảnh ứng viên khác không thêm ô.</w:t>
      </w:r>
    </w:p>
    <w:p>
      <w:r>
        <w:t>Chỉ lấp ô mà cả NDVI, LST và TVDI gốc cùng thiếu, nằm trong 5 phường. Ba chỉ số mới của mỗi ô phải cùng cảnh/ngày. Không ghi đè giá trị gốc, không đổi 162 đơn vị còn lại, không nội suy và không dùng dữ liệu 2026 để bù 2025. Vẫn giữ các ô chưa có dữ liệu là NoData.</w:t>
      </w:r>
    </w:p>
    <w:p>
      <w:pPr>
        <w:pStyle w:val="Heading2"/>
      </w:pPr>
      <w:r>
        <w:t>Đối chiếu trước và sau</w:t>
      </w:r>
    </w:p>
    <w:p>
      <w:r>
        <w:t>Tại Bản đồ, đổi nguồn sang GEE bản gốc: năm 2025 còn 162/167 đơn vị và Dĩ An để trống vì độ phủ 4,7%. Chọn lại GEE đã bổ sung 2025: năm 2025 có 167/167 đơn vị. Cả hai nguồn đều giữ chuỗi sáu năm; bộ xử lý cũ là lựa chọn thứ ba độc lập. Không cần xuất batch 2 cho đợt này.</w:t>
      </w:r>
    </w:p>
    <w:p>
      <w:r>
        <w:br w:type="page"/>
      </w:r>
    </w:p>
    <w:p>
      <w:pPr>
        <w:pStyle w:val="Heading1"/>
      </w:pPr>
      <w:r>
        <w:t>Lọc và xuất bảng số liệu</w:t>
      </w:r>
    </w:p>
    <w:p>
      <w:pPr>
        <w:pStyle w:val="Heading2"/>
      </w:pPr>
      <w:r>
        <w:t>Tìm đúng các dòng cần dùng</w:t>
      </w:r>
    </w:p>
    <w:p>
      <w:pPr>
        <w:ind w:left="255" w:hanging="255"/>
      </w:pPr>
      <w:r>
        <w:t>1. Bấm tab Dữ liệu. Giữ Bộ dữ liệu là Landsat 167 đơn vị.</w:t>
      </w:r>
    </w:p>
    <w:p>
      <w:pPr>
        <w:ind w:left="255" w:hanging="255"/>
      </w:pPr>
      <w:r>
        <w:t>2. Nguồn Landsat chọn GEE đã bổ sung 2025 nếu muốn dùng bản hiện tại. Đổi nguồn ở tab này cũng đổi nguồn cho Bản đồ và Phân tích.</w:t>
      </w:r>
    </w:p>
    <w:p>
      <w:pPr>
        <w:ind w:left="255" w:hanging="255"/>
      </w:pPr>
      <w:r>
        <w:t>3. Gõ tên hoặc mã ở Tìm khu vực, ví dụ 25942.</w:t>
      </w:r>
    </w:p>
    <w:p>
      <w:pPr>
        <w:ind w:left="255" w:hanging="255"/>
      </w:pPr>
      <w:r>
        <w:t>4. Năm chọn 2025 để lấy một dòng Dĩ An; chọn Tất cả năm để lấy sáu dòng. Nếu không gõ tên và chọn tất cả năm sẽ có 1.002 dòng.</w:t>
      </w:r>
    </w:p>
    <w:p>
      <w:pPr>
        <w:ind w:left="255" w:hanging="255"/>
      </w:pPr>
      <w:r>
        <w:t>5. Kiểm tra cột Năm, LST, NDVI, TVDI, độ phủ ba chỉ số và ngày ảnh trước khi xuất.</w:t>
      </w:r>
    </w:p>
    <w:p>
      <w:pPr>
        <w:pStyle w:val="Heading2"/>
      </w:pPr>
      <w:r>
        <w:t>Chọn cách xuất phù hợp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520"/>
      </w:tblGrid>
      <w:tr>
        <w:trPr>
          <w:cantSplit/>
          <w:tblHeader/>
        </w:trPr>
        <w:tc>
          <w:tcPr>
            <w:tcW w:type="dxa" w:w="3118"/>
            <w:vAlign w:val="center"/>
            <w:tcMar>
              <w:top w:w="85" w:type="dxa"/>
              <w:left w:w="85" w:type="dxa"/>
              <w:bottom w:w="85" w:type="dxa"/>
              <w:right w:w="85" w:type="dxa"/>
            </w:tcMar>
            <w:shd w:fill="E5EDF3"/>
          </w:tcPr>
          <w:p>
            <w:pPr>
              <w:spacing w:after="40" w:before="40" w:line="252" w:lineRule="auto"/>
            </w:pPr>
            <w:r>
              <w:rPr>
                <w:b/>
                <w:sz w:val="18"/>
              </w:rPr>
              <w:t>Nút</w:t>
            </w:r>
          </w:p>
        </w:tc>
        <w:tc>
          <w:tcPr>
            <w:tcW w:type="dxa" w:w="6520"/>
            <w:vAlign w:val="center"/>
            <w:tcMar>
              <w:top w:w="85" w:type="dxa"/>
              <w:left w:w="85" w:type="dxa"/>
              <w:bottom w:w="85" w:type="dxa"/>
              <w:right w:w="85" w:type="dxa"/>
            </w:tcMar>
            <w:shd w:fill="E5EDF3"/>
          </w:tcPr>
          <w:p>
            <w:pPr>
              <w:spacing w:after="40" w:before="40" w:line="252" w:lineRule="auto"/>
            </w:pPr>
            <w:r>
              <w:rPr>
                <w:b/>
                <w:sz w:val="18"/>
              </w:rPr>
              <w:t>Kết quả tải về</w:t>
            </w:r>
          </w:p>
        </w:tc>
      </w:tr>
      <w:tr>
        <w:trPr>
          <w:cantSplit/>
        </w:trPr>
        <w:tc>
          <w:tcPr>
            <w:tcW w:type="dxa" w:w="3118"/>
            <w:vAlign w:val="center"/>
            <w:tcMar>
              <w:top w:w="85" w:type="dxa"/>
              <w:left w:w="85" w:type="dxa"/>
              <w:bottom w:w="85" w:type="dxa"/>
              <w:right w:w="85" w:type="dxa"/>
            </w:tcMar>
            <w:shd w:fill="F5F7F9"/>
          </w:tcPr>
          <w:p>
            <w:pPr>
              <w:spacing w:after="40" w:before="40" w:line="252" w:lineRule="auto"/>
            </w:pPr>
            <w:r>
              <w:rPr>
                <w:b w:val="0"/>
                <w:sz w:val="18"/>
              </w:rPr>
              <w:t>Xuất toàn bộ CSV</w:t>
            </w:r>
          </w:p>
        </w:tc>
        <w:tc>
          <w:tcPr>
            <w:tcW w:type="dxa" w:w="6520"/>
            <w:vAlign w:val="center"/>
            <w:tcMar>
              <w:top w:w="85" w:type="dxa"/>
              <w:left w:w="85" w:type="dxa"/>
              <w:bottom w:w="85" w:type="dxa"/>
              <w:right w:w="85" w:type="dxa"/>
            </w:tcMar>
            <w:shd w:fill="F5F7F9"/>
          </w:tcPr>
          <w:p>
            <w:pPr>
              <w:spacing w:after="40" w:before="40" w:line="252" w:lineRule="auto"/>
            </w:pPr>
            <w:r>
              <w:rPr>
                <w:b w:val="0"/>
                <w:sz w:val="18"/>
              </w:rPr>
              <w:t>Toàn bộ bộ dữ liệu đang chọn. Với nguồn GEE hiện tại là 1.002 dòng, không chỉ các dòng đang lọc.</w:t>
            </w:r>
          </w:p>
        </w:tc>
      </w:tr>
      <w:tr>
        <w:trPr>
          <w:cantSplit/>
        </w:trPr>
        <w:tc>
          <w:tcPr>
            <w:tcW w:type="dxa" w:w="3118"/>
            <w:vAlign w:val="center"/>
            <w:tcMar>
              <w:top w:w="85" w:type="dxa"/>
              <w:left w:w="85" w:type="dxa"/>
              <w:bottom w:w="85" w:type="dxa"/>
              <w:right w:w="85" w:type="dxa"/>
            </w:tcMar>
            <w:shd w:fill="FFFFFF"/>
          </w:tcPr>
          <w:p>
            <w:pPr>
              <w:spacing w:after="40" w:before="40" w:line="252" w:lineRule="auto"/>
            </w:pPr>
            <w:r>
              <w:rPr>
                <w:b w:val="0"/>
                <w:sz w:val="18"/>
              </w:rPr>
              <w:t>Xuất bảng đã lọc</w:t>
            </w:r>
          </w:p>
        </w:tc>
        <w:tc>
          <w:tcPr>
            <w:tcW w:type="dxa" w:w="6520"/>
            <w:vAlign w:val="center"/>
            <w:tcMar>
              <w:top w:w="85" w:type="dxa"/>
              <w:left w:w="85" w:type="dxa"/>
              <w:bottom w:w="85" w:type="dxa"/>
              <w:right w:w="85" w:type="dxa"/>
            </w:tcMar>
            <w:shd w:fill="FFFFFF"/>
          </w:tcPr>
          <w:p>
            <w:pPr>
              <w:spacing w:after="40" w:before="40" w:line="252" w:lineRule="auto"/>
            </w:pPr>
            <w:r>
              <w:rPr>
                <w:b w:val="0"/>
                <w:sz w:val="18"/>
              </w:rPr>
              <w:t>Chỉ các dòng phù hợp tên/mã và năm đang lọc. Không có dòng thì không xuất.</w:t>
            </w:r>
          </w:p>
        </w:tc>
      </w:tr>
      <w:tr>
        <w:trPr>
          <w:cantSplit/>
        </w:trPr>
        <w:tc>
          <w:tcPr>
            <w:tcW w:type="dxa" w:w="3118"/>
            <w:vAlign w:val="center"/>
            <w:tcMar>
              <w:top w:w="85" w:type="dxa"/>
              <w:left w:w="85" w:type="dxa"/>
              <w:bottom w:w="85" w:type="dxa"/>
              <w:right w:w="85" w:type="dxa"/>
            </w:tcMar>
            <w:shd w:fill="F5F7F9"/>
          </w:tcPr>
          <w:p>
            <w:pPr>
              <w:spacing w:after="40" w:before="40" w:line="252" w:lineRule="auto"/>
            </w:pPr>
            <w:r>
              <w:rPr>
                <w:b w:val="0"/>
                <w:sz w:val="18"/>
              </w:rPr>
              <w:t>Tải GeoTIFF ở Bản đồ</w:t>
            </w:r>
          </w:p>
        </w:tc>
        <w:tc>
          <w:tcPr>
            <w:tcW w:type="dxa" w:w="6520"/>
            <w:vAlign w:val="center"/>
            <w:tcMar>
              <w:top w:w="85" w:type="dxa"/>
              <w:left w:w="85" w:type="dxa"/>
              <w:bottom w:w="85" w:type="dxa"/>
              <w:right w:w="85" w:type="dxa"/>
            </w:tcMar>
            <w:shd w:fill="F5F7F9"/>
          </w:tcPr>
          <w:p>
            <w:pPr>
              <w:spacing w:after="40" w:before="40" w:line="252" w:lineRule="auto"/>
            </w:pPr>
            <w:r>
              <w:rPr>
                <w:b w:val="0"/>
                <w:sz w:val="18"/>
              </w:rPr>
              <w:t>Raster có tọa độ của lớp/năm/chế độ đang xem, không phải bảng xã/phường.</w:t>
            </w:r>
          </w:p>
        </w:tc>
      </w:tr>
      <w:tr>
        <w:trPr>
          <w:cantSplit/>
        </w:trPr>
        <w:tc>
          <w:tcPr>
            <w:tcW w:type="dxa" w:w="3118"/>
            <w:vAlign w:val="center"/>
            <w:tcMar>
              <w:top w:w="85" w:type="dxa"/>
              <w:left w:w="85" w:type="dxa"/>
              <w:bottom w:w="85" w:type="dxa"/>
              <w:right w:w="85" w:type="dxa"/>
            </w:tcMar>
            <w:shd w:fill="FFFFFF"/>
          </w:tcPr>
          <w:p>
            <w:pPr>
              <w:spacing w:after="40" w:before="40" w:line="252" w:lineRule="auto"/>
            </w:pPr>
            <w:r>
              <w:rPr>
                <w:b w:val="0"/>
                <w:sz w:val="18"/>
              </w:rPr>
              <w:t>Tải biểu đồ SVG ở Phân tích</w:t>
            </w:r>
          </w:p>
        </w:tc>
        <w:tc>
          <w:tcPr>
            <w:tcW w:type="dxa" w:w="6520"/>
            <w:vAlign w:val="center"/>
            <w:tcMar>
              <w:top w:w="85" w:type="dxa"/>
              <w:left w:w="85" w:type="dxa"/>
              <w:bottom w:w="85" w:type="dxa"/>
              <w:right w:w="85" w:type="dxa"/>
            </w:tcMar>
            <w:shd w:fill="FFFFFF"/>
          </w:tcPr>
          <w:p>
            <w:pPr>
              <w:spacing w:after="40" w:before="40" w:line="252" w:lineRule="auto"/>
            </w:pPr>
            <w:r>
              <w:rPr>
                <w:b w:val="0"/>
                <w:sz w:val="18"/>
              </w:rPr>
              <w:t>Hình biểu đồ vector để chèn báo cáo. Không phải raster bản đồ có tọa độ.</w:t>
            </w:r>
          </w:p>
        </w:tc>
      </w:tr>
    </w:tbl>
    <w:p/>
    <w:p>
      <w:r>
        <w:t>File được trình duyệt tải về thư mục tải xuống đang cấu hình, thường là Downloads. Bạn có thể mở danh sách tải xuống bằng Ctrl + J để tìm file hoặc chọn Hiển thị trong thư mục. Tên CSV xuất lọc có thể giống nhau giữa các lần; tự đổi tên có năm và nguồn để tránh nhầm.</w:t>
      </w:r>
    </w:p>
    <w:p>
      <w:pPr>
        <w:pStyle w:val="Heading2"/>
      </w:pPr>
      <w:r>
        <w:t>Mở CSV và kiểm tra số</w:t>
      </w:r>
    </w:p>
    <w:p>
      <w:r>
        <w:t>Nếu Excel hiển thị sai dấu tiếng Việt, nhập qua Data → From Text/CSV và chọn UTF-8. Nếu tất cả nằm một cột, kiểm tra dấu phân cách là dấu phẩy. Giữ mã hành chính như văn bản để không làm mất số 0 đầu ở các bộ dữ liệu khác.</w:t>
      </w:r>
    </w:p>
    <w:p>
      <w:r>
        <w:t>Đừng sửa dữ liệu gốc để thay số thiếu bằng 0. Dấu — trong giao diện và ô trống trong CSV là thiếu hoặc không đủ ngưỡng. CSV có thể chứa thêm danh sách ngày, mã cảnh và số ô phục hồi; đây là metadata để kiểm tra nguồn, không phải cột đo riêng từng ngày.</w:t>
      </w:r>
    </w:p>
    <w:p>
      <w:pPr>
        <w:pStyle w:val="Heading2"/>
      </w:pPr>
      <w:r>
        <w:t>Tránh nhầm bộ dữ liệu</w:t>
      </w:r>
    </w:p>
    <w:p>
      <w:r>
        <w:t>CSV nhóm cung cấp có 24 dòng tại 4 tọa độ. Nó không phải thống kê 167 xã/phường. Dữ liệu thực hành có các điểm giả lập và cho phép sửa. Khi đưa bảng vào báo cáo nghiên cứu, xác nhận bộ và nguồn ngay trên giao diện, không chỉ nhìn số dòng hoặc tên file.</w:t>
      </w:r>
    </w:p>
    <w:p>
      <w:r>
        <w:br w:type="page"/>
      </w:r>
    </w:p>
    <w:p>
      <w:pPr>
        <w:pStyle w:val="Heading1"/>
      </w:pPr>
      <w:r>
        <w:t>Phân tích và tải biểu đồ</w:t>
      </w:r>
    </w:p>
    <w:p>
      <w:pPr>
        <w:pStyle w:val="Heading2"/>
      </w:pPr>
      <w:r>
        <w:t>Xem phân bố của 167 đơn vị</w:t>
      </w:r>
    </w:p>
    <w:p>
      <w:pPr>
        <w:ind w:left="255" w:hanging="255"/>
      </w:pPr>
      <w:r>
        <w:t>1. Bấm Phân tích. Phần đầu mang tên Khám phá kết quả theo xã phường, dùng nguồn đã chọn.</w:t>
      </w:r>
    </w:p>
    <w:p>
      <w:pPr>
        <w:ind w:left="255" w:hanging="255"/>
      </w:pPr>
      <w:r>
        <w:t>2. Chọn Chỉ số là LST, Mốc ảnh 2025 và Độ phủ tối thiểu 50%.</w:t>
      </w:r>
    </w:p>
    <w:p>
      <w:pPr>
        <w:ind w:left="255" w:hanging="255"/>
      </w:pPr>
      <w:r>
        <w:t>3. Đọc số Có giá trị và Độ phủ đạt ngưỡng. Có giá trị không đồng nghĩa đạt ngưỡng đang lọc.</w:t>
      </w:r>
    </w:p>
    <w:p>
      <w:pPr>
        <w:ind w:left="255" w:hanging="255"/>
      </w:pPr>
      <w:r>
        <w:t>4. Bảng Các khu vực có giá trị cao được xếp theo chỉ số trong các dòng đủ độ phủ. Bấm Bản đồ ở dòng để xem khu vực đó.</w:t>
      </w:r>
    </w:p>
    <w:p>
      <w:r>
        <w:t>Với bản GEE7, LST năm 2025 có 167 đơn vị có giá trị, trong đó 158 đạt độ phủ từ 50%. Còn 9 đơn vị có số nhưng dưới ngưỡng lọc này. Không gọi danh sách giá trị cao là danh sách rủi ro đã được kiểm định.</w:t>
      </w:r>
    </w:p>
    <w:p>
      <w:pPr>
        <w:pStyle w:val="Heading2"/>
      </w:pPr>
      <w:r>
        <w:t>Đọc biểu đồ LST và NDVI</w:t>
      </w:r>
    </w:p>
    <w:p>
      <w:r>
        <w:t>Mỗi chấm đại diện trung bình của một xã/phường có đủ cả hai chỉ số và đủ độ phủ, không phải một pixel. Chạm/đưa chuột vào chấm để đọc thông tin. Phân bố giúp khám phá mối liên hệ, nhưng không chứng minh NDVI thấp là nguyên nhân duy nhất làm LST cao.</w:t>
      </w:r>
    </w:p>
    <w:p>
      <w:pPr>
        <w:pStyle w:val="Heading2"/>
      </w:pPr>
      <w:r>
        <w:t>So sánh chuỗi nhiều xã phường</w:t>
      </w:r>
    </w:p>
    <w:p>
      <w:pPr>
        <w:ind w:left="255" w:hanging="255"/>
      </w:pPr>
      <w:r>
        <w:t>1. Ở So sánh chuỗi của các xã phường, chọn khu vực trong Thêm khu vực rồi bấm Thêm. Hoặc chọn vùng ở Bản đồ và bấm Thêm vào so sánh xã/phường.</w:t>
      </w:r>
    </w:p>
    <w:p>
      <w:pPr>
        <w:ind w:left="255" w:hanging="255"/>
      </w:pPr>
      <w:r>
        <w:t>2. Giữ tối đa bốn khu vực. Bấm tên có dấu × để bỏ một khu vực trước khi thêm vùng khác.</w:t>
      </w:r>
    </w:p>
    <w:p>
      <w:pPr>
        <w:ind w:left="255" w:hanging="255"/>
      </w:pPr>
      <w:r>
        <w:t>3. Chọn chỉ số cần đọc và xem các đường 2020–2025. Các chuỗi dùng cùng thang; vị trí thiếu dữ liệu được giữ trống.</w:t>
      </w:r>
    </w:p>
    <w:p>
      <w:pPr>
        <w:ind w:left="255" w:hanging="255"/>
      </w:pPr>
      <w:r>
        <w:t>4. Bấm Tải biểu đồ xã/phường SVG. Chèn vào báo cáo bằng chức năng Insert Picture nếu phiên bản Word hỗ trợ SVG.</w:t>
      </w:r>
    </w:p>
    <w:p>
      <w:pPr>
        <w:pStyle w:val="Heading2"/>
      </w:pPr>
      <w:r>
        <w:t>Phần bốn điểm và thư viện ảnh của nhóm</w:t>
      </w:r>
    </w:p>
    <w:p>
      <w:r>
        <w:t>Phần tiếp theo có biểu đồ từ CSV nhóm cung cấp tại bốn tọa độ và năm ảnh GEE chụp màn hình. Các phần này độc lập với thống kê xã/phường. Có thể chọn chỉ số, bật/tắt điểm, tải SVG hoặc mở ảnh để xem lớn.</w:t>
      </w:r>
    </w:p>
    <w:p>
      <w:r>
        <w:t>Ảnh pilot ghi phạm vi TP.HCM cũ, khác vùng 167 đơn vị sau sắp xếp. Ảnh không có đầy đủ chú giải hoặc mã cảnh để đọc số chính xác. CSV và đường trong ảnh chưa được xác nhận trùng quy trình. Không lấy màu trong JPG làm số liệu hoặc ghép các điểm với trung bình phường thành một chuỗi.</w:t>
      </w:r>
    </w:p>
    <w:p>
      <w:r>
        <w:br w:type="page"/>
      </w:r>
    </w:p>
    <w:p>
      <w:pPr>
        <w:pStyle w:val="Heading1"/>
      </w:pPr>
      <w:r>
        <w:t>Nguồn dữ liệu và các loại file</w:t>
      </w:r>
    </w:p>
    <w:p>
      <w:pPr>
        <w:pStyle w:val="Heading2"/>
      </w:pPr>
      <w:r>
        <w:t>Kiểm tra trong tab Nguồn</w:t>
      </w:r>
    </w:p>
    <w:p>
      <w:pPr>
        <w:ind w:left="255" w:hanging="255"/>
      </w:pPr>
      <w:r>
        <w:t>1. Bấm Nguồn và đọc Bộ xuất GEE đã kiểm tra ở đầu trang. Bảng năm cho biết số đơn vị có ba chỉ số.</w:t>
      </w:r>
    </w:p>
    <w:p>
      <w:pPr>
        <w:ind w:left="255" w:hanging="255"/>
      </w:pPr>
      <w:r>
        <w:t>2. Mở Độ phủ 5 phường trước / sau bổ sung để xem hiệu quả phục hồi.</w:t>
      </w:r>
    </w:p>
    <w:p>
      <w:pPr>
        <w:ind w:left="255" w:hanging="255"/>
      </w:pPr>
      <w:r>
        <w:t>3. Tải CSV đã tính lại hoặc Metadata và kiểm tra nguồn nếu cần kiểm chứng số mẫu, ngày, mã cảnh và phương pháp.</w:t>
      </w:r>
    </w:p>
    <w:p>
      <w:pPr>
        <w:ind w:left="255" w:hanging="255"/>
      </w:pPr>
      <w:r>
        <w:t>4. Mở File GEE gốc đã bảo toàn để tải các file do bạn xuất. Bảng ngày gồm cả cảnh ứng viên; phần ghi chú nêu cảnh nào thực sự bổ sung ô.</w:t>
      </w:r>
    </w:p>
    <w:p>
      <w:r>
        <w:t>Phần Landsat từ Planetary Computer bên dưới mô tả bộ xử lý cũ và danh mục cảnh của nguồn cũ. Dùng phần GEE phía trên cho số liệu GEE. WorldCover cố định 2021; ranh giới tham khảo năm 2025 dùng thống nhất cho mọi năm, không mô tả ranh giới lịch sử hoặc hồ sơ địa chính được chứng nhận.</w:t>
      </w:r>
    </w:p>
    <w:p>
      <w:pPr>
        <w:pStyle w:val="Heading2"/>
      </w:pPr>
      <w:r>
        <w:t>Phân biệt file trước khi sử dụng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85" w:type="dxa"/>
              <w:left w:w="85" w:type="dxa"/>
              <w:bottom w:w="85" w:type="dxa"/>
              <w:right w:w="85" w:type="dxa"/>
            </w:tcMar>
            <w:shd w:fill="E5EDF3"/>
          </w:tcPr>
          <w:p>
            <w:pPr>
              <w:spacing w:after="40" w:before="40" w:line="252" w:lineRule="auto"/>
            </w:pPr>
            <w:r>
              <w:rPr>
                <w:b/>
                <w:sz w:val="18"/>
              </w:rPr>
              <w:t>Loại file</w:t>
            </w:r>
          </w:p>
        </w:tc>
        <w:tc>
          <w:tcPr>
            <w:tcW w:type="dxa" w:w="7370"/>
            <w:vAlign w:val="center"/>
            <w:tcMar>
              <w:top w:w="85" w:type="dxa"/>
              <w:left w:w="85" w:type="dxa"/>
              <w:bottom w:w="85" w:type="dxa"/>
              <w:right w:w="85" w:type="dxa"/>
            </w:tcMar>
            <w:shd w:fill="E5EDF3"/>
          </w:tcPr>
          <w:p>
            <w:pPr>
              <w:spacing w:after="40" w:before="40" w:line="252" w:lineRule="auto"/>
            </w:pPr>
            <w:r>
              <w:rPr>
                <w:b/>
                <w:sz w:val="18"/>
              </w:rPr>
              <w:t>Nội dung và cách dùng</w:t>
            </w:r>
          </w:p>
        </w:tc>
      </w:tr>
      <w:tr>
        <w:trPr>
          <w:cantSplit/>
        </w:trPr>
        <w:tc>
          <w:tcPr>
            <w:tcW w:type="dxa" w:w="2268"/>
            <w:vAlign w:val="center"/>
            <w:tcMar>
              <w:top w:w="85" w:type="dxa"/>
              <w:left w:w="85" w:type="dxa"/>
              <w:bottom w:w="85" w:type="dxa"/>
              <w:right w:w="85" w:type="dxa"/>
            </w:tcMar>
            <w:shd w:fill="F5F7F9"/>
          </w:tcPr>
          <w:p>
            <w:pPr>
              <w:spacing w:after="40" w:before="40" w:line="252" w:lineRule="auto"/>
            </w:pPr>
            <w:r>
              <w:rPr>
                <w:b w:val="0"/>
                <w:sz w:val="18"/>
              </w:rPr>
              <w:t>CSV</w:t>
            </w:r>
          </w:p>
        </w:tc>
        <w:tc>
          <w:tcPr>
            <w:tcW w:type="dxa" w:w="7370"/>
            <w:vAlign w:val="center"/>
            <w:tcMar>
              <w:top w:w="85" w:type="dxa"/>
              <w:left w:w="85" w:type="dxa"/>
              <w:bottom w:w="85" w:type="dxa"/>
              <w:right w:w="85" w:type="dxa"/>
            </w:tcMar>
            <w:shd w:fill="F5F7F9"/>
          </w:tcPr>
          <w:p>
            <w:pPr>
              <w:spacing w:after="40" w:before="40" w:line="252" w:lineRule="auto"/>
            </w:pPr>
            <w:r>
              <w:rPr>
                <w:b w:val="0"/>
                <w:sz w:val="18"/>
              </w:rPr>
              <w:t>Bảng số và metadata. Mở bằng Excel hoặc trình xử lý dữ liệu; không phải ảnh bản đồ.</w:t>
            </w:r>
          </w:p>
        </w:tc>
      </w:tr>
      <w:tr>
        <w:trPr>
          <w:cantSplit/>
        </w:trPr>
        <w:tc>
          <w:tcPr>
            <w:tcW w:type="dxa" w:w="2268"/>
            <w:vAlign w:val="center"/>
            <w:tcMar>
              <w:top w:w="85" w:type="dxa"/>
              <w:left w:w="85" w:type="dxa"/>
              <w:bottom w:w="85" w:type="dxa"/>
              <w:right w:w="85" w:type="dxa"/>
            </w:tcMar>
            <w:shd w:fill="FFFFFF"/>
          </w:tcPr>
          <w:p>
            <w:pPr>
              <w:spacing w:after="40" w:before="40" w:line="252" w:lineRule="auto"/>
            </w:pPr>
            <w:r>
              <w:rPr>
                <w:b w:val="0"/>
                <w:sz w:val="18"/>
              </w:rPr>
              <w:t>GeoTIFF hoặc TIF</w:t>
            </w:r>
          </w:p>
        </w:tc>
        <w:tc>
          <w:tcPr>
            <w:tcW w:type="dxa" w:w="7370"/>
            <w:vAlign w:val="center"/>
            <w:tcMar>
              <w:top w:w="85" w:type="dxa"/>
              <w:left w:w="85" w:type="dxa"/>
              <w:bottom w:w="85" w:type="dxa"/>
              <w:right w:w="85" w:type="dxa"/>
            </w:tcMar>
            <w:shd w:fill="FFFFFF"/>
          </w:tcPr>
          <w:p>
            <w:pPr>
              <w:spacing w:after="40" w:before="40" w:line="252" w:lineRule="auto"/>
            </w:pPr>
            <w:r>
              <w:rPr>
                <w:b w:val="0"/>
                <w:sz w:val="18"/>
              </w:rPr>
              <w:t>Raster có tọa độ, band và NoData. Có thể mở bằng phần mềm GIS; không phải JPG.</w:t>
            </w:r>
          </w:p>
        </w:tc>
      </w:tr>
      <w:tr>
        <w:trPr>
          <w:cantSplit/>
        </w:trPr>
        <w:tc>
          <w:tcPr>
            <w:tcW w:type="dxa" w:w="2268"/>
            <w:vAlign w:val="center"/>
            <w:tcMar>
              <w:top w:w="85" w:type="dxa"/>
              <w:left w:w="85" w:type="dxa"/>
              <w:bottom w:w="85" w:type="dxa"/>
              <w:right w:w="85" w:type="dxa"/>
            </w:tcMar>
            <w:shd w:fill="F5F7F9"/>
          </w:tcPr>
          <w:p>
            <w:pPr>
              <w:spacing w:after="40" w:before="40" w:line="252" w:lineRule="auto"/>
            </w:pPr>
            <w:r>
              <w:rPr>
                <w:b w:val="0"/>
                <w:sz w:val="18"/>
              </w:rPr>
              <w:t>GeoJSON</w:t>
            </w:r>
          </w:p>
        </w:tc>
        <w:tc>
          <w:tcPr>
            <w:tcW w:type="dxa" w:w="7370"/>
            <w:vAlign w:val="center"/>
            <w:tcMar>
              <w:top w:w="85" w:type="dxa"/>
              <w:left w:w="85" w:type="dxa"/>
              <w:bottom w:w="85" w:type="dxa"/>
              <w:right w:w="85" w:type="dxa"/>
            </w:tcMar>
            <w:shd w:fill="F5F7F9"/>
          </w:tcPr>
          <w:p>
            <w:pPr>
              <w:spacing w:after="40" w:before="40" w:line="252" w:lineRule="auto"/>
            </w:pPr>
            <w:r>
              <w:rPr>
                <w:b w:val="0"/>
                <w:sz w:val="18"/>
              </w:rPr>
              <w:t>Ranh giới vector gồm polygon và thuộc tính xã/phường.</w:t>
            </w:r>
          </w:p>
        </w:tc>
      </w:tr>
      <w:tr>
        <w:trPr>
          <w:cantSplit/>
        </w:trPr>
        <w:tc>
          <w:tcPr>
            <w:tcW w:type="dxa" w:w="2268"/>
            <w:vAlign w:val="center"/>
            <w:tcMar>
              <w:top w:w="85" w:type="dxa"/>
              <w:left w:w="85" w:type="dxa"/>
              <w:bottom w:w="85" w:type="dxa"/>
              <w:right w:w="85" w:type="dxa"/>
            </w:tcMar>
            <w:shd w:fill="FFFFFF"/>
          </w:tcPr>
          <w:p>
            <w:pPr>
              <w:spacing w:after="40" w:before="40" w:line="252" w:lineRule="auto"/>
            </w:pPr>
            <w:r>
              <w:rPr>
                <w:b w:val="0"/>
                <w:sz w:val="18"/>
              </w:rPr>
              <w:t>SVG</w:t>
            </w:r>
          </w:p>
        </w:tc>
        <w:tc>
          <w:tcPr>
            <w:tcW w:type="dxa" w:w="7370"/>
            <w:vAlign w:val="center"/>
            <w:tcMar>
              <w:top w:w="85" w:type="dxa"/>
              <w:left w:w="85" w:type="dxa"/>
              <w:bottom w:w="85" w:type="dxa"/>
              <w:right w:w="85" w:type="dxa"/>
            </w:tcMar>
            <w:shd w:fill="FFFFFF"/>
          </w:tcPr>
          <w:p>
            <w:pPr>
              <w:spacing w:after="40" w:before="40" w:line="252" w:lineRule="auto"/>
            </w:pPr>
            <w:r>
              <w:rPr>
                <w:b w:val="0"/>
                <w:sz w:val="18"/>
              </w:rPr>
              <w:t>Biểu đồ vector giữ nét khi phóng to; dùng minh họa kết quả.</w:t>
            </w:r>
          </w:p>
        </w:tc>
      </w:tr>
      <w:tr>
        <w:trPr>
          <w:cantSplit/>
        </w:trPr>
        <w:tc>
          <w:tcPr>
            <w:tcW w:type="dxa" w:w="2268"/>
            <w:vAlign w:val="center"/>
            <w:tcMar>
              <w:top w:w="85" w:type="dxa"/>
              <w:left w:w="85" w:type="dxa"/>
              <w:bottom w:w="85" w:type="dxa"/>
              <w:right w:w="85" w:type="dxa"/>
            </w:tcMar>
            <w:shd w:fill="F5F7F9"/>
          </w:tcPr>
          <w:p>
            <w:pPr>
              <w:spacing w:after="40" w:before="40" w:line="252" w:lineRule="auto"/>
            </w:pPr>
            <w:r>
              <w:rPr>
                <w:b w:val="0"/>
                <w:sz w:val="18"/>
              </w:rPr>
              <w:t>JPG hoặc PNG</w:t>
            </w:r>
          </w:p>
        </w:tc>
        <w:tc>
          <w:tcPr>
            <w:tcW w:type="dxa" w:w="7370"/>
            <w:vAlign w:val="center"/>
            <w:tcMar>
              <w:top w:w="85" w:type="dxa"/>
              <w:left w:w="85" w:type="dxa"/>
              <w:bottom w:w="85" w:type="dxa"/>
              <w:right w:w="85" w:type="dxa"/>
            </w:tcMar>
            <w:shd w:fill="F5F7F9"/>
          </w:tcPr>
          <w:p>
            <w:pPr>
              <w:spacing w:after="40" w:before="40" w:line="252" w:lineRule="auto"/>
            </w:pPr>
            <w:r>
              <w:rPr>
                <w:b w:val="0"/>
                <w:sz w:val="18"/>
              </w:rPr>
              <w:t>Ảnh chụp/hiển thị. Không tự có giá trị pixel nghiên cứu hoặc hệ tọa độ.</w:t>
            </w:r>
          </w:p>
        </w:tc>
      </w:tr>
      <w:tr>
        <w:trPr>
          <w:cantSplit/>
        </w:trPr>
        <w:tc>
          <w:tcPr>
            <w:tcW w:type="dxa" w:w="2268"/>
            <w:vAlign w:val="center"/>
            <w:tcMar>
              <w:top w:w="85" w:type="dxa"/>
              <w:left w:w="85" w:type="dxa"/>
              <w:bottom w:w="85" w:type="dxa"/>
              <w:right w:w="85" w:type="dxa"/>
            </w:tcMar>
            <w:shd w:fill="FFFFFF"/>
          </w:tcPr>
          <w:p>
            <w:pPr>
              <w:spacing w:after="40" w:before="40" w:line="252" w:lineRule="auto"/>
            </w:pPr>
            <w:r>
              <w:rPr>
                <w:b w:val="0"/>
                <w:sz w:val="18"/>
              </w:rPr>
              <w:t>ZIP</w:t>
            </w:r>
          </w:p>
        </w:tc>
        <w:tc>
          <w:tcPr>
            <w:tcW w:type="dxa" w:w="7370"/>
            <w:vAlign w:val="center"/>
            <w:tcMar>
              <w:top w:w="85" w:type="dxa"/>
              <w:left w:w="85" w:type="dxa"/>
              <w:bottom w:w="85" w:type="dxa"/>
              <w:right w:w="85" w:type="dxa"/>
            </w:tcMar>
            <w:shd w:fill="FFFFFF"/>
          </w:tcPr>
          <w:p>
            <w:pPr>
              <w:spacing w:after="40" w:before="40" w:line="252" w:lineRule="auto"/>
            </w:pPr>
            <w:r>
              <w:rPr>
                <w:b w:val="0"/>
                <w:sz w:val="18"/>
              </w:rPr>
              <w:t>Gói nhiều file. Giải nén trước khi khởi động project hoặc mở các file bên trong.</w:t>
            </w:r>
          </w:p>
        </w:tc>
      </w:tr>
    </w:tbl>
    <w:p/>
    <w:p>
      <w:pPr>
        <w:pStyle w:val="Heading2"/>
      </w:pPr>
      <w:r>
        <w:t>GeoTIFF đang tải gồm những gì</w:t>
      </w:r>
    </w:p>
    <w:p>
      <w:r>
        <w:t>GeoTIFF chỉ số GEE tải cả ba band theo thứ tự NDVI, LST, TVDI, lưới 120 m và hệ tọa độ EPSG:32648; NoData là −9999. Đây không phải giá trị nhiệt độ −9999. GeoTIFF WorldCover GEE là lưới 10 m với mã lớp; NoData bằng 0. File chênh lệch là một band của chỉ số đang chọn.</w:t>
      </w:r>
    </w:p>
    <w:p>
      <w:r>
        <w:t>TIFF recovery gốc có năm band: NDVI, LST, TVDI, mã cảnh và ngày thứ bao nhiêu trong năm. File này khác TIFF ba band đã tích hợp. Không tự đổi tên hoặc chép đè vào file năm 2025 gốc. Provenance giữ nguồn/ngày của ô phục hồi để kiểm tra lại.</w:t>
      </w:r>
    </w:p>
    <w:p>
      <w:r>
        <w:br w:type="page"/>
      </w:r>
    </w:p>
    <w:p>
      <w:pPr>
        <w:pStyle w:val="Heading1"/>
      </w:pPr>
      <w:r>
        <w:t>Điện thoại và chế độ ngoại tuyến</w:t>
      </w:r>
    </w:p>
    <w:p>
      <w:pPr>
        <w:keepNext/>
        <w:jc w:val="center"/>
      </w:pPr>
      <w:r>
        <w:drawing>
          <wp:inline xmlns:a="http://schemas.openxmlformats.org/drawingml/2006/main" xmlns:pic="http://schemas.openxmlformats.org/drawingml/2006/picture">
            <wp:extent cx="2232000" cy="4830277"/>
            <wp:docPr id="2" name="Picture 2" descr="Hình 2  Giao diện thu gọn công cụ trên màn hình 390 nhân 844"/>
            <wp:cNvGraphicFramePr>
              <a:graphicFrameLocks noChangeAspect="1"/>
            </wp:cNvGraphicFramePr>
            <a:graphic>
              <a:graphicData uri="http://schemas.openxmlformats.org/drawingml/2006/picture">
                <pic:pic>
                  <pic:nvPicPr>
                    <pic:cNvPr id="0" name="gee_recovery_mobile.png"/>
                    <pic:cNvPicPr/>
                  </pic:nvPicPr>
                  <pic:blipFill>
                    <a:blip r:embed="rId11"/>
                    <a:stretch>
                      <a:fillRect/>
                    </a:stretch>
                  </pic:blipFill>
                  <pic:spPr>
                    <a:xfrm>
                      <a:off x="0" y="0"/>
                      <a:ext cx="2232000" cy="4830277"/>
                    </a:xfrm>
                    <a:prstGeom prst="rect"/>
                  </pic:spPr>
                </pic:pic>
              </a:graphicData>
            </a:graphic>
          </wp:inline>
        </w:drawing>
      </w:r>
    </w:p>
    <w:p>
      <w:pPr>
        <w:pStyle w:val="Caption"/>
        <w:jc w:val="center"/>
      </w:pPr>
      <w:r>
        <w:t>Hình 2  Giao diện thu gọn công cụ trên màn hình 390 nhân 844</w:t>
      </w:r>
    </w:p>
    <w:p>
      <w:pPr>
        <w:pStyle w:val="Heading2"/>
      </w:pPr>
      <w:r>
        <w:t>Thao tác trên màn hình nhỏ</w:t>
      </w:r>
    </w:p>
    <w:p>
      <w:r>
        <w:t>Bấm Công cụ để tìm xã/phường, đổi nguồn, chỉ số và năm; bấm Thu gọn để trả diện tích cho bản đồ. Bấm − trên thẻ để thu gọn thông tin, bấm + để mở lại. Bạn có thể cuộn bên trong thẻ, thu gọn chú giải và chạm bản đồ để đọc ô mẫu.</w:t>
      </w:r>
    </w:p>
    <w:p>
      <w:pPr>
        <w:pStyle w:val="Heading2"/>
      </w:pPr>
      <w:r>
        <w:t>Địa chỉ máy tính không tự dùng được trên điện thoại</w:t>
      </w:r>
    </w:p>
    <w:p>
      <w:r>
        <w:t>127.0.0.1 là máy đang mở trình duyệt. Nhập địa chỉ này trên điện thoại không kết nối tới máy tính. Muốn dùng qua cùng Wi-Fi phải cấu hình máy chủ LAN có chủ đích và dùng IP của máy tính; bản khởi động hiện tại chỉ phục vụ localhost. Không tự mở ra Internet. Sản phẩm hiện là web/PWA, chưa có APK hoặc ứng dụng native.</w:t>
      </w:r>
    </w:p>
    <w:p>
      <w:pPr>
        <w:pStyle w:val="Heading2"/>
      </w:pPr>
      <w:r>
        <w:t>Phân biệt mất Internet và mất máy chủ</w:t>
      </w:r>
    </w:p>
    <w:p>
      <w:r>
        <w:t>Khi máy chủ còn chạy trên máy tính, các lớp cục bộ có thể dùng dù mất Internet. Nền OpenStreetMap cần Internet. Khi máy chủ dừng hoặc mất kết nối tới máy chủ, tra cứu ô và file chưa tải không hoạt động. Bộ nhớ đệm chỉ lưu giao diện và các mảnh đã xem, chưa phải gói offline toàn vùng. GPS cần quyền và HTTPS/localhost; HTTP qua LAN có thể không dùng được.</w:t>
      </w:r>
    </w:p>
    <w:p>
      <w:r>
        <w:br w:type="page"/>
      </w:r>
    </w:p>
    <w:p>
      <w:pPr>
        <w:pStyle w:val="Heading1"/>
      </w:pPr>
      <w:r>
        <w:t>Thực hành thêm sửa dữ liệu demo</w:t>
      </w:r>
    </w:p>
    <w:p>
      <w:r>
        <w:t>Chức năng này chỉ dành cho học thao tác trên dữ liệu giả lập. Nó không sửa raster GEE, thống kê Landsat thực hoặc CSV nhóm cung cấp. Không nhập số tự tạo rồi gọi đó là kết quả nghiên cứu.</w:t>
      </w:r>
    </w:p>
    <w:p>
      <w:pPr>
        <w:pStyle w:val="Heading2"/>
      </w:pPr>
      <w:r>
        <w:t>Thêm một điểm thực hành</w:t>
      </w:r>
    </w:p>
    <w:p>
      <w:pPr>
        <w:ind w:left="255" w:hanging="255"/>
      </w:pPr>
      <w:r>
        <w:t>1. Ở Bản đồ chọn Bộ dữ liệu là 6 điểm giả lập bản demo ban đầu, hoặc ở Dữ liệu chọn Dữ liệu thực hành.</w:t>
      </w:r>
    </w:p>
    <w:p>
      <w:pPr>
        <w:ind w:left="255" w:hanging="255"/>
      </w:pPr>
      <w:r>
        <w:t>2. Mở Dữ liệu rồi bấm Thêm điểm demo.</w:t>
      </w:r>
    </w:p>
    <w:p>
      <w:pPr>
        <w:ind w:left="255" w:hanging="255"/>
      </w:pPr>
      <w:r>
        <w:t>3. Điền tên khu vực thử nghiệm, vĩ độ, kinh độ, năm và ba chỉ số. Ví dụ: tên Điểm thực hành của tôi; vĩ độ 10,8; kinh độ 106,7; năm 2025; LST 35; NDVI 0,4; TVDI 0,5. Nếu trình duyệt yêu cầu dấu thập phân dạng chấm thì nhập 10.8 và 106.7.</w:t>
      </w:r>
    </w:p>
    <w:p>
      <w:pPr>
        <w:ind w:left="255" w:hanging="255"/>
      </w:pPr>
      <w:r>
        <w:t>4. Điền Nguồn là Dữ liệu thực hành giả lập. Kiểm tra các trường rồi bấm Lưu dữ liệu demo.</w:t>
      </w:r>
    </w:p>
    <w:p>
      <w:pPr>
        <w:ind w:left="255" w:hanging="255"/>
      </w:pPr>
      <w:r>
        <w:t>5. Tìm tên điểm trong bảng, quay lại Bản đồ để xem điểm. Không dùng ví dụ này làm số liệu thật.</w:t>
      </w:r>
    </w:p>
    <w:p>
      <w:pPr>
        <w:pStyle w:val="Heading2"/>
      </w:pPr>
      <w:r>
        <w:t>Sửa và xoá điểm thử nghiệm</w:t>
      </w:r>
    </w:p>
    <w:p>
      <w:r>
        <w:t>Bấm Sửa ở dòng cần chỉnh, thay giá trị rồi Lưu. Bấm Xóa chỉ ở dòng thực hành bạn muốn bỏ và đọc hộp xác nhận trước khi đồng ý. Tránh dùng trùng tên và năm của điểm đã có. Không xoá các điểm nhóm đang dùng nếu chưa thống nhất.</w:t>
      </w:r>
    </w:p>
    <w:p>
      <w:pPr>
        <w:pStyle w:val="Heading2"/>
      </w:pPr>
      <w:r>
        <w:t>Nhập CSV thực hành</w:t>
      </w:r>
    </w:p>
    <w:p>
      <w:r>
        <w:t>Xuất CSV demo trước để có mẫu tiêu đề. Các cột cần là name, lat, lon, year, lst, ndvi, tvdi, source. Giữ nguyên tiêu đề, tạo bản sao rồi điền các điểm thử nghiệm; dùng Nhập CSV demo để chọn file. Dòng trùng tên và năm có thể cập nhật dữ liệu hiện có, nên sao lưu trước khi nhập.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6917"/>
      </w:tblGrid>
      <w:tr>
        <w:trPr>
          <w:cantSplit/>
          <w:tblHeader/>
        </w:trPr>
        <w:tc>
          <w:tcPr>
            <w:tcW w:type="dxa" w:w="2721"/>
            <w:vAlign w:val="center"/>
            <w:tcMar>
              <w:top w:w="85" w:type="dxa"/>
              <w:left w:w="85" w:type="dxa"/>
              <w:bottom w:w="85" w:type="dxa"/>
              <w:right w:w="85" w:type="dxa"/>
            </w:tcMar>
            <w:shd w:fill="E5EDF3"/>
          </w:tcPr>
          <w:p>
            <w:pPr>
              <w:spacing w:after="40" w:before="40" w:line="252" w:lineRule="auto"/>
            </w:pPr>
            <w:r>
              <w:rPr>
                <w:b/>
                <w:sz w:val="18"/>
              </w:rPr>
              <w:t>Trường</w:t>
            </w:r>
          </w:p>
        </w:tc>
        <w:tc>
          <w:tcPr>
            <w:tcW w:type="dxa" w:w="6917"/>
            <w:vAlign w:val="center"/>
            <w:tcMar>
              <w:top w:w="85" w:type="dxa"/>
              <w:left w:w="85" w:type="dxa"/>
              <w:bottom w:w="85" w:type="dxa"/>
              <w:right w:w="85" w:type="dxa"/>
            </w:tcMar>
            <w:shd w:fill="E5EDF3"/>
          </w:tcPr>
          <w:p>
            <w:pPr>
              <w:spacing w:after="40" w:before="40" w:line="252" w:lineRule="auto"/>
            </w:pPr>
            <w:r>
              <w:rPr>
                <w:b/>
                <w:sz w:val="18"/>
              </w:rPr>
              <w:t>Giới hạn ứng dụng kiểm tra</w:t>
            </w:r>
          </w:p>
        </w:tc>
      </w:tr>
      <w:tr>
        <w:trPr>
          <w:cantSplit/>
        </w:trPr>
        <w:tc>
          <w:tcPr>
            <w:tcW w:type="dxa" w:w="2721"/>
            <w:vAlign w:val="center"/>
            <w:tcMar>
              <w:top w:w="85" w:type="dxa"/>
              <w:left w:w="85" w:type="dxa"/>
              <w:bottom w:w="85" w:type="dxa"/>
              <w:right w:w="85" w:type="dxa"/>
            </w:tcMar>
            <w:shd w:fill="F5F7F9"/>
          </w:tcPr>
          <w:p>
            <w:pPr>
              <w:spacing w:after="40" w:before="40" w:line="252" w:lineRule="auto"/>
            </w:pPr>
            <w:r>
              <w:rPr>
                <w:b w:val="0"/>
                <w:sz w:val="18"/>
              </w:rPr>
              <w:t>lat và lon</w:t>
            </w:r>
          </w:p>
        </w:tc>
        <w:tc>
          <w:tcPr>
            <w:tcW w:type="dxa" w:w="6917"/>
            <w:vAlign w:val="center"/>
            <w:tcMar>
              <w:top w:w="85" w:type="dxa"/>
              <w:left w:w="85" w:type="dxa"/>
              <w:bottom w:w="85" w:type="dxa"/>
              <w:right w:w="85" w:type="dxa"/>
            </w:tcMar>
            <w:shd w:fill="F5F7F9"/>
          </w:tcPr>
          <w:p>
            <w:pPr>
              <w:spacing w:after="40" w:before="40" w:line="252" w:lineRule="auto"/>
            </w:pPr>
            <w:r>
              <w:rPr>
                <w:b w:val="0"/>
                <w:sz w:val="18"/>
              </w:rPr>
              <w:t>Vĩ độ −90 đến 90; kinh độ −180 đến 180.</w:t>
            </w:r>
          </w:p>
        </w:tc>
      </w:tr>
      <w:tr>
        <w:trPr>
          <w:cantSplit/>
        </w:trPr>
        <w:tc>
          <w:tcPr>
            <w:tcW w:type="dxa" w:w="2721"/>
            <w:vAlign w:val="center"/>
            <w:tcMar>
              <w:top w:w="85" w:type="dxa"/>
              <w:left w:w="85" w:type="dxa"/>
              <w:bottom w:w="85" w:type="dxa"/>
              <w:right w:w="85" w:type="dxa"/>
            </w:tcMar>
            <w:shd w:fill="FFFFFF"/>
          </w:tcPr>
          <w:p>
            <w:pPr>
              <w:spacing w:after="40" w:before="40" w:line="252" w:lineRule="auto"/>
            </w:pPr>
            <w:r>
              <w:rPr>
                <w:b w:val="0"/>
                <w:sz w:val="18"/>
              </w:rPr>
              <w:t>year</w:t>
            </w:r>
          </w:p>
        </w:tc>
        <w:tc>
          <w:tcPr>
            <w:tcW w:type="dxa" w:w="6917"/>
            <w:vAlign w:val="center"/>
            <w:tcMar>
              <w:top w:w="85" w:type="dxa"/>
              <w:left w:w="85" w:type="dxa"/>
              <w:bottom w:w="85" w:type="dxa"/>
              <w:right w:w="85" w:type="dxa"/>
            </w:tcMar>
            <w:shd w:fill="FFFFFF"/>
          </w:tcPr>
          <w:p>
            <w:pPr>
              <w:spacing w:after="40" w:before="40" w:line="252" w:lineRule="auto"/>
            </w:pPr>
            <w:r>
              <w:rPr>
                <w:b w:val="0"/>
                <w:sz w:val="18"/>
              </w:rPr>
              <w:t>Số nguyên từ 2020 đến 2025.</w:t>
            </w:r>
          </w:p>
        </w:tc>
      </w:tr>
      <w:tr>
        <w:trPr>
          <w:cantSplit/>
        </w:trPr>
        <w:tc>
          <w:tcPr>
            <w:tcW w:type="dxa" w:w="2721"/>
            <w:vAlign w:val="center"/>
            <w:tcMar>
              <w:top w:w="85" w:type="dxa"/>
              <w:left w:w="85" w:type="dxa"/>
              <w:bottom w:w="85" w:type="dxa"/>
              <w:right w:w="85" w:type="dxa"/>
            </w:tcMar>
            <w:shd w:fill="F5F7F9"/>
          </w:tcPr>
          <w:p>
            <w:pPr>
              <w:spacing w:after="40" w:before="40" w:line="252" w:lineRule="auto"/>
            </w:pPr>
            <w:r>
              <w:rPr>
                <w:b w:val="0"/>
                <w:sz w:val="18"/>
              </w:rPr>
              <w:t>lst</w:t>
            </w:r>
          </w:p>
        </w:tc>
        <w:tc>
          <w:tcPr>
            <w:tcW w:type="dxa" w:w="6917"/>
            <w:vAlign w:val="center"/>
            <w:tcMar>
              <w:top w:w="85" w:type="dxa"/>
              <w:left w:w="85" w:type="dxa"/>
              <w:bottom w:w="85" w:type="dxa"/>
              <w:right w:w="85" w:type="dxa"/>
            </w:tcMar>
            <w:shd w:fill="F5F7F9"/>
          </w:tcPr>
          <w:p>
            <w:pPr>
              <w:spacing w:after="40" w:before="40" w:line="252" w:lineRule="auto"/>
            </w:pPr>
            <w:r>
              <w:rPr>
                <w:b w:val="0"/>
                <w:sz w:val="18"/>
              </w:rPr>
              <w:t>Từ −80 đến 100°C trong mẫu thực hành.</w:t>
            </w:r>
          </w:p>
        </w:tc>
      </w:tr>
      <w:tr>
        <w:trPr>
          <w:cantSplit/>
        </w:trPr>
        <w:tc>
          <w:tcPr>
            <w:tcW w:type="dxa" w:w="2721"/>
            <w:vAlign w:val="center"/>
            <w:tcMar>
              <w:top w:w="85" w:type="dxa"/>
              <w:left w:w="85" w:type="dxa"/>
              <w:bottom w:w="85" w:type="dxa"/>
              <w:right w:w="85" w:type="dxa"/>
            </w:tcMar>
            <w:shd w:fill="FFFFFF"/>
          </w:tcPr>
          <w:p>
            <w:pPr>
              <w:spacing w:after="40" w:before="40" w:line="252" w:lineRule="auto"/>
            </w:pPr>
            <w:r>
              <w:rPr>
                <w:b w:val="0"/>
                <w:sz w:val="18"/>
              </w:rPr>
              <w:t>ndvi và tvdi</w:t>
            </w:r>
          </w:p>
        </w:tc>
        <w:tc>
          <w:tcPr>
            <w:tcW w:type="dxa" w:w="6917"/>
            <w:vAlign w:val="center"/>
            <w:tcMar>
              <w:top w:w="85" w:type="dxa"/>
              <w:left w:w="85" w:type="dxa"/>
              <w:bottom w:w="85" w:type="dxa"/>
              <w:right w:w="85" w:type="dxa"/>
            </w:tcMar>
            <w:shd w:fill="FFFFFF"/>
          </w:tcPr>
          <w:p>
            <w:pPr>
              <w:spacing w:after="40" w:before="40" w:line="252" w:lineRule="auto"/>
            </w:pPr>
            <w:r>
              <w:rPr>
                <w:b w:val="0"/>
                <w:sz w:val="18"/>
              </w:rPr>
              <w:t>NDVI từ −1 đến 1; TVDI từ 0 đến 1.</w:t>
            </w:r>
          </w:p>
        </w:tc>
      </w:tr>
      <w:tr>
        <w:trPr>
          <w:cantSplit/>
        </w:trPr>
        <w:tc>
          <w:tcPr>
            <w:tcW w:type="dxa" w:w="2721"/>
            <w:vAlign w:val="center"/>
            <w:tcMar>
              <w:top w:w="85" w:type="dxa"/>
              <w:left w:w="85" w:type="dxa"/>
              <w:bottom w:w="85" w:type="dxa"/>
              <w:right w:w="85" w:type="dxa"/>
            </w:tcMar>
            <w:shd w:fill="F5F7F9"/>
          </w:tcPr>
          <w:p>
            <w:pPr>
              <w:spacing w:after="40" w:before="40" w:line="252" w:lineRule="auto"/>
            </w:pPr>
            <w:r>
              <w:rPr>
                <w:b w:val="0"/>
                <w:sz w:val="18"/>
              </w:rPr>
              <w:t>name và source</w:t>
            </w:r>
          </w:p>
        </w:tc>
        <w:tc>
          <w:tcPr>
            <w:tcW w:type="dxa" w:w="6917"/>
            <w:vAlign w:val="center"/>
            <w:tcMar>
              <w:top w:w="85" w:type="dxa"/>
              <w:left w:w="85" w:type="dxa"/>
              <w:bottom w:w="85" w:type="dxa"/>
              <w:right w:w="85" w:type="dxa"/>
            </w:tcMar>
            <w:shd w:fill="F5F7F9"/>
          </w:tcPr>
          <w:p>
            <w:pPr>
              <w:spacing w:after="40" w:before="40" w:line="252" w:lineRule="auto"/>
            </w:pPr>
            <w:r>
              <w:rPr>
                <w:b w:val="0"/>
                <w:sz w:val="18"/>
              </w:rPr>
              <w:t>Phải có tên và nguồn; giá trị số phải hữu hạn.</w:t>
            </w:r>
          </w:p>
        </w:tc>
      </w:tr>
    </w:tbl>
    <w:p/>
    <w:p>
      <w:r>
        <w:t>Đây là giới hạn kiểm tra nhập liệu, không phải ngưỡng phân loại nhiệt độ hoặc hạn hán. CSV demo có tối đa 5.000 dòng mỗi lần nhập. Trước khi trình diễn kết quả thật, đổi lại Landsat thực và nguồn GEE đã bổ sung 2025.</w:t>
      </w:r>
    </w:p>
    <w:p>
      <w:r>
        <w:br w:type="page"/>
      </w:r>
    </w:p>
    <w:p>
      <w:pPr>
        <w:pStyle w:val="Heading1"/>
      </w:pPr>
      <w:r>
        <w:t>Xử lý lỗi thường gặp</w:t>
      </w:r>
    </w:p>
    <w:p>
      <w:pPr>
        <w:pStyle w:val="Heading2"/>
      </w:pPr>
      <w:r>
        <w:t>Trang không mở hoặc không kết nối được</w:t>
      </w:r>
    </w:p>
    <w:p>
      <w:r>
        <w:t>Kiểm tra cửa sổ CMD còn mở và dùng đúng địa chỉ/cổng in ra. Nếu cửa sổ dừng ở lỗi Python, máy cần môi trường Python 3 hoạt động. Giữ lại nguyên văn thông báo để gửi hỗ trợ; không xoá các thư mục dữ liệu để thử sửa.</w:t>
      </w:r>
    </w:p>
    <w:p>
      <w:pPr>
        <w:pStyle w:val="Heading2"/>
      </w:pPr>
      <w:r>
        <w:t>Giao diện vẫn là bản cũ</w:t>
      </w:r>
    </w:p>
    <w:p>
      <w:r>
        <w:t>Kiểm tra dòng Project trong CMD và nhãn GEE7 trên trang. Nếu cổng 5379 đã bị chiếm, dùng cổng mới. Nhấn Ctrl + F5. Đóng tab cũ khi đã xác định đúng, không cần đóng hoặc xoá project khác.</w:t>
      </w:r>
    </w:p>
    <w:p>
      <w:pPr>
        <w:pStyle w:val="Heading2"/>
      </w:pPr>
      <w:r>
        <w:t>Bản đồ không màu hoặc nhiều khoảng trống</w:t>
      </w:r>
    </w:p>
    <w:p>
      <w:r>
        <w:t>Kiểm tra Hiển thị lớp chỉ số đang bật, Độ đậm không quá thấp, chỉ số/năm đúng và WorldCover có đang thay lớp không. Đợi mảnh bản đồ tải. Khoảng trống vẫn có thể là NoData thật; kiểm tra độ phủ trước khi coi là lỗi. Trong chế độ chênh lệch, trống nghĩa thiếu cặp ô.</w:t>
      </w:r>
    </w:p>
    <w:p>
      <w:pPr>
        <w:pStyle w:val="Heading2"/>
      </w:pPr>
      <w:r>
        <w:t>Không tìm được khu vực hoặc không thấy dữ liệu</w:t>
      </w:r>
    </w:p>
    <w:p>
      <w:r>
        <w:t>Xoá nội dung tìm kiếm cũ, thử mã hành chính như 25942 và kiểm tra Bộ dữ liệu. Bộ CSV điểm chỉ có bốn tọa độ, không phải 167 phường. Bộ GEE gốc vẫn thiếu trung bình của 5 phường năm 2025; chuyển sang GEE đã bổ sung để xem bản mới.</w:t>
      </w:r>
    </w:p>
    <w:p>
      <w:pPr>
        <w:pStyle w:val="Heading2"/>
      </w:pPr>
      <w:r>
        <w:t>Không kéo được thanh năm</w:t>
      </w:r>
    </w:p>
    <w:p>
      <w:r>
        <w:t>Chế độ Thay đổi 2020 → 2025 cố định năm cuối là 2025. Chuyển sang Phân bố chỉ số để kéo năm. WorldCover luôn là 2021 dù thanh năm chỉ số ở mốc khác.</w:t>
      </w:r>
    </w:p>
    <w:p>
      <w:pPr>
        <w:pStyle w:val="Heading2"/>
      </w:pPr>
      <w:r>
        <w:t>Tải file rồi không biết nằm ở đâu</w:t>
      </w:r>
    </w:p>
    <w:p>
      <w:r>
        <w:t>Nhấn Ctrl + J trong trình duyệt và chọn Hiển thị trong thư mục. File có thể nằm ở Downloads hoặc thư mục bạn đã đặt, không tự chép vào project. CSV dùng Excel; TIFF dùng phần mềm GIS. Mở TIFF như ảnh thường không cho biết đầy đủ band và tọa độ.</w:t>
      </w:r>
    </w:p>
    <w:p>
      <w:pPr>
        <w:pStyle w:val="Heading2"/>
      </w:pPr>
      <w:r>
        <w:t>Nền đường phố hoặc GPS không hoạt động</w:t>
      </w:r>
    </w:p>
    <w:p>
      <w:r>
        <w:t>Nền OpenStreetMap cần Internet; chọn ảnh vệ tinh cục bộ hoặc nền nhẹ để tiếp tục. GPS cần quyền và kết nối an toàn phù hợp. Việc máy tính không có GPS chính xác không ảnh hưởng số liệu Landsat. Không cần cấp vị trí để tìm xã/phường bằng tên.</w:t>
      </w:r>
    </w:p>
    <w:p>
      <w:pPr>
        <w:pStyle w:val="Heading2"/>
      </w:pPr>
      <w:r>
        <w:t>Cần gửi gì khi nhờ kiểm tra</w:t>
      </w:r>
    </w:p>
    <w:p>
      <w:r>
        <w:t>Gửi ảnh toàn màn hình có phiên bản, nguồn, năm/chỉ số; mô tả thao tác vừa làm; kèm địa chỉ/cổng và thông báo CMD nếu có. Nếu gửi project, dùng ZIP mới; không gửi mật khẩu, khóa GEE hoặc thông tin đăng nhập.</w:t>
      </w:r>
    </w:p>
    <w:p>
      <w:r>
        <w:br w:type="page"/>
      </w:r>
    </w:p>
    <w:p>
      <w:pPr>
        <w:pStyle w:val="Heading1"/>
      </w:pPr>
      <w:r>
        <w:t>Trình diễn và sử dụng trong báo cáo</w:t>
      </w:r>
    </w:p>
    <w:p>
      <w:pPr>
        <w:pStyle w:val="Heading2"/>
      </w:pPr>
      <w:r>
        <w:t>Bài thực hành tổng hợp</w:t>
      </w:r>
    </w:p>
    <w:p>
      <w:pPr>
        <w:ind w:left="255" w:hanging="255"/>
      </w:pPr>
      <w:r>
        <w:t>1. Mở GEE7 đúng thư mục và xác nhận GEE đã bổ sung 2025.</w:t>
      </w:r>
    </w:p>
    <w:p>
      <w:pPr>
        <w:ind w:left="255" w:hanging="255"/>
      </w:pPr>
      <w:r>
        <w:t>2. Tìm Dĩ An 25942, chọn LST 2025, đọc 43,08°C và độ phủ 99,2%.</w:t>
      </w:r>
    </w:p>
    <w:p>
      <w:pPr>
        <w:ind w:left="255" w:hanging="255"/>
      </w:pPr>
      <w:r>
        <w:t>3. Đổi sang GEE bản gốc để giải thích vì sao trước đây để trống với độ phủ 4,7%, rồi trở lại bản bổ sung.</w:t>
      </w:r>
    </w:p>
    <w:p>
      <w:pPr>
        <w:ind w:left="255" w:hanging="255"/>
      </w:pPr>
      <w:r>
        <w:t>4. Đổi sang NDVI, TVDI và nói rõ đơn vị/giới hạn; không gọi TVDI là cảnh báo hạn chính thức.</w:t>
      </w:r>
    </w:p>
    <w:p>
      <w:pPr>
        <w:ind w:left="255" w:hanging="255"/>
      </w:pPr>
      <w:r>
        <w:t>5. Bật kéo so sánh 2020/2025, sau đó xem hiệu số. Nêu khác biệt giữa Δ pixel và Δ trung bình vùng.</w:t>
      </w:r>
    </w:p>
    <w:p>
      <w:pPr>
        <w:ind w:left="255" w:hanging="255"/>
      </w:pPr>
      <w:r>
        <w:t>6. Vào Dữ liệu, lọc Dĩ An và 2025, xuất CSV. Vào Phân tích thêm Dĩ An vào so sánh chuỗi và tải SVG.</w:t>
      </w:r>
    </w:p>
    <w:p>
      <w:pPr>
        <w:ind w:left="255" w:hanging="255"/>
      </w:pPr>
      <w:r>
        <w:t>7. Vào Nguồn, kiểm tra trước/sau và đường dẫn metadata để người xem có thể kiểm chứng.</w:t>
      </w:r>
    </w:p>
    <w:p>
      <w:pPr>
        <w:pStyle w:val="Heading2"/>
      </w:pPr>
      <w:r>
        <w:t>Thông tin phải ghi khi dùng kết quả</w:t>
      </w:r>
    </w:p>
    <w:p>
      <w:pPr>
        <w:pStyle w:val="ListBullet"/>
      </w:pPr>
      <w:r>
        <w:t>Nguồn cụ thể: GEE đã bổ sung 2025, bản GEE gốc hay bộ xử lý cũ. Không ghép các nguồn thành một chuỗi.</w:t>
      </w:r>
    </w:p>
    <w:p>
      <w:pPr>
        <w:pStyle w:val="ListBullet"/>
      </w:pPr>
      <w:r>
        <w:t>Phạm vi 167 đơn vị trên ranh giới tham khảo năm 2025, không gồm Côn Đảo; cùng ranh giới dùng cho 2020–2025.</w:t>
      </w:r>
    </w:p>
    <w:p>
      <w:pPr>
        <w:pStyle w:val="ListBullet"/>
      </w:pPr>
      <w:r>
        <w:t>Mốc năm, ngày cảnh, lưới 120 m, cách tính trung bình theo tâm pixel và ngưỡng dữ liệu.</w:t>
      </w:r>
    </w:p>
    <w:p>
      <w:pPr>
        <w:pStyle w:val="ListBullet"/>
      </w:pPr>
      <w:r>
        <w:t>Nếu dùng WorldCover, ghi ESA WorldCover 2021, thống kê 10 m, hiển thị khoảng 30 m và ghi công CC BY 4.0.</w:t>
      </w:r>
    </w:p>
    <w:p>
      <w:pPr>
        <w:pStyle w:val="ListBullet"/>
      </w:pPr>
      <w:r>
        <w:t>Giới hạn LST bề mặt, ảnh ghép nhiều ngày, TVDI thử nghiệm, thiếu kiểm định thực địa và nguồn ảnh pilot khác phạm vi.</w:t>
      </w:r>
    </w:p>
    <w:p>
      <w:pPr>
        <w:pStyle w:val="Heading2"/>
      </w:pPr>
      <w:r>
        <w:t>Một cách diễn đạt kết quả</w:t>
      </w:r>
    </w:p>
    <w:p>
      <w:r>
        <w:t>Trong bản GEE đã bổ sung năm 2025, phường Dĩ An có LST trung bình 43,08°C trên 1.473 ô hợp lệ trong tổng 1.485 ô mẫu, đạt độ phủ 99,19%. Phần bổ sung giữ nguyên các giá trị gốc và chỉ dùng dữ liệu Landsat cùng mùa năm 2025 cho ô thiếu. Kết quả là nhiệt độ bề mặt tại các mốc ảnh, không phải nhiệt độ không khí hoặc trung bình năm.</w:t>
      </w:r>
    </w:p>
    <w:p>
      <w:pPr>
        <w:pStyle w:val="Heading2"/>
      </w:pPr>
      <w:r>
        <w:t>Phạm vi và tài liệu kiểm chứng</w:t>
      </w:r>
    </w:p>
    <w:p>
      <w:r>
        <w:t>Đề cương đặt giai đoạn 2020–2025 nên dữ liệu 2026 không bắt buộc. Không dùng 2026 thay năm 2025. Đây là web/PWA; kiểm tra màn hình nhỏ không đồng nghĩa đã có APK hoặc khảo sát sử dụng Android thực tế.</w:t>
      </w:r>
    </w:p>
    <w:p>
      <w:r>
        <w:t>Trong project: verification/GEE_2025_RECOVERY.md và GEE_2025_recovery_published.json lưu kết quả bổ sung; public/data/gee_recovery có bảng và metadata; data/gee_recovery/batch1_20261004/originals giữ ba file mới nguyên bản. Bộ GEE gốc ở data/gee/originals vẫn được bảo toàn.</w:t>
      </w:r>
    </w:p>
    <w:p>
      <w:r>
        <w:t>Tài liệu dữ liệu chính thức để tham khảo: Landsat Collection 2 Level 2 tại developers.google.com/earth-engine/datasets/catalog/LANDSAT_LC08_C02_T1_L2 và ESA WorldCover tại developers.google.com/earth-engine/datasets/catalog/ESA_WorldCover_v200.</w:t>
      </w:r>
    </w:p>
    <w:sectPr w:rsidR="00FC693F" w:rsidRPr="0006063C" w:rsidSect="00034616">
      <w:footerReference w:type="default" r:id="rId9"/>
      <w:pgSz w:w="11906" w:h="16838"/>
      <w:pgMar w:top="1020" w:right="1134" w:bottom="964" w:left="1134"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MobileGIS GEE7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40"/>
    </w:pPr>
    <w:rPr>
      <w:rFonts w:ascii="Arial" w:hAnsi="Arial" w:eastAsia="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Địa Sắc MobileGIS GEE7</dc:title>
  <dc:subject>Hướng dẫn cho người mới về bản đồ và dữ liệu GEE 2020–2025</dc:subject>
  <dc:creator>MobileGIS</dc:creator>
  <cp:keywords/>
  <dc:description>generated by python-docx</dc:description>
  <cp:lastModifiedBy/>
  <cp:revision>1</cp:revision>
  <dcterms:created xsi:type="dcterms:W3CDTF">2013-12-23T23:15:00Z</dcterms:created>
  <dcterms:modified xsi:type="dcterms:W3CDTF">2013-12-23T23:15:00Z</dcterms:modified>
  <cp:category/>
</cp:coreProperties>
</file>