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说明项目在什么条件下提出，提出者的要求、目标、实现环境和限制条件。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5CC6CB53" w14:textId="77777777" w:rsidR="00767B71" w:rsidRPr="00767B71" w:rsidRDefault="00767B71" w:rsidP="00767B71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这次可行性分析由小组三人讨论并通过word形式展现，可能会用到的方法有</w:t>
      </w:r>
      <w:r w:rsidRPr="00767B71">
        <w:rPr>
          <w:rFonts w:ascii="仿宋" w:eastAsia="仿宋" w:hAnsi="仿宋" w:hint="eastAsia"/>
          <w:sz w:val="32"/>
          <w:szCs w:val="32"/>
        </w:rPr>
        <w:t>如调查、加权、确定模型、建立基准点或仿真等。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校内目前还没有这样的一个网站专用于表白，"表白"是一个新鲜话题，届时会有大量用户凑热闹，颇具潜力，校内学生人数20000余名，每届都会涌入新用户，活力满满。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4455" w14:textId="77777777" w:rsidR="004A46AC" w:rsidRDefault="004A46AC" w:rsidP="00212C54">
      <w:r>
        <w:separator/>
      </w:r>
    </w:p>
  </w:endnote>
  <w:endnote w:type="continuationSeparator" w:id="0">
    <w:p w14:paraId="22D3FAD2" w14:textId="77777777" w:rsidR="004A46AC" w:rsidRDefault="004A46AC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8383" w14:textId="77777777" w:rsidR="004A46AC" w:rsidRDefault="004A46AC" w:rsidP="00212C54">
      <w:r>
        <w:separator/>
      </w:r>
    </w:p>
  </w:footnote>
  <w:footnote w:type="continuationSeparator" w:id="0">
    <w:p w14:paraId="227A7761" w14:textId="77777777" w:rsidR="004A46AC" w:rsidRDefault="004A46AC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A46AC"/>
    <w:rsid w:val="004D2BCD"/>
    <w:rsid w:val="004E639E"/>
    <w:rsid w:val="00531534"/>
    <w:rsid w:val="00533249"/>
    <w:rsid w:val="0055200A"/>
    <w:rsid w:val="005C5E7A"/>
    <w:rsid w:val="005D3823"/>
    <w:rsid w:val="006557DA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C1F24"/>
    <w:rsid w:val="00D07590"/>
    <w:rsid w:val="00D44F63"/>
    <w:rsid w:val="00D52438"/>
    <w:rsid w:val="00DA37B6"/>
    <w:rsid w:val="00DD5F5D"/>
    <w:rsid w:val="00DE0788"/>
    <w:rsid w:val="00E30C48"/>
    <w:rsid w:val="00E5029C"/>
    <w:rsid w:val="00E86973"/>
    <w:rsid w:val="00EE0AE3"/>
    <w:rsid w:val="00EF29E7"/>
    <w:rsid w:val="00F125F2"/>
    <w:rsid w:val="00F805A5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</TotalTime>
  <Pages>17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2</cp:revision>
  <cp:lastPrinted>2021-09-19T07:05:00Z</cp:lastPrinted>
  <dcterms:created xsi:type="dcterms:W3CDTF">2021-10-20T05:29:00Z</dcterms:created>
  <dcterms:modified xsi:type="dcterms:W3CDTF">2021-10-20T05:29:00Z</dcterms:modified>
</cp:coreProperties>
</file>