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79DF" w:rsidRDefault="0049494C" w:rsidP="00DF0B88">
      <w:pPr>
        <w:pStyle w:val="Ttulo1"/>
        <w:numPr>
          <w:ilvl w:val="0"/>
          <w:numId w:val="1"/>
        </w:numPr>
        <w:rPr>
          <w:lang w:val="es-MX"/>
        </w:rPr>
      </w:pPr>
      <w:r>
        <w:rPr>
          <w:lang w:val="es-MX"/>
        </w:rPr>
        <w:t xml:space="preserve">Contexto </w:t>
      </w:r>
      <w:r w:rsidR="00AF4E84">
        <w:rPr>
          <w:lang w:val="es-MX"/>
        </w:rPr>
        <w:t>mer</w:t>
      </w:r>
      <w:r w:rsidR="000803D1">
        <w:rPr>
          <w:lang w:val="es-MX"/>
        </w:rPr>
        <w:t>ge</w:t>
      </w:r>
      <w:bookmarkStart w:id="0" w:name="_GoBack"/>
      <w:bookmarkEnd w:id="0"/>
    </w:p>
    <w:p w:rsidR="0049494C" w:rsidRDefault="008F4C8E" w:rsidP="008F4C8E">
      <w:pPr>
        <w:jc w:val="both"/>
        <w:rPr>
          <w:lang w:val="es-MX"/>
        </w:rPr>
      </w:pPr>
      <w:r w:rsidRPr="00F20911">
        <w:rPr>
          <w:lang w:val="es-MX"/>
        </w:rPr>
        <w:t xml:space="preserve">La exposición a material particulado fino, con un diámetro aerodinámico menor o igual a 2,5 </w:t>
      </w:r>
      <w:proofErr w:type="spellStart"/>
      <w:r w:rsidRPr="00F20911">
        <w:rPr>
          <w:lang w:val="es-MX"/>
        </w:rPr>
        <w:t>μm</w:t>
      </w:r>
      <w:proofErr w:type="spellEnd"/>
      <w:r w:rsidRPr="00F20911">
        <w:rPr>
          <w:lang w:val="es-MX"/>
        </w:rPr>
        <w:t xml:space="preserve"> (PM</w:t>
      </w:r>
      <w:r w:rsidRPr="00E72B10">
        <w:rPr>
          <w:vertAlign w:val="subscript"/>
          <w:lang w:val="es-MX"/>
        </w:rPr>
        <w:t>2,5</w:t>
      </w:r>
      <w:r w:rsidRPr="00F20911">
        <w:rPr>
          <w:lang w:val="es-MX"/>
        </w:rPr>
        <w:t>), pude provocar millones de muertes anuales, ya que estas partículas</w:t>
      </w:r>
      <w:r>
        <w:rPr>
          <w:lang w:val="es-MX"/>
        </w:rPr>
        <w:t xml:space="preserve"> </w:t>
      </w:r>
      <w:r w:rsidRPr="00F20911">
        <w:rPr>
          <w:lang w:val="es-MX"/>
        </w:rPr>
        <w:t xml:space="preserve">al ser inhaladas, pueden </w:t>
      </w:r>
      <w:r>
        <w:rPr>
          <w:lang w:val="es-MX"/>
        </w:rPr>
        <w:t xml:space="preserve">penetrar a través del sistema respiratorio y </w:t>
      </w:r>
      <w:r w:rsidRPr="00F20911">
        <w:rPr>
          <w:lang w:val="es-MX"/>
        </w:rPr>
        <w:t>acumularse en diferentes partes del cuerpo</w:t>
      </w:r>
      <w:r>
        <w:rPr>
          <w:lang w:val="es-MX"/>
        </w:rPr>
        <w:t xml:space="preserve"> </w:t>
      </w:r>
      <w:r w:rsidRPr="00D93654">
        <w:rPr>
          <w:lang w:val="es-MX"/>
        </w:rPr>
        <w:t>(Li et al., 2020)</w:t>
      </w:r>
      <w:r w:rsidRPr="00F20911">
        <w:rPr>
          <w:lang w:val="es-MX"/>
        </w:rPr>
        <w:t>. Entre los riesgos asociados a su exposición se destacan: aumento en la probabilidad de desarrollar cáncer de pulmón, mortalidad prematura y enfermedades respiratorias</w:t>
      </w:r>
      <w:r>
        <w:rPr>
          <w:lang w:val="es-MX"/>
        </w:rPr>
        <w:t xml:space="preserve"> </w:t>
      </w:r>
      <w:r w:rsidRPr="00D93654">
        <w:rPr>
          <w:lang w:val="es-MX"/>
        </w:rPr>
        <w:t>(</w:t>
      </w:r>
      <w:proofErr w:type="spellStart"/>
      <w:r w:rsidRPr="00D93654">
        <w:rPr>
          <w:lang w:val="es-MX"/>
        </w:rPr>
        <w:t>Borchers</w:t>
      </w:r>
      <w:proofErr w:type="spellEnd"/>
      <w:r w:rsidRPr="00D93654">
        <w:rPr>
          <w:lang w:val="es-MX"/>
        </w:rPr>
        <w:t>-Arriagada et al., 2024).</w:t>
      </w:r>
    </w:p>
    <w:p w:rsidR="008F4C8E" w:rsidRDefault="008F4C8E" w:rsidP="008F4C8E">
      <w:pPr>
        <w:jc w:val="both"/>
        <w:rPr>
          <w:lang w:val="es-MX"/>
        </w:rPr>
      </w:pPr>
      <w:r w:rsidRPr="00D93654">
        <w:rPr>
          <w:lang w:val="es-MX"/>
        </w:rPr>
        <w:t>La Región Metropolitana de Santiago de Chile se encuentra entre las ciudades más contaminadas de Sudamérica, superando el límite máximo permisible referido a la concentración anual de</w:t>
      </w:r>
      <w:r w:rsidRPr="00E72B10">
        <w:rPr>
          <w:lang w:val="es-MX"/>
        </w:rPr>
        <w:t xml:space="preserve"> </w:t>
      </w:r>
      <w:r w:rsidRPr="00F20911">
        <w:rPr>
          <w:lang w:val="es-MX"/>
        </w:rPr>
        <w:t>PM</w:t>
      </w:r>
      <w:r w:rsidRPr="00E72B10">
        <w:rPr>
          <w:vertAlign w:val="subscript"/>
          <w:lang w:val="es-MX"/>
        </w:rPr>
        <w:t>2,5</w:t>
      </w:r>
      <w:r>
        <w:rPr>
          <w:lang w:val="es-MX"/>
        </w:rPr>
        <w:t xml:space="preserve"> </w:t>
      </w:r>
      <w:r w:rsidRPr="00D93654">
        <w:rPr>
          <w:lang w:val="es-MX"/>
        </w:rPr>
        <w:t>establecido para Chile (20 μg/m</w:t>
      </w:r>
      <w:r w:rsidRPr="008F4C8E">
        <w:rPr>
          <w:vertAlign w:val="superscript"/>
          <w:lang w:val="es-MX"/>
        </w:rPr>
        <w:t>3</w:t>
      </w:r>
      <w:r w:rsidRPr="00D93654">
        <w:rPr>
          <w:lang w:val="es-MX"/>
        </w:rPr>
        <w:t>) (Peralta et al., 2022). Esta situación se debe principalmente a su ubicación geográfica, cuyas características topográficas y condiciones meteorológicas restringen la dispersión de contaminantes favoreciendo su acumulación principalmente durante el invierno (Menares et al., 2021).</w:t>
      </w:r>
    </w:p>
    <w:p w:rsidR="00FB5A25" w:rsidRPr="00FB5A25" w:rsidRDefault="00FB5A25" w:rsidP="008F4C8E">
      <w:pPr>
        <w:jc w:val="both"/>
        <w:rPr>
          <w:color w:val="000000" w:themeColor="text1"/>
        </w:rPr>
      </w:pPr>
      <w:r w:rsidRPr="00D93654">
        <w:rPr>
          <w:lang w:val="es-MX"/>
        </w:rPr>
        <w:t xml:space="preserve">Otra de las limitaciones de estas estaciones de monitoreo es su elevado costo y su incompatibilidad, debido a su tamaño y </w:t>
      </w:r>
      <w:r>
        <w:rPr>
          <w:lang w:val="es-MX"/>
        </w:rPr>
        <w:t>gastos</w:t>
      </w:r>
      <w:r w:rsidRPr="00D93654">
        <w:rPr>
          <w:lang w:val="es-MX"/>
        </w:rPr>
        <w:t xml:space="preserve"> de mantenimiento,</w:t>
      </w:r>
      <w:r w:rsidRPr="00443365">
        <w:t xml:space="preserve"> </w:t>
      </w:r>
      <w:r>
        <w:t>para su implementación en ciudades de países en vías de desarrollo.</w:t>
      </w:r>
      <w:r w:rsidRPr="00D93654">
        <w:rPr>
          <w:lang w:val="es-MX"/>
        </w:rPr>
        <w:t xml:space="preserve"> Además, requieren la incorporación de personal capacitado y calificado para su operación (Tarazona Alvarado et al., 2024). Por otra parte, los modelos convencionales de distribución de estos sensores de monitoreo están sujetos a grandes incertidumbres debido a la falta de perfiles de emisión precisos de todas las fuentes contribuyentes y al número limitado de mediciones en los sitios receptores.</w:t>
      </w:r>
      <w:r w:rsidRPr="00C4459F">
        <w:t xml:space="preserve"> </w:t>
      </w:r>
      <w:r>
        <w:t xml:space="preserve">Como consecuencia, gran parte de la población permanece expuesta a fuentes </w:t>
      </w:r>
      <w:r w:rsidRPr="00C0628D">
        <w:rPr>
          <w:color w:val="000000" w:themeColor="text1"/>
        </w:rPr>
        <w:t>locales no capturada por el SINCA, subestimándose la exposición real y</w:t>
      </w:r>
      <w:r>
        <w:rPr>
          <w:color w:val="000000" w:themeColor="text1"/>
        </w:rPr>
        <w:t>,</w:t>
      </w:r>
      <w:r w:rsidRPr="00C0628D">
        <w:rPr>
          <w:color w:val="000000" w:themeColor="text1"/>
        </w:rPr>
        <w:t xml:space="preserve"> por ende</w:t>
      </w:r>
      <w:r>
        <w:rPr>
          <w:color w:val="000000" w:themeColor="text1"/>
        </w:rPr>
        <w:t xml:space="preserve">, </w:t>
      </w:r>
      <w:r w:rsidRPr="00C0628D">
        <w:rPr>
          <w:color w:val="000000" w:themeColor="text1"/>
        </w:rPr>
        <w:t>sus implicaciones en la salud humana.</w:t>
      </w:r>
      <w:r>
        <w:rPr>
          <w:color w:val="000000" w:themeColor="text1"/>
        </w:rPr>
        <w:t xml:space="preserve"> </w:t>
      </w:r>
    </w:p>
    <w:p w:rsidR="008F4C8E" w:rsidRPr="00670443" w:rsidRDefault="008F4C8E" w:rsidP="008F4C8E">
      <w:pPr>
        <w:jc w:val="both"/>
        <w:rPr>
          <w:lang w:val="es-ES"/>
        </w:rPr>
      </w:pPr>
      <w:r w:rsidRPr="00670443">
        <w:rPr>
          <w:lang w:val="es-ES"/>
        </w:rPr>
        <w:t>El control de la calidad del aire atmosférico desempeña un papel crucial en la prevención de la contami</w:t>
      </w:r>
      <w:r>
        <w:rPr>
          <w:lang w:val="es-ES"/>
        </w:rPr>
        <w:t>nación ambiental en la región</w:t>
      </w:r>
      <w:r w:rsidRPr="00670443">
        <w:rPr>
          <w:lang w:val="es-ES"/>
        </w:rPr>
        <w:t>. El Sistema de Información Nacional de Calidad del Aire</w:t>
      </w:r>
      <w:r>
        <w:rPr>
          <w:lang w:val="es-ES"/>
        </w:rPr>
        <w:t xml:space="preserve"> (SINCA)</w:t>
      </w:r>
      <w:r w:rsidRPr="00670443">
        <w:rPr>
          <w:lang w:val="es-ES"/>
        </w:rPr>
        <w:t xml:space="preserve"> en Santiago de Chile presenta sensores remotos que estima las concentraciones de PM</w:t>
      </w:r>
      <w:r w:rsidRPr="008F4C8E">
        <w:rPr>
          <w:vertAlign w:val="subscript"/>
          <w:lang w:val="es-ES"/>
        </w:rPr>
        <w:t>2,5</w:t>
      </w:r>
      <w:r>
        <w:rPr>
          <w:lang w:val="es-ES"/>
        </w:rPr>
        <w:t xml:space="preserve">.  Estos sensores están </w:t>
      </w:r>
      <w:r w:rsidRPr="00670443">
        <w:rPr>
          <w:lang w:val="es-ES"/>
        </w:rPr>
        <w:t>distribuidos en un núme</w:t>
      </w:r>
      <w:r>
        <w:rPr>
          <w:lang w:val="es-ES"/>
        </w:rPr>
        <w:t>ro limitado de sitios, (</w:t>
      </w:r>
      <w:r w:rsidRPr="00670443">
        <w:rPr>
          <w:lang w:val="es-ES"/>
        </w:rPr>
        <w:t>10 estaciones</w:t>
      </w:r>
      <w:r>
        <w:rPr>
          <w:lang w:val="es-ES"/>
        </w:rPr>
        <w:t xml:space="preserve"> </w:t>
      </w:r>
      <w:r w:rsidRPr="00670443">
        <w:rPr>
          <w:lang w:val="es-ES"/>
        </w:rPr>
        <w:t xml:space="preserve">de monitoreo </w:t>
      </w:r>
      <w:r>
        <w:rPr>
          <w:lang w:val="es-ES"/>
        </w:rPr>
        <w:t>aproximadamente)</w:t>
      </w:r>
      <w:r w:rsidRPr="00670443">
        <w:rPr>
          <w:lang w:val="es-ES"/>
        </w:rPr>
        <w:t>, por lo que ofrecen una resolución espacio-temporal limitada</w:t>
      </w:r>
      <w:r>
        <w:rPr>
          <w:lang w:val="es-ES"/>
        </w:rPr>
        <w:t xml:space="preserve"> al aportar datos restringidos al área donde se encuentran estas estaciones</w:t>
      </w:r>
      <w:r w:rsidRPr="00670443">
        <w:rPr>
          <w:lang w:val="es-ES"/>
        </w:rPr>
        <w:t xml:space="preserve">. </w:t>
      </w:r>
    </w:p>
    <w:p w:rsidR="008F4C8E" w:rsidRPr="00670443" w:rsidRDefault="008F4C8E" w:rsidP="008F4C8E">
      <w:pPr>
        <w:jc w:val="both"/>
        <w:rPr>
          <w:lang w:val="es-ES"/>
        </w:rPr>
      </w:pPr>
      <w:r w:rsidRPr="00670443">
        <w:rPr>
          <w:lang w:val="es-ES"/>
        </w:rPr>
        <w:t>La tecnología de detección de bajo costo es una alternativa viable de monitoreo de la calidad del aire debido a que proporcionan información sobre la variación temporal y espacial de la contaminación por PM</w:t>
      </w:r>
      <w:r w:rsidRPr="00FB5A25">
        <w:rPr>
          <w:vertAlign w:val="subscript"/>
          <w:lang w:val="es-ES"/>
        </w:rPr>
        <w:t xml:space="preserve">2,5 </w:t>
      </w:r>
      <w:r w:rsidRPr="00670443">
        <w:rPr>
          <w:lang w:val="es-ES"/>
        </w:rPr>
        <w:t>con mayor cobertura espacial y precisión general</w:t>
      </w:r>
      <w:r>
        <w:rPr>
          <w:lang w:val="es-ES"/>
        </w:rPr>
        <w:t xml:space="preserve">. </w:t>
      </w:r>
      <w:r w:rsidR="00FB5A25">
        <w:rPr>
          <w:lang w:val="es-ES"/>
        </w:rPr>
        <w:t>Además,</w:t>
      </w:r>
      <w:r>
        <w:rPr>
          <w:lang w:val="es-ES"/>
        </w:rPr>
        <w:t xml:space="preserve"> </w:t>
      </w:r>
      <w:r w:rsidRPr="0069755C">
        <w:rPr>
          <w:lang w:val="es-ES"/>
        </w:rPr>
        <w:t>brindan</w:t>
      </w:r>
      <w:r>
        <w:rPr>
          <w:lang w:val="es-ES"/>
        </w:rPr>
        <w:t xml:space="preserve"> u</w:t>
      </w:r>
      <w:r w:rsidRPr="00670443">
        <w:rPr>
          <w:lang w:val="es-ES"/>
        </w:rPr>
        <w:t>na información más detallada sobre el grado de exposición de la población en la ciudad. Estos sensores se pueden utilizar para caracterizar variaciones de concentración de PM</w:t>
      </w:r>
      <w:r w:rsidRPr="008F4C8E">
        <w:rPr>
          <w:vertAlign w:val="subscript"/>
          <w:lang w:val="es-ES"/>
        </w:rPr>
        <w:t xml:space="preserve">2,5 </w:t>
      </w:r>
      <w:r w:rsidRPr="00670443">
        <w:rPr>
          <w:lang w:val="es-ES"/>
        </w:rPr>
        <w:t>e identificar puntos críticos de contaminación a escala local, incluso en condiciones extremas de contaminación del aire.</w:t>
      </w:r>
      <w:r w:rsidR="00FB5A25">
        <w:rPr>
          <w:lang w:val="es-ES"/>
        </w:rPr>
        <w:t xml:space="preserve"> </w:t>
      </w:r>
      <w:r>
        <w:rPr>
          <w:lang w:val="es-ES"/>
        </w:rPr>
        <w:t xml:space="preserve">Por otra parte, </w:t>
      </w:r>
      <w:r w:rsidRPr="00670443">
        <w:rPr>
          <w:lang w:val="es-ES"/>
        </w:rPr>
        <w:t xml:space="preserve"> </w:t>
      </w:r>
      <w:r>
        <w:rPr>
          <w:lang w:val="es-ES"/>
        </w:rPr>
        <w:t>p</w:t>
      </w:r>
      <w:r w:rsidRPr="00670443">
        <w:rPr>
          <w:lang w:val="es-ES"/>
        </w:rPr>
        <w:t xml:space="preserve">roporcionan información importante sobre la dinámica de los patrones de contaminación localizados, permiten analizar el impacto de las fuentes locales, </w:t>
      </w:r>
      <w:r w:rsidRPr="0069755C">
        <w:rPr>
          <w:lang w:val="es-ES"/>
        </w:rPr>
        <w:t>contribuyendo a</w:t>
      </w:r>
      <w:r w:rsidRPr="00670443">
        <w:rPr>
          <w:lang w:val="es-ES"/>
        </w:rPr>
        <w:t xml:space="preserve"> la conceptualización de una gestión ambiental más </w:t>
      </w:r>
      <w:r w:rsidRPr="0069755C">
        <w:rPr>
          <w:lang w:val="es-ES"/>
        </w:rPr>
        <w:t>encaminada a</w:t>
      </w:r>
      <w:r>
        <w:rPr>
          <w:lang w:val="es-ES"/>
        </w:rPr>
        <w:t xml:space="preserve"> </w:t>
      </w:r>
      <w:r w:rsidRPr="00670443">
        <w:rPr>
          <w:lang w:val="es-ES"/>
        </w:rPr>
        <w:t>reducir la exposición humana a estos contaminantes.</w:t>
      </w:r>
    </w:p>
    <w:p w:rsidR="009A3020" w:rsidRDefault="008F4C8E" w:rsidP="008F4C8E">
      <w:pPr>
        <w:jc w:val="both"/>
        <w:rPr>
          <w:lang w:val="es-ES"/>
        </w:rPr>
      </w:pPr>
      <w:r>
        <w:rPr>
          <w:lang w:val="es-ES"/>
        </w:rPr>
        <w:t xml:space="preserve">Una de las principales limitaciones de estos sensores es su baja presión en la determinación de la concentración del </w:t>
      </w:r>
      <w:r w:rsidRPr="00670443">
        <w:rPr>
          <w:lang w:val="es-ES"/>
        </w:rPr>
        <w:t>PM</w:t>
      </w:r>
      <w:r w:rsidRPr="008F4C8E">
        <w:rPr>
          <w:vertAlign w:val="subscript"/>
          <w:lang w:val="es-ES"/>
        </w:rPr>
        <w:t>2,5</w:t>
      </w:r>
      <w:r>
        <w:rPr>
          <w:lang w:val="es-ES"/>
        </w:rPr>
        <w:t xml:space="preserve"> ya que son muy sensibles a variaciones de temperatura y humedad. </w:t>
      </w:r>
      <w:r>
        <w:rPr>
          <w:lang w:val="es-ES"/>
        </w:rPr>
        <w:lastRenderedPageBreak/>
        <w:t xml:space="preserve">Además, tiendes a sobreestimar los valores de concentración por lo que la calibración de estos prototipos constituye un paso esencial para </w:t>
      </w:r>
      <w:r w:rsidR="00FB5A25">
        <w:rPr>
          <w:lang w:val="es-ES"/>
        </w:rPr>
        <w:t>garantizar un monitoreo complementario preciso en la ciudad.</w:t>
      </w:r>
    </w:p>
    <w:p w:rsidR="009A3020" w:rsidRPr="009A3020" w:rsidRDefault="009A3020" w:rsidP="009A3020">
      <w:pPr>
        <w:pStyle w:val="Ttulo2"/>
        <w:rPr>
          <w:lang w:val="es-MX"/>
        </w:rPr>
      </w:pPr>
      <w:r>
        <w:rPr>
          <w:lang w:val="es-ES"/>
        </w:rPr>
        <w:t>Objetivo general</w:t>
      </w:r>
    </w:p>
    <w:p w:rsidR="008F4C8E" w:rsidRPr="009A3020" w:rsidRDefault="00FB5A25" w:rsidP="009A3020">
      <w:pPr>
        <w:ind w:left="360"/>
        <w:jc w:val="both"/>
        <w:rPr>
          <w:lang w:val="es-MX"/>
        </w:rPr>
      </w:pPr>
      <w:r w:rsidRPr="009A3020">
        <w:rPr>
          <w:lang w:val="es-ES"/>
        </w:rPr>
        <w:t xml:space="preserve"> El objetivo de esta investigación es realizar la calibración de sensores de bajo costo (</w:t>
      </w:r>
      <w:proofErr w:type="spellStart"/>
      <w:r w:rsidRPr="009A3020">
        <w:rPr>
          <w:i/>
          <w:lang w:val="es-ES"/>
        </w:rPr>
        <w:t>Plantower</w:t>
      </w:r>
      <w:proofErr w:type="spellEnd"/>
      <w:r w:rsidRPr="009A3020">
        <w:rPr>
          <w:lang w:val="es-ES"/>
        </w:rPr>
        <w:t xml:space="preserve">) en la comuna Las Condes obteniendo un error de medición por debajo de 20 </w:t>
      </w:r>
      <w:r w:rsidRPr="009A3020">
        <w:rPr>
          <w:lang w:val="es-MX"/>
        </w:rPr>
        <w:t>μg/m</w:t>
      </w:r>
      <w:r w:rsidRPr="009A3020">
        <w:rPr>
          <w:vertAlign w:val="superscript"/>
          <w:lang w:val="es-MX"/>
        </w:rPr>
        <w:t>3</w:t>
      </w:r>
      <w:r w:rsidRPr="009A3020">
        <w:rPr>
          <w:lang w:val="es-MX"/>
        </w:rPr>
        <w:t>.</w:t>
      </w:r>
    </w:p>
    <w:p w:rsidR="00FB5A25" w:rsidRDefault="00FB5A25" w:rsidP="00DF0B88">
      <w:pPr>
        <w:pStyle w:val="Ttulo1"/>
        <w:numPr>
          <w:ilvl w:val="0"/>
          <w:numId w:val="1"/>
        </w:numPr>
        <w:rPr>
          <w:lang w:val="es-ES"/>
        </w:rPr>
      </w:pPr>
      <w:r>
        <w:rPr>
          <w:lang w:val="es-ES"/>
        </w:rPr>
        <w:t>Metodología</w:t>
      </w:r>
    </w:p>
    <w:p w:rsidR="002F1BA4" w:rsidRDefault="002F1BA4" w:rsidP="002F1BA4">
      <w:pPr>
        <w:rPr>
          <w:lang w:val="es-ES"/>
        </w:rPr>
      </w:pPr>
      <w:r>
        <w:rPr>
          <w:lang w:val="es-ES"/>
        </w:rPr>
        <w:t xml:space="preserve">Se realizó un monitoreo durante el periodo del 4 de junio al 23 de agosto de 2025. Los sensores de bajo costo se colocaron en la estación de referencia (SINCA) ubicada en la comuna Las Condes perteneciente a Santiago de Chile. </w:t>
      </w:r>
    </w:p>
    <w:p w:rsidR="002F1BA4" w:rsidRPr="002F1BA4" w:rsidRDefault="002F1BA4" w:rsidP="002F1BA4">
      <w:pPr>
        <w:pStyle w:val="Prrafodelista"/>
        <w:numPr>
          <w:ilvl w:val="1"/>
          <w:numId w:val="1"/>
        </w:numPr>
        <w:rPr>
          <w:lang w:val="es-ES"/>
        </w:rPr>
      </w:pPr>
      <w:r>
        <w:rPr>
          <w:lang w:val="es-ES"/>
        </w:rPr>
        <w:t>Tendencia temporal</w:t>
      </w:r>
    </w:p>
    <w:p w:rsidR="00FB5A25" w:rsidRDefault="00FB5A25" w:rsidP="008F4C8E">
      <w:pPr>
        <w:jc w:val="both"/>
        <w:rPr>
          <w:lang w:val="es-ES"/>
        </w:rPr>
      </w:pPr>
      <w:r>
        <w:rPr>
          <w:lang w:val="es-ES"/>
        </w:rPr>
        <w:t xml:space="preserve">Primeramente, se </w:t>
      </w:r>
      <w:r w:rsidR="00DF0B88">
        <w:rPr>
          <w:lang w:val="es-ES"/>
        </w:rPr>
        <w:t>analizará</w:t>
      </w:r>
      <w:r>
        <w:rPr>
          <w:lang w:val="es-ES"/>
        </w:rPr>
        <w:t xml:space="preserve"> la tendencia temporal de las concentraciones de cinco sensores de la tecnología </w:t>
      </w:r>
      <w:proofErr w:type="spellStart"/>
      <w:r w:rsidR="00DF0B88" w:rsidRPr="00DF0B88">
        <w:rPr>
          <w:i/>
          <w:lang w:val="es-ES"/>
        </w:rPr>
        <w:t>P</w:t>
      </w:r>
      <w:r w:rsidRPr="00DF0B88">
        <w:rPr>
          <w:i/>
          <w:lang w:val="es-ES"/>
        </w:rPr>
        <w:t>lantower</w:t>
      </w:r>
      <w:proofErr w:type="spellEnd"/>
      <w:r>
        <w:rPr>
          <w:lang w:val="es-ES"/>
        </w:rPr>
        <w:t xml:space="preserve"> (P1-P5) y se </w:t>
      </w:r>
      <w:r w:rsidR="00DF0B88">
        <w:rPr>
          <w:lang w:val="es-ES"/>
        </w:rPr>
        <w:t>compararán con los datos de referencia de la estación regulatoria (SINCA)</w:t>
      </w:r>
      <w:r>
        <w:rPr>
          <w:lang w:val="es-ES"/>
        </w:rPr>
        <w:t xml:space="preserve"> </w:t>
      </w:r>
      <w:proofErr w:type="gramStart"/>
      <w:r w:rsidR="002F1BA4">
        <w:rPr>
          <w:lang w:val="es-ES"/>
        </w:rPr>
        <w:t xml:space="preserve">para </w:t>
      </w:r>
      <w:r>
        <w:rPr>
          <w:lang w:val="es-ES"/>
        </w:rPr>
        <w:t xml:space="preserve"> determinar</w:t>
      </w:r>
      <w:proofErr w:type="gramEnd"/>
      <w:r>
        <w:rPr>
          <w:lang w:val="es-ES"/>
        </w:rPr>
        <w:t xml:space="preserve"> si </w:t>
      </w:r>
      <w:r w:rsidR="002F1BA4">
        <w:rPr>
          <w:lang w:val="es-ES"/>
        </w:rPr>
        <w:t>existe</w:t>
      </w:r>
      <w:r>
        <w:rPr>
          <w:lang w:val="es-ES"/>
        </w:rPr>
        <w:t xml:space="preserve"> similitud en el comportamiento </w:t>
      </w:r>
      <w:r w:rsidR="00DF0B88">
        <w:rPr>
          <w:lang w:val="es-ES"/>
        </w:rPr>
        <w:t xml:space="preserve">de ambos </w:t>
      </w:r>
      <w:r w:rsidR="002F1BA4">
        <w:rPr>
          <w:lang w:val="es-ES"/>
        </w:rPr>
        <w:t>tipos de tecnología</w:t>
      </w:r>
      <w:r w:rsidR="00DF0B88">
        <w:rPr>
          <w:lang w:val="es-ES"/>
        </w:rPr>
        <w:t xml:space="preserve">. </w:t>
      </w:r>
    </w:p>
    <w:p w:rsidR="00DF0B88" w:rsidRDefault="00DF0B88" w:rsidP="008F4C8E">
      <w:pPr>
        <w:jc w:val="both"/>
        <w:rPr>
          <w:lang w:val="es-ES"/>
        </w:rPr>
      </w:pPr>
      <w:r>
        <w:rPr>
          <w:lang w:val="es-ES"/>
        </w:rPr>
        <w:t xml:space="preserve">En este sentido se realiza un </w:t>
      </w:r>
      <w:proofErr w:type="spellStart"/>
      <w:r>
        <w:rPr>
          <w:lang w:val="es-ES"/>
        </w:rPr>
        <w:t>grafico</w:t>
      </w:r>
      <w:proofErr w:type="spellEnd"/>
      <w:r>
        <w:rPr>
          <w:lang w:val="es-ES"/>
        </w:rPr>
        <w:t xml:space="preserve"> de </w:t>
      </w:r>
      <w:r w:rsidR="002F1BA4">
        <w:rPr>
          <w:lang w:val="es-ES"/>
        </w:rPr>
        <w:t>tendencia temporal.</w:t>
      </w:r>
    </w:p>
    <w:p w:rsidR="002F1BA4" w:rsidRDefault="002F1BA4" w:rsidP="008F4C8E">
      <w:pPr>
        <w:jc w:val="both"/>
        <w:rPr>
          <w:lang w:val="es-ES"/>
        </w:rPr>
      </w:pPr>
      <w:r>
        <w:rPr>
          <w:lang w:val="es-ES"/>
        </w:rPr>
        <w:t>Al analizar el gráfico se observa que existe una marcada diferencia en el comportamiento de los sensores de bajo costo en comparación con los valores de la estación de referencia (SINCA).</w:t>
      </w:r>
      <w:r w:rsidR="00B322F9">
        <w:rPr>
          <w:lang w:val="es-ES"/>
        </w:rPr>
        <w:t xml:space="preserve"> En este caso los sensores de bajo costo tienden a sobreestimar las concentraciones de material particulado demostrándose la importancia de su calibración para solucionar estas limitaciones.</w:t>
      </w:r>
    </w:p>
    <w:p w:rsidR="002F1BA4" w:rsidRDefault="002F1BA4" w:rsidP="002F1BA4">
      <w:pPr>
        <w:pStyle w:val="Prrafodelista"/>
        <w:numPr>
          <w:ilvl w:val="1"/>
          <w:numId w:val="1"/>
        </w:numPr>
        <w:jc w:val="both"/>
        <w:rPr>
          <w:lang w:val="es-ES"/>
        </w:rPr>
      </w:pPr>
      <w:proofErr w:type="spellStart"/>
      <w:r>
        <w:rPr>
          <w:lang w:val="es-ES"/>
        </w:rPr>
        <w:t>Regresion</w:t>
      </w:r>
      <w:proofErr w:type="spellEnd"/>
      <w:r>
        <w:rPr>
          <w:lang w:val="es-ES"/>
        </w:rPr>
        <w:t xml:space="preserve"> </w:t>
      </w:r>
      <w:proofErr w:type="spellStart"/>
      <w:r>
        <w:rPr>
          <w:lang w:val="es-ES"/>
        </w:rPr>
        <w:t>linial</w:t>
      </w:r>
      <w:proofErr w:type="spellEnd"/>
    </w:p>
    <w:p w:rsidR="002F1BA4" w:rsidRDefault="002F1BA4" w:rsidP="00B322F9">
      <w:pPr>
        <w:jc w:val="both"/>
        <w:rPr>
          <w:lang w:val="es-ES"/>
        </w:rPr>
      </w:pPr>
      <w:r>
        <w:rPr>
          <w:lang w:val="es-ES"/>
        </w:rPr>
        <w:t xml:space="preserve">Para realizar </w:t>
      </w:r>
      <w:r w:rsidR="00B322F9">
        <w:rPr>
          <w:lang w:val="es-ES"/>
        </w:rPr>
        <w:t>obtener la ecuación de calibración de los sensores se aplico un modelo de regresión lineal para cada uno de los sensores de bajo costo. Los resultados se muestran en la siguiente figura.</w:t>
      </w:r>
    </w:p>
    <w:p w:rsidR="00B322F9" w:rsidRDefault="00B322F9" w:rsidP="00B322F9">
      <w:pPr>
        <w:jc w:val="both"/>
        <w:rPr>
          <w:lang w:val="es-ES"/>
        </w:rPr>
      </w:pPr>
    </w:p>
    <w:p w:rsidR="00B322F9" w:rsidRDefault="00B322F9" w:rsidP="00B322F9">
      <w:pPr>
        <w:jc w:val="both"/>
        <w:rPr>
          <w:lang w:val="es-ES"/>
        </w:rPr>
      </w:pPr>
      <w:r>
        <w:rPr>
          <w:lang w:val="es-ES"/>
        </w:rPr>
        <w:t xml:space="preserve">En la figura se demuestra que a pesar de existir un </w:t>
      </w:r>
      <w:proofErr w:type="spellStart"/>
      <w:r>
        <w:rPr>
          <w:lang w:val="es-ES"/>
        </w:rPr>
        <w:t>defase</w:t>
      </w:r>
      <w:proofErr w:type="spellEnd"/>
      <w:r>
        <w:rPr>
          <w:lang w:val="es-ES"/>
        </w:rPr>
        <w:t xml:space="preserve"> en el comportamiento de estos sensores un modelo de regresión </w:t>
      </w:r>
      <w:proofErr w:type="spellStart"/>
      <w:r>
        <w:rPr>
          <w:lang w:val="es-ES"/>
        </w:rPr>
        <w:t>linial</w:t>
      </w:r>
      <w:proofErr w:type="spellEnd"/>
      <w:r>
        <w:rPr>
          <w:lang w:val="es-ES"/>
        </w:rPr>
        <w:t xml:space="preserve"> puede explicar con un buen ajuste (R</w:t>
      </w:r>
      <w:r w:rsidRPr="00B322F9">
        <w:rPr>
          <w:vertAlign w:val="superscript"/>
          <w:lang w:val="es-ES"/>
        </w:rPr>
        <w:t>2</w:t>
      </w:r>
      <w:r>
        <w:rPr>
          <w:lang w:val="es-ES"/>
        </w:rPr>
        <w:t>=0,87-0,9</w:t>
      </w:r>
      <w:proofErr w:type="gramStart"/>
      <w:r>
        <w:rPr>
          <w:lang w:val="es-ES"/>
        </w:rPr>
        <w:t>)  las</w:t>
      </w:r>
      <w:proofErr w:type="gramEnd"/>
      <w:r>
        <w:rPr>
          <w:lang w:val="es-ES"/>
        </w:rPr>
        <w:t xml:space="preserve"> concentraciones de material particulado.</w:t>
      </w:r>
    </w:p>
    <w:p w:rsidR="00B322F9" w:rsidRDefault="00B322F9" w:rsidP="00B322F9">
      <w:pPr>
        <w:jc w:val="both"/>
        <w:rPr>
          <w:lang w:val="es-ES"/>
        </w:rPr>
      </w:pPr>
      <w:r>
        <w:rPr>
          <w:lang w:val="es-ES"/>
        </w:rPr>
        <w:t xml:space="preserve">2.3 </w:t>
      </w:r>
      <w:proofErr w:type="spellStart"/>
      <w:r>
        <w:rPr>
          <w:lang w:val="es-ES"/>
        </w:rPr>
        <w:t>Analisis</w:t>
      </w:r>
      <w:proofErr w:type="spellEnd"/>
      <w:r>
        <w:rPr>
          <w:lang w:val="es-ES"/>
        </w:rPr>
        <w:t xml:space="preserve"> de los errores del modelo</w:t>
      </w:r>
    </w:p>
    <w:p w:rsidR="00B322F9" w:rsidRDefault="00B322F9" w:rsidP="00B322F9">
      <w:pPr>
        <w:jc w:val="both"/>
        <w:rPr>
          <w:lang w:val="es-MX"/>
        </w:rPr>
      </w:pPr>
      <w:r>
        <w:rPr>
          <w:lang w:val="es-ES"/>
        </w:rPr>
        <w:t xml:space="preserve">Uno de los aspectos a considerar para el uso de los sensores de bajo costo como complemento de los monitores regulatorios (SINCA) es el análisis de error. En este contexto, se </w:t>
      </w:r>
      <w:proofErr w:type="spellStart"/>
      <w:r>
        <w:rPr>
          <w:lang w:val="es-ES"/>
        </w:rPr>
        <w:t>determino</w:t>
      </w:r>
      <w:proofErr w:type="spellEnd"/>
      <w:r>
        <w:rPr>
          <w:lang w:val="es-ES"/>
        </w:rPr>
        <w:t xml:space="preserve"> que los </w:t>
      </w:r>
      <w:proofErr w:type="gramStart"/>
      <w:r>
        <w:rPr>
          <w:lang w:val="es-ES"/>
        </w:rPr>
        <w:t>errores absoluto</w:t>
      </w:r>
      <w:proofErr w:type="gramEnd"/>
      <w:r>
        <w:rPr>
          <w:lang w:val="es-ES"/>
        </w:rPr>
        <w:t xml:space="preserve">, </w:t>
      </w:r>
      <w:proofErr w:type="spellStart"/>
      <w:r>
        <w:rPr>
          <w:lang w:val="es-ES"/>
        </w:rPr>
        <w:t>asi</w:t>
      </w:r>
      <w:proofErr w:type="spellEnd"/>
      <w:r>
        <w:rPr>
          <w:lang w:val="es-ES"/>
        </w:rPr>
        <w:t xml:space="preserve"> como las </w:t>
      </w:r>
      <w:proofErr w:type="spellStart"/>
      <w:r>
        <w:rPr>
          <w:lang w:val="es-ES"/>
        </w:rPr>
        <w:t>metricas</w:t>
      </w:r>
      <w:proofErr w:type="spellEnd"/>
      <w:r>
        <w:rPr>
          <w:lang w:val="es-ES"/>
        </w:rPr>
        <w:t xml:space="preserve"> </w:t>
      </w:r>
      <w:proofErr w:type="spellStart"/>
      <w:r>
        <w:rPr>
          <w:lang w:val="es-ES"/>
        </w:rPr>
        <w:t>especificas</w:t>
      </w:r>
      <w:proofErr w:type="spellEnd"/>
      <w:r>
        <w:rPr>
          <w:lang w:val="es-ES"/>
        </w:rPr>
        <w:t xml:space="preserve"> de error (MB, MGE) deberían estar por debajo de 20 </w:t>
      </w:r>
      <w:r w:rsidRPr="00D93654">
        <w:rPr>
          <w:lang w:val="es-MX"/>
        </w:rPr>
        <w:t>μg/m</w:t>
      </w:r>
      <w:r w:rsidRPr="008F4C8E">
        <w:rPr>
          <w:vertAlign w:val="superscript"/>
          <w:lang w:val="es-MX"/>
        </w:rPr>
        <w:t>3</w:t>
      </w:r>
      <w:r>
        <w:rPr>
          <w:lang w:val="es-MX"/>
        </w:rPr>
        <w:t>.</w:t>
      </w:r>
    </w:p>
    <w:p w:rsidR="00B322F9" w:rsidRDefault="00B322F9" w:rsidP="00B322F9">
      <w:pPr>
        <w:jc w:val="both"/>
        <w:rPr>
          <w:lang w:val="es-ES"/>
        </w:rPr>
      </w:pPr>
      <w:r>
        <w:rPr>
          <w:lang w:val="es-ES"/>
        </w:rPr>
        <w:t xml:space="preserve">Los resultados se muestran en la </w:t>
      </w:r>
      <w:proofErr w:type="spellStart"/>
      <w:r>
        <w:rPr>
          <w:lang w:val="es-ES"/>
        </w:rPr>
        <w:t>siguente</w:t>
      </w:r>
      <w:proofErr w:type="spellEnd"/>
      <w:r>
        <w:rPr>
          <w:lang w:val="es-ES"/>
        </w:rPr>
        <w:t xml:space="preserve"> grafico </w:t>
      </w:r>
    </w:p>
    <w:p w:rsidR="00733617" w:rsidRDefault="00733617" w:rsidP="00B322F9">
      <w:pPr>
        <w:jc w:val="both"/>
        <w:rPr>
          <w:lang w:val="es-ES"/>
        </w:rPr>
      </w:pPr>
      <w:r>
        <w:rPr>
          <w:lang w:val="es-ES"/>
        </w:rPr>
        <w:t>Conclusiones</w:t>
      </w:r>
    </w:p>
    <w:p w:rsidR="00733617" w:rsidRPr="00074B7F" w:rsidRDefault="006E4D05" w:rsidP="00733617">
      <w:pPr>
        <w:pStyle w:val="Prrafodelista"/>
        <w:numPr>
          <w:ilvl w:val="0"/>
          <w:numId w:val="2"/>
        </w:numPr>
        <w:jc w:val="both"/>
        <w:rPr>
          <w:lang w:val="es-ES"/>
        </w:rPr>
      </w:pPr>
      <w:r>
        <w:rPr>
          <w:lang w:val="es-ES"/>
        </w:rPr>
        <w:lastRenderedPageBreak/>
        <w:t xml:space="preserve">Un modelo de regresión </w:t>
      </w:r>
      <w:proofErr w:type="spellStart"/>
      <w:r>
        <w:rPr>
          <w:lang w:val="es-ES"/>
        </w:rPr>
        <w:t>linieal</w:t>
      </w:r>
      <w:proofErr w:type="spellEnd"/>
      <w:r>
        <w:rPr>
          <w:lang w:val="es-ES"/>
        </w:rPr>
        <w:t xml:space="preserve"> puede representar el comportamiento de las concentraciones de </w:t>
      </w:r>
      <w:r w:rsidRPr="00670443">
        <w:rPr>
          <w:lang w:val="es-ES"/>
        </w:rPr>
        <w:t>PM</w:t>
      </w:r>
      <w:r w:rsidRPr="008F4C8E">
        <w:rPr>
          <w:vertAlign w:val="subscript"/>
          <w:lang w:val="es-ES"/>
        </w:rPr>
        <w:t>2,5</w:t>
      </w:r>
      <w:r>
        <w:rPr>
          <w:vertAlign w:val="subscript"/>
          <w:lang w:val="es-ES"/>
        </w:rPr>
        <w:t xml:space="preserve"> </w:t>
      </w:r>
      <w:r w:rsidRPr="006E4D05">
        <w:rPr>
          <w:lang w:val="es-ES"/>
        </w:rPr>
        <w:t xml:space="preserve">con un ajuste de </w:t>
      </w:r>
      <w:r>
        <w:rPr>
          <w:lang w:val="es-ES"/>
        </w:rPr>
        <w:t>(R</w:t>
      </w:r>
      <w:r w:rsidRPr="00B322F9">
        <w:rPr>
          <w:vertAlign w:val="superscript"/>
          <w:lang w:val="es-ES"/>
        </w:rPr>
        <w:t>2</w:t>
      </w:r>
      <w:r>
        <w:rPr>
          <w:lang w:val="es-ES"/>
        </w:rPr>
        <w:t xml:space="preserve">=0,87-0,9), permitiendo obtener valores de error de </w:t>
      </w:r>
      <w:proofErr w:type="spellStart"/>
      <w:r>
        <w:rPr>
          <w:lang w:val="es-ES"/>
        </w:rPr>
        <w:t>stimacion</w:t>
      </w:r>
      <w:proofErr w:type="spellEnd"/>
      <w:r>
        <w:rPr>
          <w:lang w:val="es-ES"/>
        </w:rPr>
        <w:t xml:space="preserve"> del modelo por debajo de </w:t>
      </w:r>
      <w:r w:rsidR="005E0B9F">
        <w:rPr>
          <w:lang w:val="es-ES"/>
        </w:rPr>
        <w:t xml:space="preserve">20 </w:t>
      </w:r>
      <w:r w:rsidRPr="00D93654">
        <w:rPr>
          <w:lang w:val="es-MX"/>
        </w:rPr>
        <w:t>μg/m</w:t>
      </w:r>
      <w:r w:rsidRPr="008F4C8E">
        <w:rPr>
          <w:vertAlign w:val="superscript"/>
          <w:lang w:val="es-MX"/>
        </w:rPr>
        <w:t>3</w:t>
      </w:r>
      <w:r>
        <w:rPr>
          <w:lang w:val="es-MX"/>
        </w:rPr>
        <w:t>.</w:t>
      </w:r>
    </w:p>
    <w:p w:rsidR="00074B7F" w:rsidRDefault="00074B7F" w:rsidP="00074B7F">
      <w:pPr>
        <w:pStyle w:val="Prrafodelista"/>
        <w:jc w:val="both"/>
        <w:rPr>
          <w:lang w:val="es-ES"/>
        </w:rPr>
      </w:pPr>
    </w:p>
    <w:p w:rsidR="00074B7F" w:rsidRDefault="00074B7F" w:rsidP="00074B7F">
      <w:pPr>
        <w:pStyle w:val="Prrafodelista"/>
        <w:jc w:val="both"/>
        <w:rPr>
          <w:lang w:val="es-ES"/>
        </w:rPr>
      </w:pPr>
    </w:p>
    <w:p w:rsidR="00074B7F" w:rsidRPr="00AF4E84" w:rsidRDefault="00074B7F" w:rsidP="00074B7F">
      <w:pPr>
        <w:pStyle w:val="Prrafodelista"/>
        <w:jc w:val="both"/>
        <w:rPr>
          <w:lang w:val="en-US"/>
        </w:rPr>
      </w:pPr>
      <w:r w:rsidRPr="00AF4E84">
        <w:rPr>
          <w:lang w:val="en-US"/>
        </w:rPr>
        <w:t>REFERENCIA</w:t>
      </w:r>
    </w:p>
    <w:p w:rsidR="00074B7F" w:rsidRDefault="00074B7F" w:rsidP="00074B7F">
      <w:pPr>
        <w:pStyle w:val="NormalWeb"/>
        <w:jc w:val="both"/>
        <w:rPr>
          <w:rStyle w:val="Hipervnculo"/>
          <w:rFonts w:eastAsiaTheme="majorEastAsia"/>
          <w:lang w:val="en-US"/>
        </w:rPr>
      </w:pPr>
      <w:r w:rsidRPr="00B91B6A">
        <w:rPr>
          <w:lang w:val="en-US"/>
        </w:rPr>
        <w:t xml:space="preserve">Li, J., Zhang, H., Chao, C.-Y., </w:t>
      </w:r>
      <w:proofErr w:type="spellStart"/>
      <w:r w:rsidRPr="00B91B6A">
        <w:rPr>
          <w:lang w:val="en-US"/>
        </w:rPr>
        <w:t>Chien</w:t>
      </w:r>
      <w:proofErr w:type="spellEnd"/>
      <w:r w:rsidRPr="00B91B6A">
        <w:rPr>
          <w:lang w:val="en-US"/>
        </w:rPr>
        <w:t>, C.-H., Wu, C.-Y., Luo, C. H., Chen, L.-J., &amp; Biswas, P. (2020). Integrating low-cost air quality sensor networks with fixed and satellite monitoring systems to study ground-level PM</w:t>
      </w:r>
      <w:r w:rsidRPr="00AF4E84">
        <w:rPr>
          <w:rFonts w:asciiTheme="minorHAnsi" w:eastAsiaTheme="minorHAnsi" w:hAnsiTheme="minorHAnsi" w:cstheme="minorBidi"/>
          <w:sz w:val="22"/>
          <w:szCs w:val="22"/>
          <w:lang w:val="en-US" w:eastAsia="en-US"/>
        </w:rPr>
        <w:t>₂.₅.</w:t>
      </w:r>
      <w:r w:rsidRPr="00B91B6A">
        <w:rPr>
          <w:lang w:val="en-US"/>
        </w:rPr>
        <w:t xml:space="preserve"> </w:t>
      </w:r>
      <w:r w:rsidRPr="00B91B6A">
        <w:rPr>
          <w:rStyle w:val="nfasis"/>
          <w:lang w:val="en-US"/>
        </w:rPr>
        <w:t>Atmospheric Environment, 223</w:t>
      </w:r>
      <w:r w:rsidRPr="00B91B6A">
        <w:rPr>
          <w:lang w:val="en-US"/>
        </w:rPr>
        <w:t xml:space="preserve">, 117293. </w:t>
      </w:r>
      <w:hyperlink r:id="rId5" w:tgtFrame="_new" w:history="1">
        <w:r w:rsidRPr="00B91B6A">
          <w:rPr>
            <w:rStyle w:val="Hipervnculo"/>
            <w:rFonts w:eastAsiaTheme="majorEastAsia"/>
            <w:lang w:val="en-US"/>
          </w:rPr>
          <w:t>https://doi.org/10.1016/j.atmosenv.2020.117293</w:t>
        </w:r>
      </w:hyperlink>
    </w:p>
    <w:p w:rsidR="0043591C" w:rsidRPr="00B91B6A" w:rsidRDefault="0043591C" w:rsidP="0043591C">
      <w:pPr>
        <w:pStyle w:val="NormalWeb"/>
        <w:jc w:val="both"/>
        <w:rPr>
          <w:lang w:val="en-US"/>
        </w:rPr>
      </w:pPr>
      <w:r w:rsidRPr="00B91B6A">
        <w:rPr>
          <w:lang w:val="en-US"/>
        </w:rPr>
        <w:t>Borchers-</w:t>
      </w:r>
      <w:proofErr w:type="spellStart"/>
      <w:r w:rsidRPr="00B91B6A">
        <w:rPr>
          <w:lang w:val="en-US"/>
        </w:rPr>
        <w:t>Arriagada</w:t>
      </w:r>
      <w:proofErr w:type="spellEnd"/>
      <w:r w:rsidRPr="00B91B6A">
        <w:rPr>
          <w:lang w:val="en-US"/>
        </w:rPr>
        <w:t>, N., Vander Hoorn, S., Cope, M., Morgan, G., Hanigan, I., Williamson, G., &amp; Johnston, F. H. (2024). The mortality burden attributable to wood heater smoke particulate matter (PM</w:t>
      </w:r>
      <w:proofErr w:type="gramStart"/>
      <w:r w:rsidRPr="00B91B6A">
        <w:rPr>
          <w:lang w:val="en-US"/>
        </w:rPr>
        <w:t>₂.₅</w:t>
      </w:r>
      <w:proofErr w:type="gramEnd"/>
      <w:r w:rsidRPr="00B91B6A">
        <w:rPr>
          <w:lang w:val="en-US"/>
        </w:rPr>
        <w:t xml:space="preserve">) in Australia. </w:t>
      </w:r>
      <w:r w:rsidRPr="00B91B6A">
        <w:rPr>
          <w:rStyle w:val="nfasis"/>
          <w:lang w:val="en-US"/>
        </w:rPr>
        <w:t>Science of The Total Environment, 921</w:t>
      </w:r>
      <w:r w:rsidRPr="00B91B6A">
        <w:rPr>
          <w:lang w:val="en-US"/>
        </w:rPr>
        <w:t xml:space="preserve">, 171069. </w:t>
      </w:r>
      <w:hyperlink r:id="rId6" w:tgtFrame="_new" w:history="1">
        <w:r w:rsidRPr="00B91B6A">
          <w:rPr>
            <w:rStyle w:val="Hipervnculo"/>
            <w:rFonts w:eastAsiaTheme="majorEastAsia"/>
            <w:lang w:val="en-US"/>
          </w:rPr>
          <w:t>https://doi.org/10.1016/j.scitotenv.2024.171069</w:t>
        </w:r>
      </w:hyperlink>
    </w:p>
    <w:p w:rsidR="0043591C" w:rsidRPr="0043591C" w:rsidRDefault="0043591C" w:rsidP="0043591C">
      <w:pPr>
        <w:pStyle w:val="NormalWeb"/>
        <w:jc w:val="both"/>
      </w:pPr>
      <w:r w:rsidRPr="008114BA">
        <w:t xml:space="preserve">Menares, C., </w:t>
      </w:r>
      <w:proofErr w:type="spellStart"/>
      <w:r w:rsidRPr="008114BA">
        <w:t>Perez</w:t>
      </w:r>
      <w:proofErr w:type="spellEnd"/>
      <w:r w:rsidRPr="008114BA">
        <w:t xml:space="preserve">, P., Parraguez, S., &amp; Fleming, Z. L. (2021). </w:t>
      </w:r>
      <w:r w:rsidRPr="00B91B6A">
        <w:rPr>
          <w:lang w:val="en-US"/>
        </w:rPr>
        <w:t>Forecasting PM</w:t>
      </w:r>
      <w:proofErr w:type="gramStart"/>
      <w:r w:rsidRPr="00B91B6A">
        <w:rPr>
          <w:lang w:val="en-US"/>
        </w:rPr>
        <w:t>₂.₅</w:t>
      </w:r>
      <w:proofErr w:type="gramEnd"/>
      <w:r w:rsidRPr="00B91B6A">
        <w:rPr>
          <w:lang w:val="en-US"/>
        </w:rPr>
        <w:t xml:space="preserve"> levels in Santiago de Chile using deep learning neural networks. </w:t>
      </w:r>
      <w:r w:rsidRPr="0043591C">
        <w:rPr>
          <w:rStyle w:val="nfasis"/>
        </w:rPr>
        <w:t xml:space="preserve">Urban </w:t>
      </w:r>
      <w:proofErr w:type="spellStart"/>
      <w:r w:rsidRPr="0043591C">
        <w:rPr>
          <w:rStyle w:val="nfasis"/>
        </w:rPr>
        <w:t>Climate</w:t>
      </w:r>
      <w:proofErr w:type="spellEnd"/>
      <w:r w:rsidRPr="0043591C">
        <w:rPr>
          <w:rStyle w:val="nfasis"/>
        </w:rPr>
        <w:t>, 38</w:t>
      </w:r>
      <w:r w:rsidRPr="0043591C">
        <w:t xml:space="preserve">, 100906. </w:t>
      </w:r>
      <w:hyperlink r:id="rId7" w:tgtFrame="_new" w:history="1">
        <w:r w:rsidRPr="0043591C">
          <w:rPr>
            <w:rStyle w:val="Hipervnculo"/>
            <w:rFonts w:eastAsiaTheme="majorEastAsia"/>
          </w:rPr>
          <w:t>https://doi.org/10.1016/j.uclim.2021.100906</w:t>
        </w:r>
      </w:hyperlink>
    </w:p>
    <w:p w:rsidR="0043591C" w:rsidRPr="0043591C" w:rsidRDefault="0043591C" w:rsidP="0043591C">
      <w:pPr>
        <w:pStyle w:val="NormalWeb"/>
        <w:jc w:val="both"/>
      </w:pPr>
      <w:r w:rsidRPr="008114BA">
        <w:t xml:space="preserve">Peralta, B., Sepúlveda, T., </w:t>
      </w:r>
      <w:proofErr w:type="spellStart"/>
      <w:r w:rsidRPr="008114BA">
        <w:t>Nicolis</w:t>
      </w:r>
      <w:proofErr w:type="spellEnd"/>
      <w:r w:rsidRPr="008114BA">
        <w:t xml:space="preserve">, O., &amp; Caro, L. (2022). </w:t>
      </w:r>
      <w:r>
        <w:t>Predicción espacio-temporal de concentraciones de PM</w:t>
      </w:r>
      <w:proofErr w:type="gramStart"/>
      <w:r>
        <w:t>₂.₅</w:t>
      </w:r>
      <w:proofErr w:type="gramEnd"/>
      <w:r>
        <w:t xml:space="preserve"> en Santiago de Chile mediante redes LSTM. </w:t>
      </w:r>
      <w:proofErr w:type="spellStart"/>
      <w:r w:rsidRPr="0043591C">
        <w:rPr>
          <w:rStyle w:val="nfasis"/>
        </w:rPr>
        <w:t>Applied</w:t>
      </w:r>
      <w:proofErr w:type="spellEnd"/>
      <w:r w:rsidRPr="0043591C">
        <w:rPr>
          <w:rStyle w:val="nfasis"/>
        </w:rPr>
        <w:t xml:space="preserve"> </w:t>
      </w:r>
      <w:proofErr w:type="spellStart"/>
      <w:r w:rsidRPr="0043591C">
        <w:rPr>
          <w:rStyle w:val="nfasis"/>
        </w:rPr>
        <w:t>Sciences</w:t>
      </w:r>
      <w:proofErr w:type="spellEnd"/>
      <w:r w:rsidRPr="0043591C">
        <w:rPr>
          <w:rStyle w:val="nfasis"/>
        </w:rPr>
        <w:t>, 12</w:t>
      </w:r>
      <w:r w:rsidRPr="0043591C">
        <w:t xml:space="preserve">(22), 11317. </w:t>
      </w:r>
      <w:hyperlink r:id="rId8" w:tgtFrame="_new" w:history="1">
        <w:r w:rsidRPr="0043591C">
          <w:rPr>
            <w:rStyle w:val="Hipervnculo"/>
            <w:rFonts w:eastAsiaTheme="majorEastAsia"/>
          </w:rPr>
          <w:t>https://doi.org/10.3390/app122211317</w:t>
        </w:r>
      </w:hyperlink>
    </w:p>
    <w:p w:rsidR="0043591C" w:rsidRPr="0043591C" w:rsidRDefault="0043591C" w:rsidP="0043591C">
      <w:pPr>
        <w:pStyle w:val="NormalWeb"/>
        <w:jc w:val="both"/>
        <w:rPr>
          <w:lang w:val="en-US"/>
        </w:rPr>
      </w:pPr>
      <w:r>
        <w:t>Tarazona Alvarado, M., Salamanca-Coy, J. L., Forero-</w:t>
      </w:r>
      <w:proofErr w:type="spellStart"/>
      <w:r>
        <w:t>Gutièrrez</w:t>
      </w:r>
      <w:proofErr w:type="spellEnd"/>
      <w:r>
        <w:t>, K., Núñez, L. A., Pisco-</w:t>
      </w:r>
      <w:proofErr w:type="spellStart"/>
      <w:r>
        <w:t>Guabave</w:t>
      </w:r>
      <w:proofErr w:type="spellEnd"/>
      <w:r>
        <w:t xml:space="preserve">, J., Escobar-Diaz, F., &amp; Sierra-Porta, D. (2024). </w:t>
      </w:r>
      <w:r w:rsidRPr="00B91B6A">
        <w:rPr>
          <w:lang w:val="en-US"/>
        </w:rPr>
        <w:t xml:space="preserve">Assessing and monitoring air quality in cities and urban areas with a portable, modular and low-cost sensor station: Calibration challenges. </w:t>
      </w:r>
      <w:r w:rsidRPr="0043591C">
        <w:rPr>
          <w:rStyle w:val="nfasis"/>
          <w:lang w:val="en-US"/>
        </w:rPr>
        <w:t>International Journal of Remote Sensing, 45</w:t>
      </w:r>
      <w:r w:rsidRPr="0043591C">
        <w:rPr>
          <w:lang w:val="en-US"/>
        </w:rPr>
        <w:t xml:space="preserve">(17), 5713–5736. </w:t>
      </w:r>
      <w:hyperlink r:id="rId9" w:tgtFrame="_new" w:history="1">
        <w:r w:rsidRPr="0043591C">
          <w:rPr>
            <w:rStyle w:val="Hipervnculo"/>
            <w:rFonts w:eastAsiaTheme="majorEastAsia"/>
            <w:lang w:val="en-US"/>
          </w:rPr>
          <w:t>https://doi.org/10.1080/01431161.2024.2373338</w:t>
        </w:r>
      </w:hyperlink>
    </w:p>
    <w:p w:rsidR="0043591C" w:rsidRDefault="0043591C" w:rsidP="00074B7F">
      <w:pPr>
        <w:pStyle w:val="NormalWeb"/>
        <w:jc w:val="both"/>
        <w:rPr>
          <w:lang w:val="en-US"/>
        </w:rPr>
      </w:pPr>
      <w:r>
        <w:rPr>
          <w:lang w:val="en-US"/>
        </w:rPr>
        <w:t>BAJO COSTO</w:t>
      </w:r>
    </w:p>
    <w:p w:rsidR="0043591C" w:rsidRPr="0043591C" w:rsidRDefault="0043591C" w:rsidP="0043591C">
      <w:pPr>
        <w:pStyle w:val="NormalWeb"/>
        <w:jc w:val="both"/>
        <w:rPr>
          <w:lang w:val="en-US"/>
        </w:rPr>
      </w:pPr>
      <w:proofErr w:type="spellStart"/>
      <w:r w:rsidRPr="00B91B6A">
        <w:rPr>
          <w:lang w:val="en-US"/>
        </w:rPr>
        <w:t>Traviss</w:t>
      </w:r>
      <w:proofErr w:type="spellEnd"/>
      <w:r w:rsidRPr="00B91B6A">
        <w:rPr>
          <w:lang w:val="en-US"/>
        </w:rPr>
        <w:t xml:space="preserve">, N., Stanway, J., Woodward, J., </w:t>
      </w:r>
      <w:proofErr w:type="spellStart"/>
      <w:r w:rsidRPr="00B91B6A">
        <w:rPr>
          <w:lang w:val="en-US"/>
        </w:rPr>
        <w:t>Webler</w:t>
      </w:r>
      <w:proofErr w:type="spellEnd"/>
      <w:r w:rsidRPr="00B91B6A">
        <w:rPr>
          <w:lang w:val="en-US"/>
        </w:rPr>
        <w:t>, T., Allen, G., &amp; Ahmadi, M. (2025). Four-year community-wide PM</w:t>
      </w:r>
      <w:proofErr w:type="gramStart"/>
      <w:r w:rsidRPr="00B91B6A">
        <w:rPr>
          <w:lang w:val="en-US"/>
        </w:rPr>
        <w:t>₂.₅</w:t>
      </w:r>
      <w:proofErr w:type="gramEnd"/>
      <w:r w:rsidRPr="00B91B6A">
        <w:rPr>
          <w:lang w:val="en-US"/>
        </w:rPr>
        <w:t xml:space="preserve"> exposure characterization using a low-cost sensor network in a rural valley influenced by residential wood smoke. </w:t>
      </w:r>
      <w:r w:rsidRPr="0043591C">
        <w:rPr>
          <w:rStyle w:val="nfasis"/>
          <w:lang w:val="en-US"/>
        </w:rPr>
        <w:t>Atmospheric Environment, 360</w:t>
      </w:r>
      <w:r w:rsidRPr="0043591C">
        <w:rPr>
          <w:lang w:val="en-US"/>
        </w:rPr>
        <w:t xml:space="preserve">, 121398. </w:t>
      </w:r>
      <w:hyperlink r:id="rId10" w:tgtFrame="_new" w:history="1">
        <w:r w:rsidRPr="0043591C">
          <w:rPr>
            <w:rStyle w:val="Hipervnculo"/>
            <w:rFonts w:eastAsiaTheme="majorEastAsia"/>
            <w:lang w:val="en-US"/>
          </w:rPr>
          <w:t>https://doi.org/10.1016/j.atmosenv.2025.121398</w:t>
        </w:r>
      </w:hyperlink>
    </w:p>
    <w:p w:rsidR="0043591C" w:rsidRPr="0043591C" w:rsidRDefault="0043591C" w:rsidP="0043591C">
      <w:pPr>
        <w:pStyle w:val="NormalWeb"/>
        <w:jc w:val="both"/>
        <w:rPr>
          <w:lang w:val="en-US"/>
        </w:rPr>
      </w:pPr>
      <w:r w:rsidRPr="00AF4E84">
        <w:t xml:space="preserve">Tagle, M., Rojas, F., Reyes, F., Vásquez, Y., </w:t>
      </w:r>
      <w:proofErr w:type="spellStart"/>
      <w:r w:rsidRPr="00AF4E84">
        <w:t>Hallgren</w:t>
      </w:r>
      <w:proofErr w:type="spellEnd"/>
      <w:r w:rsidRPr="00AF4E84">
        <w:t xml:space="preserve">, F., </w:t>
      </w:r>
      <w:proofErr w:type="spellStart"/>
      <w:r w:rsidRPr="00AF4E84">
        <w:t>Lindén</w:t>
      </w:r>
      <w:proofErr w:type="spellEnd"/>
      <w:r w:rsidRPr="00AF4E84">
        <w:t xml:space="preserve">, J., </w:t>
      </w:r>
      <w:proofErr w:type="spellStart"/>
      <w:r w:rsidRPr="00AF4E84">
        <w:t>Kolev</w:t>
      </w:r>
      <w:proofErr w:type="spellEnd"/>
      <w:r w:rsidRPr="00AF4E84">
        <w:t xml:space="preserve">, D., </w:t>
      </w:r>
      <w:proofErr w:type="spellStart"/>
      <w:r w:rsidRPr="00AF4E84">
        <w:t>Watne</w:t>
      </w:r>
      <w:proofErr w:type="spellEnd"/>
      <w:r w:rsidRPr="00AF4E84">
        <w:t xml:space="preserve">, Å. K., &amp; Oyola, P. (2020). </w:t>
      </w:r>
      <w:r w:rsidRPr="00B91B6A">
        <w:rPr>
          <w:lang w:val="en-US"/>
        </w:rPr>
        <w:t xml:space="preserve">Field performance of a low-cost sensor in the monitoring of particulate matter in Santiago, Chile. </w:t>
      </w:r>
      <w:r w:rsidRPr="0043591C">
        <w:rPr>
          <w:rStyle w:val="nfasis"/>
          <w:lang w:val="en-US"/>
        </w:rPr>
        <w:t>Environmental Monitoring and Assessment, 192</w:t>
      </w:r>
      <w:r w:rsidRPr="0043591C">
        <w:rPr>
          <w:lang w:val="en-US"/>
        </w:rPr>
        <w:t xml:space="preserve">, 171. </w:t>
      </w:r>
      <w:hyperlink r:id="rId11" w:tgtFrame="_new" w:history="1">
        <w:r w:rsidRPr="0043591C">
          <w:rPr>
            <w:rStyle w:val="Hipervnculo"/>
            <w:rFonts w:eastAsiaTheme="majorEastAsia"/>
            <w:lang w:val="en-US"/>
          </w:rPr>
          <w:t>https://doi.org/10.1007/s10661-020-8118-4</w:t>
        </w:r>
      </w:hyperlink>
    </w:p>
    <w:p w:rsidR="0043591C" w:rsidRPr="00B91B6A" w:rsidRDefault="0043591C" w:rsidP="0043591C">
      <w:pPr>
        <w:pStyle w:val="NormalWeb"/>
        <w:jc w:val="both"/>
        <w:rPr>
          <w:lang w:val="en-US"/>
        </w:rPr>
      </w:pPr>
      <w:bookmarkStart w:id="1" w:name="_Hlk213456317"/>
      <w:r w:rsidRPr="00B91B6A">
        <w:rPr>
          <w:lang w:val="en-US"/>
        </w:rPr>
        <w:t xml:space="preserve">Kar, A., Ahmed, M., May, A. A., &amp; Le, H. T. K. (2024). High </w:t>
      </w:r>
      <w:proofErr w:type="spellStart"/>
      <w:r w:rsidRPr="00B91B6A">
        <w:rPr>
          <w:lang w:val="en-US"/>
        </w:rPr>
        <w:t>spatio</w:t>
      </w:r>
      <w:proofErr w:type="spellEnd"/>
      <w:r w:rsidRPr="00B91B6A">
        <w:rPr>
          <w:lang w:val="en-US"/>
        </w:rPr>
        <w:t xml:space="preserve">-temporal resolution predictions of PM2.5 using low-cost sensor data. </w:t>
      </w:r>
      <w:r w:rsidRPr="00B91B6A">
        <w:rPr>
          <w:rStyle w:val="nfasis"/>
          <w:lang w:val="en-US"/>
        </w:rPr>
        <w:t>Atmospheric Environment, 326</w:t>
      </w:r>
      <w:r w:rsidRPr="00B91B6A">
        <w:rPr>
          <w:lang w:val="en-US"/>
        </w:rPr>
        <w:t xml:space="preserve">, 120486. </w:t>
      </w:r>
      <w:hyperlink r:id="rId12" w:tgtFrame="_new" w:history="1">
        <w:r w:rsidRPr="00B91B6A">
          <w:rPr>
            <w:rStyle w:val="Hipervnculo"/>
            <w:rFonts w:eastAsiaTheme="majorEastAsia"/>
            <w:lang w:val="en-US"/>
          </w:rPr>
          <w:t>https://doi.org/10.1016/j.atmosenv.2024.120486</w:t>
        </w:r>
      </w:hyperlink>
    </w:p>
    <w:bookmarkEnd w:id="1"/>
    <w:p w:rsidR="0043591C" w:rsidRPr="00B91B6A" w:rsidRDefault="0043591C" w:rsidP="00074B7F">
      <w:pPr>
        <w:pStyle w:val="NormalWeb"/>
        <w:jc w:val="both"/>
        <w:rPr>
          <w:lang w:val="en-US"/>
        </w:rPr>
      </w:pPr>
    </w:p>
    <w:p w:rsidR="00074B7F" w:rsidRPr="0043591C" w:rsidRDefault="00074B7F" w:rsidP="00074B7F">
      <w:pPr>
        <w:jc w:val="both"/>
        <w:rPr>
          <w:lang w:val="en-US"/>
        </w:rPr>
      </w:pPr>
    </w:p>
    <w:sectPr w:rsidR="00074B7F" w:rsidRPr="0043591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3579BA"/>
    <w:multiLevelType w:val="multilevel"/>
    <w:tmpl w:val="44281B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58F56AFC"/>
    <w:multiLevelType w:val="hybridMultilevel"/>
    <w:tmpl w:val="3D10D7D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94C"/>
    <w:rsid w:val="00074B7F"/>
    <w:rsid w:val="000803D1"/>
    <w:rsid w:val="002F1BA4"/>
    <w:rsid w:val="0043591C"/>
    <w:rsid w:val="0049494C"/>
    <w:rsid w:val="005279DF"/>
    <w:rsid w:val="005E0B9F"/>
    <w:rsid w:val="006E4D05"/>
    <w:rsid w:val="00733617"/>
    <w:rsid w:val="008F4C8E"/>
    <w:rsid w:val="009A3020"/>
    <w:rsid w:val="00AF4E84"/>
    <w:rsid w:val="00B322F9"/>
    <w:rsid w:val="00DF0B88"/>
    <w:rsid w:val="00F16E70"/>
    <w:rsid w:val="00FB5A2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1BE0"/>
  <w15:chartTrackingRefBased/>
  <w15:docId w15:val="{A833ECEB-C582-4216-85DB-EC5711532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B5A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9A302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5A2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2F1BA4"/>
    <w:pPr>
      <w:ind w:left="720"/>
      <w:contextualSpacing/>
    </w:pPr>
  </w:style>
  <w:style w:type="character" w:customStyle="1" w:styleId="Ttulo2Car">
    <w:name w:val="Título 2 Car"/>
    <w:basedOn w:val="Fuentedeprrafopredeter"/>
    <w:link w:val="Ttulo2"/>
    <w:uiPriority w:val="9"/>
    <w:rsid w:val="009A3020"/>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074B7F"/>
    <w:rPr>
      <w:i/>
      <w:iCs/>
    </w:rPr>
  </w:style>
  <w:style w:type="character" w:styleId="Hipervnculo">
    <w:name w:val="Hyperlink"/>
    <w:basedOn w:val="Fuentedeprrafopredeter"/>
    <w:uiPriority w:val="99"/>
    <w:semiHidden/>
    <w:unhideWhenUsed/>
    <w:rsid w:val="00074B7F"/>
    <w:rPr>
      <w:color w:val="0000FF"/>
      <w:u w:val="single"/>
    </w:rPr>
  </w:style>
  <w:style w:type="paragraph" w:styleId="NormalWeb">
    <w:name w:val="Normal (Web)"/>
    <w:basedOn w:val="Normal"/>
    <w:uiPriority w:val="99"/>
    <w:unhideWhenUsed/>
    <w:rsid w:val="00074B7F"/>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90/app12221131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uclim.2021.100906" TargetMode="External"/><Relationship Id="rId12" Type="http://schemas.openxmlformats.org/officeDocument/2006/relationships/hyperlink" Target="https://doi.org/10.1016/j.atmosenv.2024.12048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scitotenv.2024.171069" TargetMode="External"/><Relationship Id="rId11" Type="http://schemas.openxmlformats.org/officeDocument/2006/relationships/hyperlink" Target="https://doi.org/10.1007/s10661-020-8118-4" TargetMode="External"/><Relationship Id="rId5" Type="http://schemas.openxmlformats.org/officeDocument/2006/relationships/hyperlink" Target="https://doi.org/10.1016/j.atmosenv.2020.117293" TargetMode="External"/><Relationship Id="rId10" Type="http://schemas.openxmlformats.org/officeDocument/2006/relationships/hyperlink" Target="https://doi.org/10.1016/j.atmosenv.2025.121398" TargetMode="External"/><Relationship Id="rId4" Type="http://schemas.openxmlformats.org/officeDocument/2006/relationships/webSettings" Target="webSettings.xml"/><Relationship Id="rId9" Type="http://schemas.openxmlformats.org/officeDocument/2006/relationships/hyperlink" Target="https://doi.org/10.1080/01431161.2024.2373338"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451</TotalTime>
  <Pages>4</Pages>
  <Words>1351</Words>
  <Characters>7433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 Pedroso Noris</dc:creator>
  <cp:keywords/>
  <dc:description/>
  <cp:lastModifiedBy>Lenna Pedroso Noris</cp:lastModifiedBy>
  <cp:revision>6</cp:revision>
  <dcterms:created xsi:type="dcterms:W3CDTF">2025-11-23T17:44:00Z</dcterms:created>
  <dcterms:modified xsi:type="dcterms:W3CDTF">2025-11-27T20:48:00Z</dcterms:modified>
</cp:coreProperties>
</file>