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Beslisboom – Nieuwe Stadsbrug Kralingen–Zuid</w:t>
      </w:r>
    </w:p>
    <w:p>
      <w:r>
        <w:t>Deze beslisboom is een analytisch instrument. Geen ontwerpkeuzes, geen voorkeursscenario’s, maar een gestructureerde manier om consequenties zichtbaar te maken bij cruciale beslismomenten. Doel: voorkomen dat technische, sociale en bestuurlijke risico’s pas laat expliciet worden.</w:t>
      </w:r>
    </w:p>
    <w:p>
      <w:pPr>
        <w:pStyle w:val="Heading2"/>
      </w:pPr>
      <w:r>
        <w:t>STARTPUNT</w:t>
      </w:r>
    </w:p>
    <w:p>
      <w:r>
        <w:t>Is de brug primair een MOBILITEITSOPLOSSING of een STADSMEDEDELING (publieke ruimte)?</w:t>
      </w:r>
    </w:p>
    <w:p>
      <w:pPr>
        <w:pStyle w:val="Heading2"/>
      </w:pPr>
      <w:r>
        <w:t>A. Indien primair mobiliteitsoplossing</w:t>
      </w:r>
    </w:p>
    <w:p>
      <w:r>
        <w:t>→ Focus op doorstroming, capaciteit en reistijd.</w:t>
        <w:br/>
        <w:t>Beslisvraag A1: Kan dit zonder significante toename van sociale en ecologische druk?</w:t>
        <w:br/>
        <w:t>- Nee → Hoog risico op weerstand en reputatieschade.</w:t>
        <w:br/>
        <w:t>- Ja → Ga naar A2.</w:t>
      </w:r>
    </w:p>
    <w:p>
      <w:r>
        <w:t>Beslisvraag A2: Is de constructie technisch robuust bij maximale belasting en minimale esthetische ruimte?</w:t>
        <w:br/>
        <w:t>- Nee → Ontwerpcomplexiteit stijgt exponentieel.</w:t>
        <w:br/>
        <w:t>- Ja → Project technisch haalbaar, sociaal kwetsbaar.</w:t>
      </w:r>
    </w:p>
    <w:p>
      <w:pPr>
        <w:pStyle w:val="Heading2"/>
      </w:pPr>
      <w:r>
        <w:t>B. Indien primair stadsmededeling / publieke ruimte</w:t>
      </w:r>
    </w:p>
    <w:p>
      <w:r>
        <w:t>→ Focus op verblijfskwaliteit, identiteit en symboliek.</w:t>
        <w:br/>
        <w:t>Beslisvraag B1: Is langdurig beheer en onderhoud bestuurlijk geborgd?</w:t>
        <w:br/>
        <w:t>- Nee → Hoog risico op verval en publieke teleurstelling.</w:t>
        <w:br/>
        <w:t>- Ja → Ga naar B2.</w:t>
      </w:r>
    </w:p>
    <w:p>
      <w:r>
        <w:t>Beslisvraag B2: Is sociale veiligheid integraal onderdeel van het ontwerp en beheer?</w:t>
        <w:br/>
        <w:t>- Nee → Perceptie van onveiligheid ondermijnt draagvlak.</w:t>
        <w:br/>
        <w:t>- Ja → Project sociaal kansrijk, technisch complex.</w:t>
      </w:r>
    </w:p>
    <w:p>
      <w:pPr>
        <w:pStyle w:val="Heading2"/>
      </w:pPr>
      <w:r>
        <w:t>C. Kruispuntbeslissingen (onvermijdelijk)</w:t>
      </w:r>
    </w:p>
    <w:p>
      <w:r>
        <w:t>C1: Wordt participatie gebruikt als legitimering of als richtinggevend mechanisme?</w:t>
        <w:br/>
        <w:t>- Legitimering → Juridische en maatschappelijke vertraging waarschijnlijk.</w:t>
        <w:br/>
        <w:t>- Richtinggevend → Proces trager, maar stabieler.</w:t>
      </w:r>
    </w:p>
    <w:p>
      <w:r>
        <w:t>C2: Wordt adaptiviteit (toekomstige aanpassing) expliciet meegenomen?</w:t>
        <w:br/>
        <w:t>- Nee → Brug veroudert functioneel sneller dan technisch.</w:t>
        <w:br/>
        <w:t>- Ja → Hogere initiële kosten, lagere systeemrisico’s.</w:t>
      </w:r>
    </w:p>
    <w:p>
      <w:pPr>
        <w:pStyle w:val="Heading2"/>
      </w:pPr>
      <w:r>
        <w:t>EINDOBSERVATIE</w:t>
      </w:r>
    </w:p>
    <w:p>
      <w:r>
        <w:t>Elke keuze reduceert één risico en vergroot een ander. De beslisboom maakt zichtbaar waar spanning bewust wordt geaccepteerd en waar zij onbedoeld ontstaat.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