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Ecologische Risico-Heatmap – Nieuwe Stadsbrug Kralingen–Zuid</w:t>
      </w:r>
    </w:p>
    <w:p>
      <w:r>
        <w:t>Dit document bevat een ecologische risico-heatmap. Het doel is het detecteren van ecologische spanningsvelden en kwetsbaarheden rondom de aanleg en exploitatie van de nieuwe stadsbrug. Geen mitigatievoorstellen, uitsluitend observatie.</w:t>
      </w:r>
    </w:p>
    <w:p>
      <w:pPr>
        <w:pStyle w:val="Heading2"/>
      </w:pPr>
      <w:r>
        <w:t>1. Verstoring van Rivier- en Oeverecologie – Hoog risico</w:t>
      </w:r>
    </w:p>
    <w:p>
      <w:r>
        <w:t>Bouwactiviteiten en permanente schaduwwerking beïnvloeden habitats van vissen, macrofauna en oevervegetatie.</w:t>
      </w:r>
    </w:p>
    <w:p>
      <w:pPr>
        <w:pStyle w:val="Heading2"/>
      </w:pPr>
      <w:r>
        <w:t>2. Biodiversiteit in de Eschpolder – Hoog risico</w:t>
      </w:r>
    </w:p>
    <w:p>
      <w:r>
        <w:t>De Eschpolder kent een hoge ecologische waarde. Fragmentatie en verstoring kunnen leiden tot verlies van soorten.</w:t>
      </w:r>
    </w:p>
    <w:p>
      <w:pPr>
        <w:pStyle w:val="Heading2"/>
      </w:pPr>
      <w:r>
        <w:t>3. Licht- en Geluidshinder – Middelmatig tot hoog risico</w:t>
      </w:r>
    </w:p>
    <w:p>
      <w:r>
        <w:t>Nachtelijke verlichting en verkeersgeluid beïnvloeden vogels, vleermuizen en insecten.</w:t>
      </w:r>
    </w:p>
    <w:p>
      <w:pPr>
        <w:pStyle w:val="Heading2"/>
      </w:pPr>
      <w:r>
        <w:t>4. Waterkwaliteit – Middelmatig risico</w:t>
      </w:r>
    </w:p>
    <w:p>
      <w:r>
        <w:t>Bouw, onderhoud en afspoeling kunnen leiden tot tijdelijke of structurele verslechtering van waterkwaliteit.</w:t>
      </w:r>
    </w:p>
    <w:p>
      <w:pPr>
        <w:pStyle w:val="Heading2"/>
      </w:pPr>
      <w:r>
        <w:t>5. Klimaatadaptieve Functies – Middelmatig risico</w:t>
      </w:r>
    </w:p>
    <w:p>
      <w:r>
        <w:t>Verlies van groen en waterbufferend vermogen kan de klimaatbestendigheid van het gebied verminderen.</w:t>
      </w:r>
    </w:p>
    <w:p>
      <w:pPr>
        <w:pStyle w:val="Heading2"/>
      </w:pPr>
      <w:r>
        <w:t>Samenvattende Observatie</w:t>
      </w:r>
    </w:p>
    <w:p>
      <w:r>
        <w:t>Ecologische risico’s zijn grotendeels cumulatief en manifesteren zich op middellange tot lange termijn. Juist indirecte effecten vragen structurele aandacht.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