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Integrale Analyse &amp; Knelpuntenoverzicht</w:t>
        <w:br/>
        <w:t>Nieuwe Stadsbrug Kralingen–Zuid</w:t>
      </w:r>
    </w:p>
    <w:p>
      <w:r>
        <w:t>Dit document bundelt alle uitgevoerde detectieve analyses rondom de nieuwe stadsbrug Kralingen–Zuid. Het betreft een samenhangend overzicht van sociale, technische, ecologische en bestuurlijke risico’s, aangevuld met een beslisboom. Het doel is inzicht en scherpte — geen ontwerpkeuzes of voorkeursvariant.</w:t>
      </w:r>
    </w:p>
    <w:p>
      <w:pPr>
        <w:pStyle w:val="Heading2"/>
      </w:pPr>
      <w:r>
        <w:t>1. Gebundelde Analyse (Overzicht)</w:t>
      </w:r>
    </w:p>
    <w:p>
      <w:r>
        <w:t>De analyses tonen aan dat de complexiteit van de stadsbrug niet primair technisch van aard is, maar systeem-breed. De grootste kwetsbaarheden ontstaan waar domeinen elkaar raken: techniek ↔ samenleving, ecologie ↔ governance, mobiliteit ↔ identiteit.</w:t>
      </w:r>
    </w:p>
    <w:p>
      <w:pPr>
        <w:pStyle w:val="Heading2"/>
      </w:pPr>
      <w:r>
        <w:t>2. Hoofdknelpunten</w:t>
      </w:r>
    </w:p>
    <w:p>
      <w:r>
        <w:t>1. Relationeel draagvlak</w:t>
        <w:br/>
        <w:t xml:space="preserve">   De brug dreigt fysiek te verbinden zonder sociaal eigenaarschap.</w:t>
        <w:br/>
        <w:br/>
        <w:t>2. Veiligheidsperceptie</w:t>
        <w:br/>
        <w:t xml:space="preserve">   Subjectieve onveiligheid kan draagvlak ondermijnen, los van objectieve cijfers.</w:t>
        <w:br/>
        <w:br/>
        <w:t>3. Technische systeemovergangen</w:t>
        <w:br/>
        <w:t xml:space="preserve">   Fundering, dynamica en modal mix versterken elkaar in faalrisico.</w:t>
        <w:br/>
        <w:br/>
        <w:t>4. Ecologische cumulatie</w:t>
        <w:br/>
        <w:t xml:space="preserve">   Langzame, stapelende effecten vormen een onderschat risico.</w:t>
        <w:br/>
        <w:br/>
        <w:t>5. Governance-frictie</w:t>
        <w:br/>
        <w:t xml:space="preserve">   Versnipperde verantwoordelijkheden vergroten vertraging en juridisering.</w:t>
      </w:r>
    </w:p>
    <w:p>
      <w:pPr>
        <w:pStyle w:val="Heading2"/>
      </w:pPr>
      <w:r>
        <w:t>3. Eindconclusie</w:t>
      </w:r>
    </w:p>
    <w:p>
      <w:r>
        <w:t>De nieuwe stadsbrug is geen enkelvoudig infrastructuurproject, maar een sociaal-technisch systeem. Falend risicomanagement zal zich niet uiten in instorting, maar in verlies aan legitimiteit.</w:t>
      </w:r>
    </w:p>
    <w:p>
      <w:pPr>
        <w:pStyle w:val="Heading2"/>
      </w:pPr>
      <w:r>
        <w:t>4. Advies (niet-prescriptief)</w:t>
      </w:r>
    </w:p>
    <w:p>
      <w:r>
        <w:t>• Maak expliciet welke risico’s bewust worden geaccepteerd.</w:t>
        <w:br/>
        <w:t>• Gebruik participatie als richtinggevend instrument.</w:t>
        <w:br/>
        <w:t>• Behandel veiligheid als zowel perceptie als realiteit.</w:t>
        <w:br/>
        <w:t>• Ontwerp adaptief en bestuur met onzekerheid.</w:t>
        <w:br/>
        <w:t>• Beperk narratieve overbelasting.</w:t>
      </w:r>
    </w:p>
    <w:p>
      <w:pPr>
        <w:pStyle w:val="Heading2"/>
      </w:pPr>
      <w:r>
        <w:t>Slotopmerking</w:t>
      </w:r>
    </w:p>
    <w:p>
      <w:r>
        <w:t>Dit document is bedoeld als reflectiestuk voor besluitvormers en projectleiding. Het functioneert het best zonder presentatiecontext.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