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Sociale Risico-Heatmap – Nieuwe Stadsbrug Kralingen–Zuid</w:t>
      </w:r>
    </w:p>
    <w:p>
      <w:r>
        <w:t>Dit document bevat een sociale risico-analyse opgesteld vanuit observatie en patroonherkenning. Het betreft geen ontwerpvoorstel en geen beleidsadvies, maar een detectieve heatmap van mogelijke spanningsvelden rond de ontwikkeling van de nieuwe stadsbrug.</w:t>
      </w:r>
    </w:p>
    <w:p>
      <w:pPr>
        <w:pStyle w:val="Heading2"/>
      </w:pPr>
      <w:r>
        <w:t>1. Ongelijk Verdeeld Nadeel (Sociale Lasten) – Hoog risico</w:t>
      </w:r>
    </w:p>
    <w:p>
      <w:r>
        <w:t>Er is een structureel spanningsveld tussen Kralingen (kapitaalkrachtig, hoogopgeleid) en Rotterdam-Zuid (divers, sociaal-economisch kwetsbaarder). De brug kan worden ervaren als doorvoerobject in plaats van gemeenschapsinfrastructuur, wat kan leiden tot gevoelens van ongelijkheid en politieke weerstand.</w:t>
      </w:r>
    </w:p>
    <w:p>
      <w:pPr>
        <w:pStyle w:val="Heading2"/>
      </w:pPr>
      <w:r>
        <w:t>2. Verlies van Lokale Identiteit &amp; Rust – Middelmatig risico</w:t>
      </w:r>
    </w:p>
    <w:p>
      <w:r>
        <w:t>De Esch kent een groene, rustige en historisch gelaagde identiteit. De schaal en impact van een brug kan worden ervaren als een inbreuk, wat kan leiden tot emotionele vervreemding en langdurige weerstand.</w:t>
      </w:r>
    </w:p>
    <w:p>
      <w:pPr>
        <w:pStyle w:val="Heading2"/>
      </w:pPr>
      <w:r>
        <w:t>3. Sociale Onveiligheidsperceptie – Hoog risico</w:t>
      </w:r>
    </w:p>
    <w:p>
      <w:r>
        <w:t>Bruggen fungeren als sociale katalysatoren. De toename van beweging en onbekende groepen kan leiden tot een groeiende perceptie van onveiligheid, ook wanneer objectieve cijfers dit niet ondersteunen.</w:t>
      </w:r>
    </w:p>
    <w:p>
      <w:pPr>
        <w:pStyle w:val="Heading2"/>
      </w:pPr>
      <w:r>
        <w:t>4. Gebrek aan Eigenaarschap – Hoog risico</w:t>
      </w:r>
    </w:p>
    <w:p>
      <w:r>
        <w:t>Wanneer bewoners zich geïnformeerd maar niet werkelijk betrokken voelen, ontstaat vervreemding. De brug wordt dan gezien als ‘van de gemeente’ in plaats van ‘van de stad’.</w:t>
      </w:r>
    </w:p>
    <w:p>
      <w:pPr>
        <w:pStyle w:val="Heading2"/>
      </w:pPr>
      <w:r>
        <w:t>5. Tijdelijke Overlast, Permanente Wrok – Middelmatig risico</w:t>
      </w:r>
    </w:p>
    <w:p>
      <w:r>
        <w:t>Langdurige bouwfase en zichtbare overlast kunnen leiden tot blijvende negatieve associaties, zelfs wanneer het eindresultaat kwalitatief hoog is.</w:t>
      </w:r>
    </w:p>
    <w:p>
      <w:pPr>
        <w:pStyle w:val="Heading2"/>
      </w:pPr>
      <w:r>
        <w:t>6. Symbolische Overbelasting van de Brug – Middelmatig risico</w:t>
      </w:r>
    </w:p>
    <w:p>
      <w:r>
        <w:t>Wanneer de brug narratief wordt gepositioneerd als oplossing voor brede maatschappelijke vraagstukken, ontstaat een risico op teleurstelling en symbolisch falen.</w:t>
      </w:r>
    </w:p>
    <w:p>
      <w:pPr>
        <w:pStyle w:val="Heading2"/>
      </w:pPr>
      <w:r>
        <w:t>Samenvattende Observatie</w:t>
      </w:r>
    </w:p>
    <w:p>
      <w:r>
        <w:t>Het grootste risico is relationeel van aard: een infrastructuur die fysiek verbindt, maar sociaal niet wordt gedragen. Zonder expliciet oog voor eigenaarschap, veiligheid en gelijkwaardigheid kan de brug uitgroeien tot een blijvend spanningspunt in plaats van een verbindend element.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