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Technische Risico-Heatmap – Nieuwe Stadsbrug Kralingen–Zuid</w:t>
      </w:r>
    </w:p>
    <w:p>
      <w:r>
        <w:t>Dit document beschrijft een technische risico-heatmap voor de nieuwe stadsbrug Kralingen–Zuid. Het betreft een integrale observatie van technische spanningsvelden en systeemrisico’s. Geen ontwerp, geen voorkeursvariant, maar detectie van kwetsbaarheden over alle technische facetten heen.</w:t>
      </w:r>
    </w:p>
    <w:p>
      <w:pPr>
        <w:pStyle w:val="Heading2"/>
      </w:pPr>
      <w:r>
        <w:t>1. Constructieve Complexiteit &amp; Overspanning – Hoog risico</w:t>
      </w:r>
    </w:p>
    <w:p>
      <w:r>
        <w:t>De vereiste overspanning over de Nieuwe Maas vraagt om zware constructieve oplossingen. Combinaties van lengte, slankheid en dynamische belasting vergroten het risico op doorbuiging, vermoeiing en ontwerpgevoeligheid.</w:t>
      </w:r>
    </w:p>
    <w:p>
      <w:pPr>
        <w:pStyle w:val="Heading2"/>
      </w:pPr>
      <w:r>
        <w:t>2. Fundering &amp; Ondergrond – Hoog risico</w:t>
      </w:r>
    </w:p>
    <w:p>
      <w:r>
        <w:t>De ondergrond bestaat uit slappe veen- en kleilagen met variabele draagkracht. Zettingen, paalinteractie en ongelijkmatige belasting vormen structurele onzekerheden, met langdurige monitoring als vereiste.</w:t>
      </w:r>
    </w:p>
    <w:p>
      <w:pPr>
        <w:pStyle w:val="Heading2"/>
      </w:pPr>
      <w:r>
        <w:t>3. Wind, Trillingen &amp; Aero-elasticiteit – Hoog risico</w:t>
      </w:r>
    </w:p>
    <w:p>
      <w:r>
        <w:t>Lange bruggen zijn gevoelig voor windgeïnduceerde trillingen. Onvoldoende aandacht voor aero-elastisch gedrag kan leiden tot comfortproblemen, geluidsproductie of structurele schade.</w:t>
      </w:r>
    </w:p>
    <w:p>
      <w:pPr>
        <w:pStyle w:val="Heading2"/>
      </w:pPr>
      <w:r>
        <w:t>4. Verkeersbelasting &amp; Modal Mix – Middelmatig tot hoog risico</w:t>
      </w:r>
    </w:p>
    <w:p>
      <w:r>
        <w:t>De combinatie van OV, fietsers, voetgangers en mogelijk autoverkeer leidt tot complexe belastingpatronen. Pieken, remkrachten en asymmetrische belasting verhogen ontwerpcomplexiteit.</w:t>
      </w:r>
    </w:p>
    <w:p>
      <w:pPr>
        <w:pStyle w:val="Heading2"/>
      </w:pPr>
      <w:r>
        <w:t>5. Bouwfasering &amp; Maakbaarheid – Hoog risico</w:t>
      </w:r>
    </w:p>
    <w:p>
      <w:r>
        <w:t>Bouwen boven water en in een druk stedelijk netwerk brengt logistieke, veiligheids- en planningsrisico’s met zich mee. Fasering beïnvloedt zowel kosten als omgevingshinder.</w:t>
      </w:r>
    </w:p>
    <w:p>
      <w:pPr>
        <w:pStyle w:val="Heading2"/>
      </w:pPr>
      <w:r>
        <w:t>6. Onderhoud &amp; Levensduur – Middelmatig risico</w:t>
      </w:r>
    </w:p>
    <w:p>
      <w:r>
        <w:t>Materialisatie, detaillering en bereikbaarheid bepalen onderhoudsfrequentie. Onvoldoende onderhoudsstrategie kan leiden tot versnelde degradatie en hoge lifecyclekosten.</w:t>
      </w:r>
    </w:p>
    <w:p>
      <w:pPr>
        <w:pStyle w:val="Heading2"/>
      </w:pPr>
      <w:r>
        <w:t>7. Integratie met Bestaande Infrastructuur – Middelmatig risico</w:t>
      </w:r>
    </w:p>
    <w:p>
      <w:r>
        <w:t>Aansluitingen op wegen, OV-netwerken en fietsstructuren vormen technische knooppunten. Fouten hier leiden tot functionele beperkingen en latere aanpassingen.</w:t>
      </w:r>
    </w:p>
    <w:p>
      <w:pPr>
        <w:pStyle w:val="Heading2"/>
      </w:pPr>
      <w:r>
        <w:t>8. Klimaatadaptatie &amp; Waterbeheer – Middelmatig risico</w:t>
      </w:r>
    </w:p>
    <w:p>
      <w:r>
        <w:t>Stijgende waterstanden, temperatuurverschillen en extreme weersomstandigheden beïnvloeden ontwerpcriteria. Ontbrekende adaptieve maatregelen vergroten faalkans op lange termijn.</w:t>
      </w:r>
    </w:p>
    <w:p>
      <w:pPr>
        <w:pStyle w:val="Heading2"/>
      </w:pPr>
      <w:r>
        <w:t>9. Veiligheid tijdens Exploitatie – Middelmatig risico</w:t>
      </w:r>
    </w:p>
    <w:p>
      <w:r>
        <w:t>Valbeveiliging, aanrijdbeveiliging en calamiteitenafhandeling vragen geïntegreerde oplossingen. Fragmentatie tussen disciplines vergroot operationeel risico.</w:t>
      </w:r>
    </w:p>
    <w:p>
      <w:pPr>
        <w:pStyle w:val="Heading2"/>
      </w:pPr>
      <w:r>
        <w:t>10. Systeemintegratie &amp; Slimme Techniek – Laag tot middelmatig risico</w:t>
      </w:r>
    </w:p>
    <w:p>
      <w:r>
        <w:t>Sensoren, monitoring en slimme systemen bieden kansen, maar verhogen ook complexiteit. Afhankelijkheid van digitale systemen vereist robuuste fallback-mechanismen.</w:t>
      </w:r>
    </w:p>
    <w:p>
      <w:pPr>
        <w:pStyle w:val="Heading2"/>
      </w:pPr>
      <w:r>
        <w:t>Samenvattende Observatie</w:t>
      </w:r>
    </w:p>
    <w:p>
      <w:r>
        <w:t>De technische kernrisico’s liggen niet in één discipline, maar in de interactie tussen constructie, ondergrond, dynamica en gebruik. Juist systeemovergangen en langdurige onzekerheden vragen expliciete aandacht.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