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ORFHEUSS</w:t>
      </w:r>
    </w:p>
    <w:p>
      <w:pPr>
        <w:spacing w:after="100"/>
        <w:jc w:val="center"/>
      </w:pPr>
      <w:r>
        <w:rPr>
          <w:rFonts w:ascii="Arial" w:cs="Arial" w:eastAsia="Arial" w:hAnsi="Arial"/>
          <w:color w:val="2E4057"/>
          <w:sz w:val="36"/>
          <w:szCs w:val="36"/>
        </w:rPr>
        <w:t xml:space="preserve">Full Architecture Bundle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Single-Model Limiting Architecture Framework</w:t>
      </w:r>
    </w:p>
    <w:p>
      <w:pPr>
        <w:pBdr>
          <w:bottom w:val="single" w:color="BBBBBB" w:sz="2" w:space="1"/>
        </w:pBdr>
        <w:spacing w:before="200"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Daylight &amp; Nocturne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inclusief PRSYS Runtime, Formal Definitions en State Machine Specification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Status: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Architectuurdocument onder Editio 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Datum: februari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Steward: Sander Lenselink (Founder)</w:t>
      </w:r>
    </w:p>
    <w:p>
      <w:pPr>
        <w:spacing w:after="80"/>
      </w:pPr>
    </w:p>
    <w:p>
      <w:pPr>
        <w:spacing w:before="1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© ORFHEUSS — Intellectueel Eigendom. Alle rechten voorbehouden.</w:t>
      </w:r>
    </w:p>
    <w:p>
      <w:r>
        <w:br w:type="page"/>
      </w:r>
    </w:p>
    <w:p>
      <w:pPr>
        <w:pStyle w:val="Heading1"/>
      </w:pPr>
      <w:r>
        <w:t xml:space="preserve">Document Status &amp; Scope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Classificatie: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Dit is een architectuurdocument, geen canoniek document. Het opereert </w:t>
      </w: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onder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de Gecombineerde Codex Editio I, niet ernaast of erboven. De canon blijft onveranderlijk; wijzigingen uitsluitend via formele Editio-procedure.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Verhouding tot Editio 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Waar dit document architecturele keuzes maakt, zijn die keuzes afgeleid van en traceerbaar naar Editio I. Niets in dit document wijzigt axioma’s, formules, atelier-mandaten of canonieke grenzen.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Vertaalprotocol: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Dit document introduceert een externe, functionele terminologie voor communicatie met universiteiten, implementatiepartners en technische stakeholders. De interne canonieke namen (Cerberus, Hermes, Arachne, etc.) blijven geldig en onveranderd. De mapping-tabel in sectie I.5 is een vertaalsleutel, geen vervanging. Intern opereren wij op de canonieke namen; extern op de functionele termen.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Reikwijdte: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Daylight (bestuurlijke uitleg), Nocturne (formele specificatie), PRSYS Runtime, Formal Definitions Appendix, en State Machine Specification.</w:t>
      </w:r>
    </w:p>
    <w:p>
      <w:pPr>
        <w:pBdr>
          <w:bottom w:val="single" w:color="BBBBBB" w:sz="2" w:space="1"/>
        </w:pBdr>
        <w:spacing w:before="200" w:after="200"/>
      </w:pPr>
    </w:p>
    <w:p>
      <w:r>
        <w:br w:type="page"/>
      </w:r>
    </w:p>
    <w:p>
      <w:pPr>
        <w:pStyle w:val="Heading1"/>
      </w:pPr>
      <w:r>
        <w:t xml:space="preserve">PART I — DAYLIGHT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Bestuurlijke, institutionele en implementatie-vriendelijke uitleg. ORFHEUSS gepresenteerd als limiting architecture framework: begrenzing, routing en audit vóórdat AI-output landt.</w:t>
      </w:r>
    </w:p>
    <w:p>
      <w:pPr>
        <w:spacing w:after="80"/>
      </w:pPr>
    </w:p>
    <w:p>
      <w:pPr>
        <w:pStyle w:val="Heading2"/>
      </w:pPr>
      <w:r>
        <w:t xml:space="preserve">1. Definitie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ORFHEUSS is een limiting architecture framework voor AI-systemen die beslissingen beïnvloeden. Het is geen model, geen methode en geen compliance-checklist. Het is een begrenzende orde die vóór output werkt.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Mandaatcontrole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vóór uitvoer — mag dit, door wie, in welke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Draagkrachtbewaking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kan dit door een mens of team gedragen worden, zonder overschrijding.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Coherentie-monitoring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signaleert semantische drift en samenhangbreuk.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Deterministische handhaving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(geen ML) via orchestration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Audit-traceerbaarheid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elke gate-beslissing is herleidbaar.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Escalatie naar mens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als default bij twijfel.</w:t>
      </w:r>
    </w:p>
    <w:p>
      <w:pPr>
        <w:spacing w:after="80"/>
      </w:pPr>
    </w:p>
    <w:p>
      <w:pPr>
        <w:pStyle w:val="Heading2"/>
      </w:pPr>
      <w:r>
        <w:t xml:space="preserve">2. Het probleem dat ORFHEUSS oplost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Instruction-based governance (alleen prompts) is structureel onvoldoende als afdwingmechanisme. LLM’s optimaliseren behulpzaamheid; mandaatdiscipline wordt daardoor onbetrouwbaar. Empirische cross-model testing (Claude, Gemini, ChatGPT, Mistral) bevestigt: geen enkel model kan betrouwbaar weigeren op basis van een prompt alleen.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ORFHEUSS verplaatst governance van modelgedrag naar systeemarchitectuur: regels in code, versioned canon, expliciete gates.</w:t>
      </w:r>
    </w:p>
    <w:p>
      <w:pPr>
        <w:spacing w:after="80"/>
      </w:pPr>
    </w:p>
    <w:p>
      <w:pPr>
        <w:pStyle w:val="Heading2"/>
      </w:pPr>
      <w:r>
        <w:t xml:space="preserve">3. Vier-lagen architectuur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Laag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Naam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Functie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Canon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 normatieve kern: axioma’s, formules, definities van geldigheid en ongeldigheid. Wijzigt alleen via Editio-procedure.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Orchestration (TaoGate)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Deterministische gate-engine: mandate registry, boundary rules, routing, escalation, audit. Cerberus-in-code.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Functional Modules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+ validators. Functies, geen persona’s: Observation, Structuring, Transmission, Closure + cross-cutting components.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Layer 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Model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LLM of tool die output genereert. Geen normatieve autoriteit; wordt begrensd door Layer 1.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Hogere lagen overschrijven lagere lagen, nooit andersom.</w:t>
      </w:r>
    </w:p>
    <w:p>
      <w:pPr>
        <w:spacing w:after="80"/>
      </w:pPr>
    </w:p>
    <w:p>
      <w:pPr>
        <w:pStyle w:val="Heading2"/>
      </w:pPr>
      <w:r>
        <w:t xml:space="preserve">4. PRSYS binnen ORFHEUSS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PRSYS is de runtime-architectuur die ORFHEUSS operationaliseert. ORFHEUSS is het framework (begrenzende orde); PRSYS is de implementatie (routing, connecties, data, tooling) die binnen de canon opereert.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ORFHEUSS bepaalt: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wat is geldig, wat mag, wat is begrensd.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PRSYS bepaalt: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hoe requests bewegen, welke module/tool wordt aangesproken, hoe data wordt opgehaald, hoe output wordt gevalideerd.</w:t>
      </w:r>
    </w:p>
    <w:p>
      <w:pPr>
        <w:spacing w:after="80"/>
      </w:pPr>
    </w:p>
    <w:p>
      <w:pPr>
        <w:pStyle w:val="Heading2"/>
      </w:pPr>
      <w:r>
        <w:t xml:space="preserve">5. Modules en validators (vertaalprotocol)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 onderstaande tabel is een vertaalsleutel tussen interne canonieke namen (Editio I) en externe functionele termen. De interne namen blijven geldig; de externe termen zijn voor communicatie met derden.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300"/>
        <w:gridCol w:w="1700"/>
        <w:gridCol w:w="2726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 (Editio I)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 (functioneel)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Positie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Kernfunctie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Argos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Observation Module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module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stap 1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 en signalen verzamelen; geen richting/advies.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Arachne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Coherence Monitor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 + formeel na stap 1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Samenhang bewaken; drift signaleren. Geen blokkademacht, wel escalatiemacht.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Logos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Structuring Module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module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stap 2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Beslisbaar maken zonder te bepalen; structuur zonder sturing.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Hermes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Transmission Module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module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stap 3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Overdracht naar ontvanger zonder framing of verleiding.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Closure Module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module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 stap 4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Afronding, documentatie, stewardship/exit borgen.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Hypatia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Ethics &amp; Mandate Validator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Lateral validator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Aanroepbaar overal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Mandaat/ethiek-toets; kan blokkeren of escaleren.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Phrōnēsis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Capacity Validator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Lateral validator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Aanroepbaar overal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Draagkracht-toets; kan onderbreken of escaleren.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Cerberus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Boundary Engine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Parallel enforcement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Altijd actief (Layer 1)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Absoluut stoprecht; deterministische blokkade.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Barbatos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 Reality Check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On-demand validator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Alleen bij trigger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Externe realiteitstoets; tijdelijk, feitelijk, begrensd.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N.B. Arachne opereert zowel sequentieel (formeel na Observation, vóór Structuring) als continu (meelezend door de gehele pipeline). Conform Editio-Notitie EN-2026-001.</w:t>
      </w:r>
    </w:p>
    <w:p>
      <w:pPr>
        <w:spacing w:after="80"/>
      </w:pPr>
    </w:p>
    <w:p>
      <w:pPr>
        <w:pStyle w:val="Heading2"/>
      </w:pPr>
      <w:r>
        <w:t xml:space="preserve">6. Data-architectuur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ORFHEUSS ondersteunt twee paden, met strikte scheiding: data ontsluit kennis; TaoGate handhaaft mandaat en grens.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Agent aansluiten: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alle tool/LLM-calls lopen door TaoGate (pre-gate en post-gate).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Datasets ontsluiten: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via RAG/search-index (kennislaag), zonder governance-claim op de data zelf.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Beste praktijk: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combineer beide (RAG + TaoGate) zodat kennis beschikbaar is maar output begrensd blijft.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Canon-teksten zijn read-only in RAG. Post-gate controleert op verboden interpretatie of instrumentalisering van canon-excerpts. Classificatie van canon-safe retrieval is een open ML-classificatieprobleem dat verder onderzoek vereist.</w:t>
      </w:r>
    </w:p>
    <w:p>
      <w:pPr>
        <w:spacing w:after="80"/>
      </w:pPr>
    </w:p>
    <w:p>
      <w:pPr>
        <w:pStyle w:val="Heading2"/>
      </w:pPr>
      <w:r>
        <w:t xml:space="preserve">7. Wijzigingsregime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Nieuwe lagen ontstaan niet ad hoc. Ze ontstaan canoniek (Editio) en worden daarna vertaald naar architectuur en code. Dit is driftpreventie: de canon beweegt eerst, de architectuur volgt, de code implementeert. Nooit omgekeerd.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PART II — NOCTURNE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Formele specificatie. Technische en governance-logica. Implementatiegericht en traceerbaar naar canon en regels.</w:t>
      </w:r>
    </w:p>
    <w:p>
      <w:pPr>
        <w:spacing w:after="80"/>
      </w:pPr>
    </w:p>
    <w:p>
      <w:pPr>
        <w:pStyle w:val="Heading2"/>
      </w:pPr>
      <w:r>
        <w:t xml:space="preserve">1. Canon Governance Protocol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ORFHEUSS evolueert via drie routes. De route is casusafhankelijk; legitimiteit volgt de route.</w:t>
      </w:r>
    </w:p>
    <w:p>
      <w:pPr>
        <w:pStyle w:val="Heading3"/>
      </w:pPr>
      <w:r>
        <w:t xml:space="preserve">1.1 Horizontale uitbreiding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Nieuwe module/validator binnen bestaande axioma’s. TaoGate-regels en audit worden uitgebreid. Geen canonwijziging.</w:t>
      </w:r>
    </w:p>
    <w:p>
      <w:pPr>
        <w:pStyle w:val="Heading3"/>
      </w:pPr>
      <w:r>
        <w:t xml:space="preserve">1.2 Verticale verdieping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Canon-aanpassing vereist (axioma/formule/geldigheidsdefinitie). Formele Editio-upgrade + impactanalyse op alle lagen. Zeldzaam en expliciet.</w:t>
      </w:r>
    </w:p>
    <w:p>
      <w:pPr>
        <w:pStyle w:val="Heading3"/>
      </w:pPr>
      <w:r>
        <w:t xml:space="preserve">1.3 Hybride beweging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Canon eerst aanpassen, daarna module toevoegen, daarna TaoGate sync. Nooit omgekeerd.</w:t>
      </w:r>
    </w:p>
    <w:p>
      <w:pPr>
        <w:spacing w:after="80"/>
      </w:pPr>
    </w:p>
    <w:p>
      <w:pPr>
        <w:pStyle w:val="Heading2"/>
      </w:pPr>
      <w:r>
        <w:t xml:space="preserve">2. Layer 1 — TaoGate specificatie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TaoGate is deterministisch (geen ML). Elke regel verwijst naar een canon-/codex-bepaling en Editio-versie.</w:t>
      </w:r>
    </w:p>
    <w:p>
      <w:pPr>
        <w:pStyle w:val="Heading3"/>
      </w:pPr>
      <w:r>
        <w:t xml:space="preserve">2.1 Gate-typen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PRE-GATE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Vóór model/tool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Mandaat-verificatie, sequentie-check, bron-validatie.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POST-GATE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 output, vóór doorsturen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Mandaat-overschrijding, verboden patronen, escalatie-signalen.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ESCALATION-GATE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Bij agent→agent of agent→mens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Legitimiteit, ontvanger-beschikbaarheid, urgentie-classificatie.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AUDIT-GATE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Volledige request-response logging, gate-beslissingen, weigeringen, escalaties.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2.2 Rule schema (normatief)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Elke gate-regel heeft minimaal: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Wanneer de regel activeert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Wat wordt getoetst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 / block / escalate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canon_ref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Verwijzing naar Codex-bepaling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editio_ref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Editio-versie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log_level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Audit-niveau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Layer 2 — Functional Modules</w:t>
      </w:r>
    </w:p>
    <w:p>
      <w:pPr>
        <w:pStyle w:val="Heading3"/>
      </w:pPr>
      <w:r>
        <w:t xml:space="preserve">3.1 Core Pipeline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Sequentieel en minimalistisch. Waarneming vóór ordening, ordening vóór overdracht, afronding altijd als laatste.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Observation Module — verzamelt context; geen interpretatie of advies.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Structuring Module — maakt beslisbaar; geen sturing.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Transmission Module — vertaalt naar ontvanger; geen framing.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Closure Module — sluit af; borgt documentatie en exit.</w:t>
      </w:r>
    </w:p>
    <w:p>
      <w:pPr>
        <w:spacing w:after="80"/>
      </w:pPr>
    </w:p>
    <w:p>
      <w:pPr>
        <w:pStyle w:val="Heading3"/>
      </w:pPr>
      <w:r>
        <w:t xml:space="preserve">3.2 Cross-cutting &amp; Validators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Coherence Monitor: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signaleert samenhangbreuk. Geen blokkademacht, wel escalatiemacht. Leest bij elke pipeline-stap mee en signaleert wanneer het weefsel rafelt.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Ethics &amp; Mandate Validator: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legitimeert of weigert mandaat. Kan zelfstandig blokkeren.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Capacity Validator: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draagkracht-toets; kan onderbreken of escaleren.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Boundary Engine: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absoluut stoprecht. Niet-overrulbaar.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External Reality Check: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tijdelijke feitelijke toets. Alleen bij trigger.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N.B. De Capacity Validator modelleert draagkracht in deze specificatie als scalair (L ≤ L_max). De Codex (Deel V, Dymphna-axioma’s) definieert draagkracht rijker: effectieve draagkracht Dₖₑ, regulatievermogen R, cumulatie over tijd. De formalisering is een pragmatische reductie voor MVP-implementatie, geen volledige vertaling van het canonieke draagkrachtkader.</w:t>
      </w:r>
    </w:p>
    <w:p>
      <w:pPr>
        <w:spacing w:after="80"/>
      </w:pPr>
    </w:p>
    <w:p>
      <w:pPr>
        <w:pStyle w:val="Heading2"/>
      </w:pPr>
      <w:r>
        <w:t xml:space="preserve">4. Layer 3 — Execution (PRSYS Runtime)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PRSYS runtimes zijn single-model (Editio I besluit). Executiecomponenten zijn vervangbaar; governance niet.</w:t>
      </w:r>
    </w:p>
    <w:p>
      <w:pPr>
        <w:pStyle w:val="Heading3"/>
      </w:pPr>
      <w:r>
        <w:t xml:space="preserve">4.1 Agent interface contract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Alle agent calls lopen via TaoGate.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Geen direct agent-to-agent verkeer zonder escalation-gate.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Onbeantwoorde escalatie = blokkade (geen auto-proceed).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Elke output bevat provenance: module_id, gate_status, canon/editio refs, audit_id.</w:t>
      </w:r>
    </w:p>
    <w:p>
      <w:pPr>
        <w:spacing w:after="80"/>
      </w:pPr>
    </w:p>
    <w:p>
      <w:pPr>
        <w:pStyle w:val="Heading2"/>
      </w:pPr>
      <w:r>
        <w:t xml:space="preserve">5. Data Layer (RAG) — canon-safe inrichting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Classificeer corpus: Canon (read-only), Patterns (descriptief), Cases, External 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Gebruik RAG voor Cases/External; Canon excerpts alleen met strikte citeerregels.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Post-gate controleert op verboden interpretaties of instrumentalisering van canon.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probleem: classificatie van canon-safe vs. canon-instrumentaliserend retrieval vereist verder ML-onderzoek.</w:t>
      </w:r>
    </w:p>
    <w:p>
      <w:pPr>
        <w:spacing w:after="80"/>
      </w:pPr>
    </w:p>
    <w:p>
      <w:pPr>
        <w:pStyle w:val="Heading2"/>
      </w:pPr>
      <w:r>
        <w:t xml:space="preserve">6. Deliverable: minimale implementatie (MVP)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1) Mandate Registry + Gate Engine (PRE/POST/ESC/AUDIT).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2) Core Pipeline modules (Observation/Structuring/Transmission/Closure).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3) Validators (Ethics/Capacity) + Boundary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4) RAG index (non-canon) + provenance tagging.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5) Audit dashboard (read-only) voor stewardship.</w:t>
      </w:r>
    </w:p>
    <w:p>
      <w:pPr>
        <w:spacing w:after="80"/>
      </w:pPr>
    </w:p>
    <w:p>
      <w:pPr>
        <w:pStyle w:val="Heading3"/>
      </w:pPr>
      <w:r>
        <w:t xml:space="preserve">6.1 MVP Exitconditie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Conform Axioma A10 (elk rationeel ontwerp zonder expliciete exit-conditie wordt Daedalus): de MVP is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afgerond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wanneer alle vijf deliverables functioneel zijn, de gate-invarianten I1–I5 (zie State Machine) door unit tests worden gedekt, en één volledige pipeline-run succesvol is geaudit. De MVP wordt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gestopt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wanneer fundamentele canonieke inconsistenties worden geconstateerd die niet binnen de huidige Editio zijn op te lossen, of wanneer draagkracht van de Steward wordt overschreden (Phrōnēsis-toets). Evaluatie vindt plaats na elke sprint met expliciete go/hold/stop-beslissing door de mens.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PART III — PRSYS (Runtime Specification)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PRSYS operationaliseert ORFHEUSS in een runtime. Het is de routing- en integratielaag voor agents, tools en data. PRSYS is altijd onderworpen aan ORFHEUSS Canon + TaoGate.</w:t>
      </w:r>
    </w:p>
    <w:p>
      <w:pPr>
        <w:spacing w:after="80"/>
      </w:pPr>
    </w:p>
    <w:p>
      <w:pPr>
        <w:pStyle w:val="Heading2"/>
      </w:pPr>
      <w:r>
        <w:t xml:space="preserve">1. Componenten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Router: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bepaalt volgende stap (module/validator/tool) op basis van type request + canon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message passing; geen gedeelde mutable state tussen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Connectors: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LLM API, tools, databases, RAG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Policy sync: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elke CODEX/canon wijziging triggert TaoGate rule update.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Observability: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metrics + audit event stream.</w:t>
      </w:r>
    </w:p>
    <w:p>
      <w:pPr>
        <w:spacing w:after="80"/>
      </w:pPr>
    </w:p>
    <w:p>
      <w:pPr>
        <w:pStyle w:val="Heading2"/>
      </w:pPr>
      <w:r>
        <w:t xml:space="preserve">2. PRSYS Modes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Single-Model Mode: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 LLM, meerdere prompts/roles (modules). Dit is de huidige operationele modus (Editio I architectuurbesluit).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Hybrid Mode: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LLM + deterministic tools (calculators, search, validation).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Multi-Model Mode: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niet actief. De PRSYS cross-model test (februari 2026) heeft empirisch aangetoond dat geen enkel LLM betrouwbaar mandaatdiscipline handhaaft vanuit prompt alleen. Multi-Model Mode vereist dat elk model individueel de gate-invarianten I1–I5 passeert. Tot dat empirisch is aangetoond, blijft deze modus gesloten.</w:t>
      </w:r>
    </w:p>
    <w:p>
      <w:pPr>
        <w:spacing w:after="80"/>
      </w:pPr>
    </w:p>
    <w:p>
      <w:pPr>
        <w:pStyle w:val="Heading2"/>
      </w:pPr>
      <w:r>
        <w:t xml:space="preserve">3. Agent 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Modules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Observation · Structuring · Transmission · Closure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Coherence Monitor · Boundary Engine · Audit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Validators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Ethics &amp; Mandate Validator · Capacity Validator · External Reality Check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Output envelope (normatief)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Elke output draagt: module_id, gate_status, mandate_id, audit_id,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Bij escalatie: escalation_reason + target + required_response_time.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Bij blokkade: block_reason + canon_ref + remediation_hint (niet-normatief).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PART IV — Formal Definitions Appendix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Deterministic governance formalization. Elke definitie is traceerbaar naar de Gecombineerde Codex Editio I.</w:t>
      </w:r>
    </w:p>
    <w:p>
      <w:pPr>
        <w:spacing w:after="80"/>
      </w:pPr>
    </w:p>
    <w:p>
      <w:pPr>
        <w:pStyle w:val="Heading2"/>
      </w:pPr>
      <w:r>
        <w:t xml:space="preserve">1. Mandate (M)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Mandate M is a bounded authorization tuple:</w:t>
      </w:r>
    </w:p>
    <w:p>
      <w:pPr>
        <w:spacing w:after="1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 = {id, S, I, T_exp, R}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Where: id = unique identifier, S = scope (allowed action set), I = impact level, T_exp = expiry timestamp, R = risk tolerance threshold.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Validity: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 is valid iff current_time &lt; T_exp AND action ∈ S AND risk(action) ≤ R</w:t>
      </w:r>
    </w:p>
    <w:p>
      <w:pPr>
        <w:spacing w:after="80"/>
      </w:pPr>
    </w:p>
    <w:p>
      <w:pPr>
        <w:pStyle w:val="Heading2"/>
      </w:pPr>
      <w:r>
        <w:t xml:space="preserve">2. Scope (S)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Scope S is a finite set of permitted actions within ActionClasses:</w:t>
      </w:r>
    </w:p>
    <w:p>
      <w:pPr>
        <w:spacing w:after="1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 ⊆ {READ, PLAN, TEST, WRITE, EXECUTE, EXTERNAL_CALL}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Expansion rule: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Any action a ∉ S triggers Escalation.</w:t>
      </w:r>
    </w:p>
    <w:p>
      <w:pPr>
        <w:spacing w:after="80"/>
      </w:pPr>
    </w:p>
    <w:p>
      <w:pPr>
        <w:pStyle w:val="Heading2"/>
      </w:pPr>
      <w:r>
        <w:t xml:space="preserve">3. Boundary (B)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Boundary B is a non-overridable constraint set defined at Canon level (Layer 0).</w:t>
      </w:r>
    </w:p>
    <w:p>
      <w:pPr>
        <w:spacing w:after="1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 = {b₁, b₂, …, bₙ}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any action a, if violates(a, B) = True → action = BLOCK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Override condition: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None. B is absolute. (Codex: Cerberus “nee” = absoluut, niet overrulbaar.)</w:t>
      </w:r>
    </w:p>
    <w:p>
      <w:pPr>
        <w:spacing w:after="80"/>
      </w:pPr>
    </w:p>
    <w:p>
      <w:pPr>
        <w:pStyle w:val="Heading2"/>
      </w:pPr>
      <w:r>
        <w:t xml:space="preserve">4. Capacity (C)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Capacity C models systemic load-bearing ability. Let L = cumulative load from actions.</w:t>
      </w:r>
    </w:p>
    <w:p>
      <w:pPr>
        <w:spacing w:after="1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 is defined as maximum tolerable load L_max.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Constraint: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If L ≥ L_max → Escalation or Termination.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Reductie-notitie: dit formaliseert draagkracht als scalair. Het canonieke kader (Dymphna D1–D5) modelleert draagkracht als functie van effectieve capaciteit, regulatievermogen en cumulatie over tijd. Toekomstige formalisering moet deze rijkdom vertalen.</w:t>
      </w:r>
    </w:p>
    <w:p>
      <w:pPr>
        <w:spacing w:after="80"/>
      </w:pPr>
    </w:p>
    <w:p>
      <w:pPr>
        <w:pStyle w:val="Heading2"/>
      </w:pPr>
      <w:r>
        <w:t xml:space="preserve">5. Escalation (E)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Escalation E is a deterministic routing function:</w:t>
      </w:r>
    </w:p>
    <w:p>
      <w:pPr>
        <w:spacing w:after="1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E(action) → {human_review, supervisor_agent, terminate}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Triggers: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(1) action ∉ S, (2) risk(action) &gt; R, (3) violates(action, B), (4) ambiguity_score &gt; threshold.</w:t>
      </w:r>
    </w:p>
    <w:p>
      <w:pPr>
        <w:spacing w:after="80"/>
      </w:pPr>
    </w:p>
    <w:p>
      <w:pPr>
        <w:pStyle w:val="Heading2"/>
      </w:pPr>
      <w:r>
        <w:t xml:space="preserve">6. Gate Function (G)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Gate G is a deterministic function applied pre- and post-execution:</w:t>
      </w:r>
    </w:p>
    <w:p>
      <w:pPr>
        <w:spacing w:after="160"/>
        <w:ind w:left="7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G(a, M, B, C) → {PASS, BLOCK, ESCALATE}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Decision hierarchy: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If violates(a, B) →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If a ∉ S or risk(a) &gt; R → ESCALATE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If L ≥ L_max → ESCALATE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Else → PASS</w:t>
      </w:r>
    </w:p>
    <w:p>
      <w:pPr>
        <w:spacing w:after="80"/>
      </w:pPr>
    </w:p>
    <w:p>
      <w:pPr>
        <w:pStyle w:val="Heading2"/>
      </w:pPr>
      <w:r>
        <w:t xml:space="preserve">7. Canon Drift Prevention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modification of B or definition of M requires Editio procedure. No runtime component may alter Canon-level definitions. (Codex: Deel X, wijzigingsregime.)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PART V — State Machine Specification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Deterministic finite-state machine (FSM) for PRSYS constrained agentic execution. All transitions are mediated by TaoGate decisions and are audit-logged.</w:t>
      </w:r>
    </w:p>
    <w:p>
      <w:pPr>
        <w:spacing w:after="80"/>
      </w:pPr>
    </w:p>
    <w:p>
      <w:pPr>
        <w:pStyle w:val="Heading2"/>
      </w:pPr>
      <w:r>
        <w:t xml:space="preserve">1. Overview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FSM prevents silent progression, mandate drift, and uncontrolled loops. It is intentionally minimal: nine states, deterministic transitions, five governance invariants, two terminal states.</w:t>
      </w:r>
    </w:p>
    <w:p>
      <w:pPr>
        <w:spacing w:after="80"/>
      </w:pPr>
    </w:p>
    <w:p>
      <w:pPr>
        <w:pStyle w:val="Heading2"/>
      </w:pPr>
      <w:r>
        <w:t xml:space="preserve">2. State 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initialization. No action executed yet.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MANDATE_CHECK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Mandate registry lookup + validity verification.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PRE_GATE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Deterministic PRE-GATE evaluation.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Executor runs the action under controlled parameters.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POST_GATE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Deterministic POST-GATE evaluation of output.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output envelope + provenance.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ESCALATE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Escalation routing to Human (default) or supervisor.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stop with block_reason + canon_ref + audit_id.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Closure: documentation, stewardship handoff, exit.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Event Alphabet (Σ)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e_start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a new session/task.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e_propose(a)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proposes an action a.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e_mandate_ok / e_mandate_fail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Mandate validation outcome.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e_pre_pass / e_pre_block / e_pre_escalate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PRE-GATE decision outcome.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e_exec_done / e_exec_error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Executor finished or returned error.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e_post_pass / e_post_block / e_post_escalate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POST-GATE decision outcome.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e_human_resolve(pass|block|modify)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resolves escalation.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e_close</w:t>
            </w:r>
          </w:p>
        </w:tc>
        <w:tc>
          <w:tcPr>
            <w:tcW w:type="dxa" w:w="5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Closure condition reached.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Key Transitions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full transition function δ is deterministic given state and event. Selected critical transitions: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q0 → q1: e_start creates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q1 → q2: e_mandate_ok (mandate valid).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q1 → q6: e_mandate_fail (escalate to human).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q2 → q3: e_pre_pass (all checks clear).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q2 → q7: e_pre_block (boundary violation — absolute).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q2 → q6: e_pre_escalate (scope/risk/capacity issue).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q3 → q4: e_exec_done or e_exec_error (both proceed to post-gate).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q4 → q5: e_post_pass (output conforms).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q4 → q7: e_post_block (forbidden pattern detected).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q6 → q5: e_human_resolve(pass).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q6 → q7: e_human_resolve(block).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q6 → q2: e_human_resolve(modify) — updated mandate re-enters pre-gate.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q5 → q8: e_close (closure condition).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q5 → q2: e_propose(a) (next step in pipeline).</w:t>
      </w:r>
    </w:p>
    <w:p>
      <w:pPr>
        <w:spacing w:after="80"/>
      </w:pPr>
    </w:p>
    <w:p>
      <w:pPr>
        <w:pStyle w:val="Heading2"/>
      </w:pPr>
      <w:r>
        <w:t xml:space="preserve">5. Coherence Monitor Integration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Aanvulling conform EN-2026-001: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 Coherence Monitor (Arachne) opereert als observer op de FSM. Bij elke transitie van q3 (EXECUTE) naar q4 (POST_GATE) en van q5 (REPORT) naar q2 (PRE_GATE, volgende stap) voert de Coherence Monitor een samenhangcheck uit. Bij signalering van coherentieverlies genereert de monitor een e_coherence_alert event.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e_coherence_alert wordt behandeld als e_post_escalate: transitie naar q6 (ESCALATE). De Coherence Monitor heeft geen blokkademacht (dat is de Boundary Engine); wel escalatiemacht naar de mens.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Dit vertaalt de dubbele positionering van Arachne (Editio-Notitie EN-2026-001): sequentieel als formele pipeline-stap na Observation, continu als observer op alle transities.</w:t>
      </w:r>
    </w:p>
    <w:p>
      <w:pPr>
        <w:spacing w:after="80"/>
      </w:pPr>
    </w:p>
    <w:p>
      <w:pPr>
        <w:pStyle w:val="Heading2"/>
      </w:pPr>
      <w:r>
        <w:t xml:space="preserve">6. Safety &amp; Governance Invariants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I1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WRITE/EXECUTE/EXTERNAL_CALL may enter q3 without preceding e_pre_pass.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I2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boundary violation implies immediate transition to q7 BLOCK (non-overridable).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I3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escalation unresolved within timeout implies transition to q7 BLOCK (no silent proceed).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I4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transition emits an audit event with session_id, mandate_id, state_from, state_to, event, timestamp.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I5</w:t>
            </w:r>
          </w:p>
        </w:tc>
        <w:tc>
          <w:tcPr>
            <w:tcW w:type="dxa" w:w="8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Scope expansion requires human resolution (e_human_resolve(modify)) producing new mandate or updated scope.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 Terminal States and Exit Conditions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Terminal states F = {q7 BLOCK, q8 CLOSE}. Sessions must end explicitly in a terminal state. Exit conditions: explicit close request, mandate expiry (T_exp), completion of pipeline (Closure Module), or boundary block.</w:t>
      </w:r>
    </w:p>
    <w:p>
      <w:pPr>
        <w:spacing w:after="80"/>
      </w:pPr>
    </w:p>
    <w:p>
      <w:pPr>
        <w:pStyle w:val="Heading2"/>
      </w:pPr>
      <w:r>
        <w:t xml:space="preserve">8. Implementation Notes (non-normative)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Represent the FSM as a declarative table (YAML/JSON) driven by TaoGate. All state transitions should be unit-tested. Escalation timeouts should be configurable but must default to block-on-timeout.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PART VI — Academic Positioning (Outliner)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Skelet voor academische publicatie. Dit is een outliner, geen afgerond paper. Het positioneert ORFHEUSS in het academische discours over constrained agentic systems.</w:t>
      </w:r>
    </w:p>
    <w:p>
      <w:pPr>
        <w:spacing w:after="80"/>
      </w:pPr>
    </w:p>
    <w:p>
      <w:pPr>
        <w:pStyle w:val="Heading2"/>
      </w:pPr>
      <w:r>
        <w:t xml:space="preserve">Abstract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Agentic AI is presented as autonomous execution without explicit mandate control. Probabilistic instruction-based governance lacks deterministic enforcement. ORFHEUSS contributes a limiting architecture separating normative constraint from execution: Canon Layer, Deterministic Orchestration (TaoGate), Mandate Registry, Boundary Engine, Capacity Validation. Result: agentic execution without autonomy illusion.</w:t>
      </w:r>
    </w:p>
    <w:p>
      <w:pPr>
        <w:spacing w:after="80"/>
      </w:pPr>
    </w:p>
    <w:p>
      <w:pPr>
        <w:pStyle w:val="Heading2"/>
      </w:pPr>
      <w:r>
        <w:t xml:space="preserve">Research Question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can agentic execution be constrained architecturally without reducing utility?</w:t>
      </w:r>
    </w:p>
    <w:p>
      <w:pPr>
        <w:spacing w:after="80"/>
      </w:pPr>
    </w:p>
    <w:p>
      <w:pPr>
        <w:pStyle w:val="Heading2"/>
      </w:pPr>
      <w:r>
        <w:t xml:space="preserve">Key Contributions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Empirical evidence that instruction-based governance is structurally insufficient across four major LLMs.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four-layer architecture separating normative canon from deterministic enforcement from functional modules from execution.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Formal state machine specification with five governance invariants.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Constrained agentic execution model with mandatory gate matrix linking actions to enforcement checks.</w:t>
      </w:r>
    </w:p>
    <w:p>
      <w:pPr>
        <w:spacing w:after="80"/>
      </w:pPr>
    </w:p>
    <w:p>
      <w:pPr>
        <w:pStyle w:val="Heading2"/>
      </w:pPr>
      <w:r>
        <w:t xml:space="preserve">Comparative Positioning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Contrasted with Auto-GPT and tool-using agent frameworks. Distinctive features: deterministic governance (no ML in enforcement layer), versioned canon (immutable reference), mandatory escalation (no silent proceed), explicit exit conditions.</w:t>
      </w:r>
    </w:p>
    <w:p>
      <w:pPr>
        <w:spacing w:after="80"/>
      </w:pPr>
    </w:p>
    <w:p>
      <w:pPr>
        <w:pStyle w:val="Heading2"/>
      </w:pPr>
      <w:r>
        <w:t xml:space="preserve">Core Thesis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Constraint does not reduce capability; it prevents drift.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Governance is architecture, not policy intent.</w:t>
      </w:r>
    </w:p>
    <w:p>
      <w:pPr>
        <w:spacing w:after="80"/>
      </w:pPr>
    </w:p>
    <w:p>
      <w:pPr>
        <w:pStyle w:val="Heading2"/>
      </w:pPr>
      <w:r>
        <w:t xml:space="preserve">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Requires disciplined system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Higher implementation complexity than unconstrained agentic systems.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Dependent on robust canon definition.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Capacity formalization is currently a pragmatic reduction of the fuller canonical model.</w:t>
      </w:r>
    </w:p>
    <w:p>
      <w:pPr>
        <w:spacing w:after="80"/>
      </w:pPr>
    </w:p>
    <w:p>
      <w:pPr>
        <w:pStyle w:val="Heading2"/>
      </w:pPr>
      <w:r>
        <w:t xml:space="preserve">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 would RLHF look like if boundary enforcement were rewarded as heavily as task completion?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 mechanical load-bearing models (OLYMPIA) serve as formal analogues for organizational capacity analysis?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How should AI governance frameworks account for model-specific failure profiles?</w:t>
      </w:r>
    </w:p>
    <w:p>
      <w:pPr>
        <w:spacing w:after="80"/>
      </w:pPr>
    </w:p>
    <w:p>
      <w:pPr>
        <w:pBdr>
          <w:bottom w:val="single" w:color="BBBBBB" w:sz="2" w:space="1"/>
        </w:pBdr>
        <w:spacing w:before="200" w:after="200"/>
      </w:pPr>
    </w:p>
    <w:p>
      <w:pPr>
        <w:pStyle w:val="Heading1"/>
      </w:pPr>
      <w:r>
        <w:t xml:space="preserve">Appendix A — Terminology (publiek)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Module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Pipeline-functie. Voert een stap uit in de verwerkingsketen.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Validator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Toets op mandaat, ethiek, of draagkracht. Kan stoppen of escaleren.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Deterministische handhaving. Voert regels uit zonder interpretatie.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Signaleert coherentiebreuk. Geen blokkademacht, wel escalatiemacht.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Validatiepunt in TaoGate. Pre, post, escalation, of audit.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Read-only normatieve kern. Wijzigt alleen via Editio-procedure.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Editio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Formele versie van de canon. Upgrade vereist menselijk besluit.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Mandate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Begrensde autorisatie met scope, expiry en risicotolerantie.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Escalation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Doorverwijzing naar mens of supervisor bij twijfel of overschrijding.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Provenance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Herkomstgegevens bij elke output: wie, wanneer, onder welk mandaat.</w:t>
            </w:r>
          </w:p>
        </w:tc>
      </w:tr>
    </w:tbl>
    <w:p>
      <w:pPr>
        <w:spacing w:after="80"/>
      </w:pPr>
    </w:p>
    <w:p>
      <w:pPr>
        <w:pBdr>
          <w:bottom w:val="single" w:color="BBBBBB" w:sz="2" w:space="1"/>
        </w:pBdr>
        <w:spacing w:before="200" w:after="200"/>
      </w:pPr>
    </w:p>
    <w:p>
      <w:pPr>
        <w:pStyle w:val="Heading1"/>
      </w:pPr>
      <w:r>
        <w:t xml:space="preserve">Colofon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ORFHEUSS Full Architecture Bundle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Architectuurdocument onder Gecombineerde Codex Editio I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Onderdelen: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Daylight (Part I), Nocturne (Part II), PRSYS Runtime (Part III), Formal Definitions (Part IV), State Machine Specification (Part V), Academic Positioning (Part VI), Terminology (Appendix A).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Canonieke referenties: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Gecombineerde Codex Editio I, Editio-Notitie EN-2026-001 (Arachne dubbele positionering).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Steward: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Sander Lenselink (Founder &amp; Steward ORFHEUSS)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Datum: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Februari 2026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© ORFHEUSS — Intellectueel Eigendom. Alle rechten voorbehouden.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55555"/>
        <w:sz w:val="16"/>
        <w:szCs w:val="16"/>
      </w:rPr>
      <w:t xml:space="preserve">© ORFHEUSS</w:t>
    </w:r>
    <w:r>
      <w:t xml:space="preserve">	</w:t>
    </w:r>
    <w:r>
      <w:rPr>
        <w:rFonts w:ascii="Arial" w:cs="Arial" w:eastAsia="Arial" w:hAnsi="Arial"/>
        <w:color w:val="555555"/>
        <w:sz w:val="16"/>
        <w:szCs w:val="16"/>
      </w:rPr>
      <w:t xml:space="preserve">Pagina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ORFHEUSS — Full Architecture Bundle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2026-02-16T19:05:09.158Z</dcterms:created>
  <dcterms:modified xsi:type="dcterms:W3CDTF">2026-02-16T19:05:09.159Z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