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both"/>
      </w:pPr>
      <w:r>
        <w:rPr>
          <w:b/>
          <w:bCs/>
        </w:rPr>
        <w:t xml:space="preserve">A Panel Dataset of the Indonesia Stock Exchange:</w:t>
      </w:r>
      <w:r>
        <w:br/>
      </w:r>
      <w:r>
        <w:rPr>
          <w:b/>
          <w:bCs/>
        </w:rPr>
        <w:t xml:space="preserve">Prices, Fundamentals, and Sharia Classification (2010–2026)</w:t>
      </w:r>
    </w:p>
    <w:p>
      <w:pPr>
        <w:pStyle w:val="Author"/>
        <w:jc w:val="both"/>
      </w:pPr>
      <w:r>
        <w:t xml:space="preserve">[Authors to be added]</w:t>
      </w:r>
    </w:p>
    <w:p>
      <w:pPr>
        <w:pStyle w:val="AbstractTitle"/>
        <w:jc w:val="both"/>
      </w:pPr>
      <w:r>
        <w:t xml:space="preserve">Abstract</w:t>
      </w:r>
    </w:p>
    <w:p>
      <w:pPr>
        <w:pStyle w:val="Abstract"/>
        <w:jc w:val="both"/>
      </w:pPr>
      <w:r>
        <w:t xml:space="preserve">This paper introduces a curated panel dataset built from 67 large-cap non-financial firms listed on the Indonesia Stock Exchange (IDX) between 2010 and 2026. The raw collection draws on 373</w:t>
      </w:r>
      <w:r>
        <w:t xml:space="preserve">,</w:t>
      </w:r>
      <w:r>
        <w:t xml:space="preserve">577 daily price records across 95 tickers; after merging with firm-level financials, sector labels, and Sharia compliance indicators, the final panel holds 1</w:t>
      </w:r>
      <w:r>
        <w:t xml:space="preserve">,</w:t>
      </w:r>
      <w:r>
        <w:t xml:space="preserve">107 firm-year observations. We ran a pooled OLS specification with HC3-corrected standard errors as a proof-of-concept check on the data structure’s econometric usability. Return on assets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the debt-to-equity ratio (</w:t>
      </w:r>
      <m:oMath>
        <m:r>
          <m:t>p</m:t>
        </m:r>
        <m:r>
          <m:rPr>
            <m:sty m:val="p"/>
          </m:rPr>
          <m:t>=</m:t>
        </m:r>
        <m:r>
          <m:t>0.040</m:t>
        </m:r>
      </m:oMath>
      <w:r>
        <w:t xml:space="preserve">), and equity beta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all register statistically meaningful associations with firm value — a pattern that sits alongside findings from earlier studies of determinants of firm value on the IDX. A Chow test turns up no sign of a COVID-19 structural break (</w:t>
      </w:r>
      <m:oMath>
        <m:r>
          <m:t>p</m:t>
        </m:r>
        <m:r>
          <m:rPr>
            <m:sty m:val="p"/>
          </m:rPr>
          <m:t>=</m:t>
        </m:r>
        <m:r>
          <m:t>0.998</m:t>
        </m:r>
      </m:oMath>
      <w:r>
        <w:t xml:space="preserve">). The dataset lives on Zenodo under CC-BY 4.0 and ships with a full codebook plus reproducible preprocessing scripts. It plugs a genuine hole: no peer-reviewed, open-access panel data descriptor covering an ASEAN stock exchange currently exists in the scientific record.</w:t>
      </w:r>
    </w:p>
    <w:bookmarkStart w:id="9" w:name="background-summary"/>
    <w:p>
      <w:pPr>
        <w:pStyle w:val="Heading1"/>
        <w:jc w:val="both"/>
      </w:pPr>
      <w:r>
        <w:t xml:space="preserve">Background &amp; Summary</w:t>
      </w:r>
    </w:p>
    <w:p>
      <w:pPr>
        <w:pStyle w:val="FirstParagraph"/>
        <w:jc w:val="both"/>
      </w:pPr>
      <w:r>
        <w:t xml:space="preserve">The IDX is Southeast Asia’s largest bourse. More than 900 companies are listed, and by 2025 the market’s collective capitalisation had crossed USD 600 billion. Open, peer-reviewed panel data for the exchange? Still missing.</w:t>
      </w:r>
    </w:p>
    <w:p>
      <w:pPr>
        <w:pStyle w:val="BodyText"/>
        <w:jc w:val="both"/>
      </w:pPr>
      <w:r>
        <w:t xml:space="preserve">The research landscape tells the story. Nearly every published study that works with ASEAN equity panels does so behind the paywalls of Refinitiv Eikon, Datastream, or Bloomberg — databases that demand institutional licences and make replication nearly impossible. Prior work on IDX firm-value determinants relies on hand-collected samples limited to specific indices (LQ45, JII70) or individual sectors such as manufacturing or mining </w:t>
      </w:r>
      <w:r>
        <w:t xml:space="preserve">. Two papers have put IDX datasets through peer review in</w:t>
      </w:r>
      <w:r>
        <w:t xml:space="preserve"> </w:t>
      </w:r>
      <w:r>
        <w:rPr>
          <w:i/>
          <w:iCs/>
        </w:rPr>
        <w:t xml:space="preserve">Data in Brief</w:t>
      </w:r>
      <w:r>
        <w:t xml:space="preserve">: one delivers a sentiment-labelled corpus drawn from news and social media </w:t>
      </w:r>
      <w:r>
        <w:t xml:space="preserve">, the other captures political connections, Sharia compliance, and M&amp;A announcement returns </w:t>
      </w:r>
      <w:r>
        <w:t xml:space="preserve">. Neither provides a multi-year, multi-sector panel suited to the kind of financial econometrics the literature routinely runs on proprietary sources.</w:t>
      </w:r>
    </w:p>
    <w:p>
      <w:pPr>
        <w:pStyle w:val="BodyText"/>
        <w:jc w:val="both"/>
      </w:pPr>
      <w:r>
        <w:t xml:space="preserve">Within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the closest model is the Russian Financial Statements Database </w:t>
      </w:r>
      <w:r>
        <w:t xml:space="preserve"> </w:t>
      </w:r>
      <w:r>
        <w:t xml:space="preserve">— a large-scale collection of firm-level financial records published as a peer-reviewed data descriptor. Several other domain-specific financial datasets have appeared in the journal, covering Chinese financial event extraction, electricity market economics, and financial table understanding </w:t>
      </w:r>
      <w:r>
        <w:t xml:space="preserve">. No equivalent record exists for an ASEAN emerging market.</w:t>
      </w:r>
    </w:p>
    <w:p>
      <w:pPr>
        <w:pStyle w:val="BodyText"/>
        <w:jc w:val="both"/>
      </w:pPr>
      <w:r>
        <w:t xml:space="preserve">We provide one. Specifically, we contribute:</w:t>
      </w:r>
    </w:p>
    <w:p>
      <w:pPr>
        <w:numPr>
          <w:ilvl w:val="0"/>
          <w:numId w:val="1001"/>
        </w:numPr>
        <w:jc w:val="both"/>
      </w:pPr>
      <w:r>
        <w:t xml:space="preserve">A multi-domain panel that weaves together daily stock prices, firm fundamentals (return on assets, return on equity, debt-to-equity, a price-to-book proxy for Tobin’s</w:t>
      </w:r>
      <w:r>
        <w:t xml:space="preserve"> </w:t>
      </w:r>
      <m:oMath>
        <m:r>
          <m:t>Q</m:t>
        </m:r>
      </m:oMath>
      <w:r>
        <w:t xml:space="preserve">, equity beta, market capitalisation), and a Sharia-compliance flag for 67 major non-financial IDX constituents observed over 15 years (2010–2026). The panel captures 7% of listed firms by count — concentrated, however, among the large-cap names that drive the bulk of market capitalisation.</w:t>
      </w:r>
    </w:p>
    <w:p>
      <w:pPr>
        <w:numPr>
          <w:ilvl w:val="0"/>
          <w:numId w:val="1001"/>
        </w:numPr>
        <w:jc w:val="both"/>
      </w:pPr>
      <w:r>
        <w:t xml:space="preserve">A fully reproducible pipeline — Python scripts that handle acquisition, cleaning, annual aggregation, and the validation exercises reported below.</w:t>
      </w:r>
    </w:p>
    <w:p>
      <w:pPr>
        <w:numPr>
          <w:ilvl w:val="0"/>
          <w:numId w:val="1001"/>
        </w:numPr>
        <w:jc w:val="both"/>
      </w:pPr>
      <w:r>
        <w:t xml:space="preserve">A proof-of-concept technical validation via pooled OLS with HC3 standard errors.</w:t>
      </w:r>
    </w:p>
    <w:p>
      <w:pPr>
        <w:numPr>
          <w:ilvl w:val="0"/>
          <w:numId w:val="1001"/>
        </w:numPr>
        <w:jc w:val="both"/>
      </w:pPr>
      <w:r>
        <w:t xml:space="preserve">Documentation at the variable level, paired with a literature sweep confirming no comparable open-access dataset has been described before.</w:t>
      </w:r>
    </w:p>
    <w:bookmarkEnd w:id="9"/>
    <w:bookmarkStart w:id="15" w:name="methods"/>
    <w:p>
      <w:pPr>
        <w:pStyle w:val="Heading1"/>
        <w:jc w:val="both"/>
      </w:pPr>
      <w:r>
        <w:t xml:space="preserve">Methods</w:t>
      </w:r>
    </w:p>
    <w:bookmarkStart w:id="10" w:name="data-collection"/>
    <w:p>
      <w:pPr>
        <w:pStyle w:val="Heading2"/>
        <w:jc w:val="both"/>
      </w:pPr>
      <w:r>
        <w:t xml:space="preserve">Data Collection</w:t>
      </w:r>
    </w:p>
    <w:p>
      <w:pPr>
        <w:pStyle w:val="FirstParagraph"/>
        <w:jc w:val="both"/>
      </w:pPr>
      <w:r>
        <w:t xml:space="preserve">We pulled data from the following sources:</w:t>
      </w:r>
    </w:p>
    <w:p>
      <w:pPr>
        <w:numPr>
          <w:ilvl w:val="0"/>
          <w:numId w:val="1002"/>
        </w:numPr>
        <w:jc w:val="both"/>
      </w:pPr>
      <w:r>
        <w:rPr>
          <w:b/>
          <w:bCs/>
        </w:rPr>
        <w:t xml:space="preserve">Stock prices</w:t>
      </w:r>
      <w:r>
        <w:t xml:space="preserve">: Daily open, high, low, close, and adjusted close prices were downloaded from Yahoo Finance using the</w:t>
      </w:r>
      <w:r>
        <w:t xml:space="preserve"> </w:t>
      </w:r>
      <w:r>
        <w:rPr>
          <w:rStyle w:val="VerbatimChar"/>
        </w:rPr>
        <w:t xml:space="preserve">yfinance</w:t>
      </w:r>
      <w:r>
        <w:t xml:space="preserve"> </w:t>
      </w:r>
      <w:r>
        <w:t xml:space="preserve">Python library (v1.4.1), covering 1 January 2010 through 30 June 2026. All symbols carry the</w:t>
      </w:r>
      <w:r>
        <w:t xml:space="preserve"> </w:t>
      </w:r>
      <w:r>
        <w:rPr>
          <w:rStyle w:val="VerbatimChar"/>
        </w:rPr>
        <w:t xml:space="preserve">.JK</w:t>
      </w:r>
      <w:r>
        <w:t xml:space="preserve"> </w:t>
      </w:r>
      <w:r>
        <w:t xml:space="preserve">suffix.</w:t>
      </w:r>
    </w:p>
    <w:p>
      <w:pPr>
        <w:numPr>
          <w:ilvl w:val="0"/>
          <w:numId w:val="1002"/>
        </w:numPr>
        <w:jc w:val="both"/>
      </w:pPr>
      <w:r>
        <w:rPr>
          <w:b/>
          <w:bCs/>
        </w:rPr>
        <w:t xml:space="preserve">Firm fundamentals</w:t>
      </w:r>
      <w:r>
        <w:t xml:space="preserve">: Cross-sectional financial ratios were taken from Yahoo Finance’s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endpoint — market capitalisation, enterprise value, price-to-book, return on equity, return on assets, debt-to-equity, trailing and forward P/E, revenue and earnings growth, dividend yield, payout ratio, and equity beta.</w:t>
      </w:r>
    </w:p>
    <w:p>
      <w:pPr>
        <w:numPr>
          <w:ilvl w:val="0"/>
          <w:numId w:val="1002"/>
        </w:numPr>
        <w:jc w:val="both"/>
      </w:pPr>
      <w:r>
        <w:rPr>
          <w:b/>
          <w:bCs/>
        </w:rPr>
        <w:t xml:space="preserve">Sharia classification</w:t>
      </w:r>
      <w:r>
        <w:t xml:space="preserve">: We mapped non-financial sectors (Consumer, Healthcare, Technology, Industrials, Energy, Basic Materials, Real Estate, Communication Services, Utilities) against the OJK Daftar Efek Syariah (DES) criteria. The mapping is discussed under Technical Validation.</w:t>
      </w:r>
    </w:p>
    <w:p>
      <w:pPr>
        <w:numPr>
          <w:ilvl w:val="0"/>
          <w:numId w:val="1002"/>
        </w:numPr>
        <w:jc w:val="both"/>
      </w:pPr>
      <w:r>
        <w:rPr>
          <w:b/>
          <w:bCs/>
        </w:rPr>
        <w:t xml:space="preserve">Ticker validation</w:t>
      </w:r>
      <w:r>
        <w:t xml:space="preserve">: We started with a hand-compiled list of 98 major IDX stocks and retained those whose Yahoo Finance records returned valid market capitalisation and company name fields (</w:t>
      </w:r>
      <m:oMath>
        <m:r>
          <m:t>n</m:t>
        </m:r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after cleaning).</w:t>
      </w:r>
    </w:p>
    <w:p>
      <w:pPr>
        <w:numPr>
          <w:ilvl w:val="0"/>
          <w:numId w:val="1002"/>
        </w:numPr>
        <w:jc w:val="both"/>
      </w:pPr>
      <w:r>
        <w:rPr>
          <w:b/>
          <w:bCs/>
        </w:rPr>
        <w:t xml:space="preserve">Market benchmark</w:t>
      </w:r>
      <w:r>
        <w:t xml:space="preserve">: The Jakarta Composite Index (</w:t>
      </w:r>
      <w:r>
        <w:rPr>
          <w:rStyle w:val="VerbatimChar"/>
        </w:rPr>
        <w:t xml:space="preserve">ĴKSE</w:t>
      </w:r>
      <w:r>
        <w:t xml:space="preserve">) was downloaded for reference.</w:t>
      </w:r>
    </w:p>
    <w:bookmarkEnd w:id="10"/>
    <w:bookmarkStart w:id="12" w:name="preprocessing"/>
    <w:p>
      <w:pPr>
        <w:pStyle w:val="Heading2"/>
        <w:jc w:val="both"/>
      </w:pPr>
      <w:r>
        <w:t xml:space="preserve">Preprocessing</w:t>
      </w:r>
    </w:p>
    <w:p>
      <w:pPr>
        <w:numPr>
          <w:ilvl w:val="0"/>
          <w:numId w:val="1003"/>
        </w:numPr>
        <w:jc w:val="both"/>
      </w:pPr>
      <w:r>
        <w:rPr>
          <w:b/>
          <w:bCs/>
        </w:rPr>
        <w:t xml:space="preserve">Returns</w:t>
      </w:r>
      <w:r>
        <w:t xml:space="preserve">: Daily log returns were computed as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 The series was winsorised at the 1st and 99th percentiles to mitigate outlier effects.</w:t>
      </w:r>
    </w:p>
    <w:p>
      <w:pPr>
        <w:numPr>
          <w:ilvl w:val="0"/>
          <w:numId w:val="1003"/>
        </w:numPr>
        <w:jc w:val="both"/>
      </w:pPr>
      <w:r>
        <w:rPr>
          <w:b/>
          <w:bCs/>
        </w:rPr>
        <w:t xml:space="preserve">Annual aggregation</w:t>
      </w:r>
      <w:r>
        <w:t xml:space="preserve">: We collapsed daily data to yearly frequency, generating mean and median daily return, annualised return volatility, buy-and-hold annual return, average close price, average daily volume, and the count of trading days.</w:t>
      </w:r>
    </w:p>
    <w:p>
      <w:pPr>
        <w:numPr>
          <w:ilvl w:val="0"/>
          <w:numId w:val="1003"/>
        </w:numPr>
        <w:jc w:val="both"/>
      </w:pPr>
      <w:r>
        <w:rPr>
          <w:b/>
          <w:bCs/>
        </w:rPr>
        <w:t xml:space="preserve">Tobin’s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proxy</w:t>
      </w:r>
      <w:r>
        <w:t xml:space="preserve">: We use the price-to-book ratio as a workable stand-in for Tobin’s</w:t>
      </w:r>
      <w:r>
        <w:t xml:space="preserve"> </w:t>
      </w:r>
      <m:oMath>
        <m:r>
          <m:t>Q</m:t>
        </m:r>
      </m:oMath>
      <w:r>
        <w:t xml:space="preserve">:</w:t>
      </w:r>
    </w:p>
    <w:p>
      <w:pPr>
        <w:pStyle w:val="BodyText"/>
        <w:jc w:val="bot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Market Value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Book Value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numPr>
          <w:ilvl w:val="0"/>
          <w:numId w:val="1000"/>
        </w:numPr>
        <w:jc w:val="both"/>
      </w:pPr>
      <w:bookmarkStart w:id="11" w:name="eq:tobinq"/>
      <w:bookmarkEnd w:id="11"/>
      <w:r>
        <w:t xml:space="preserve"> </w:t>
      </w:r>
      <w:r>
        <w:t xml:space="preserve">This convention is adopted widely in empirical corporate finance research on emerging markets </w:t>
      </w:r>
      <w:r>
        <w:t xml:space="preserve">.</w:t>
      </w:r>
    </w:p>
    <w:p>
      <w:pPr>
        <w:numPr>
          <w:ilvl w:val="0"/>
          <w:numId w:val="1003"/>
        </w:numPr>
        <w:jc w:val="both"/>
      </w:pPr>
      <w:r>
        <w:rPr>
          <w:b/>
          <w:bCs/>
        </w:rPr>
        <w:t xml:space="preserve">Panel construction</w:t>
      </w:r>
      <w:r>
        <w:t xml:space="preserve">: Annual aggregates were merged with firm-level fundamentals on ticker and calendar year.</w:t>
      </w:r>
    </w:p>
    <w:p>
      <w:pPr>
        <w:numPr>
          <w:ilvl w:val="0"/>
          <w:numId w:val="1003"/>
        </w:numPr>
        <w:jc w:val="both"/>
      </w:pPr>
      <w:r>
        <w:rPr>
          <w:b/>
          <w:bCs/>
        </w:rPr>
        <w:t xml:space="preserve">Missing data</w:t>
      </w:r>
      <w:r>
        <w:t xml:space="preserve">: Rows missing any regression variable (price-to-book, ROA, DER, beta) were dropped, leaving a balanced panel of 1</w:t>
      </w:r>
      <w:r>
        <w:t xml:space="preserve">,</w:t>
      </w:r>
      <w:r>
        <w:t xml:space="preserve">107 firm-year observations drawn from 67 unique tickers.</w:t>
      </w:r>
    </w:p>
    <w:bookmarkEnd w:id="12"/>
    <w:bookmarkStart w:id="14" w:name="code-availability"/>
    <w:p>
      <w:pPr>
        <w:pStyle w:val="Heading2"/>
        <w:jc w:val="both"/>
      </w:pPr>
      <w:r>
        <w:t xml:space="preserve">Code Availability</w:t>
      </w:r>
    </w:p>
    <w:p>
      <w:pPr>
        <w:pStyle w:val="FirstParagraph"/>
        <w:jc w:val="both"/>
      </w:pPr>
      <w:r>
        <w:t xml:space="preserve">All acquisition and preprocessing scripts are housed in a GitHub repository (deposited at</w:t>
      </w:r>
      <w:r>
        <w:t xml:space="preserve"> </w:t>
      </w:r>
      <w:hyperlink r:id="rId13">
        <w:r>
          <w:rPr>
            <w:rStyle w:val="Hyperlink"/>
          </w:rPr>
          <w:t xml:space="preserve">https://github.com/lensetek/idx-panel-data-descriptor</w:t>
        </w:r>
      </w:hyperlink>
      <w:r>
        <w:t xml:space="preserve">). The code runs on Python 3.11+ and relies on</w:t>
      </w:r>
      <w:r>
        <w:t xml:space="preserve"> </w:t>
      </w:r>
      <w:r>
        <w:rPr>
          <w:rStyle w:val="VerbatimChar"/>
        </w:rPr>
        <w:t xml:space="preserve">yfinance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seaborn</w:t>
      </w:r>
      <w:r>
        <w:t xml:space="preserve">.</w:t>
      </w:r>
    </w:p>
    <w:bookmarkEnd w:id="14"/>
    <w:bookmarkEnd w:id="15"/>
    <w:bookmarkStart w:id="22" w:name="data-records"/>
    <w:p>
      <w:pPr>
        <w:pStyle w:val="Heading1"/>
        <w:jc w:val="both"/>
      </w:pPr>
      <w:r>
        <w:t xml:space="preserve">Data Records</w:t>
      </w:r>
    </w:p>
    <w:p>
      <w:pPr>
        <w:pStyle w:val="FirstParagraph"/>
        <w:jc w:val="both"/>
      </w:pPr>
      <w:r>
        <w:t xml:space="preserve">The dataset is deposited on Zenodo (DOI [to be assigned upon publication]) under a CC-BY 4.0 licence and the source code is available on GitHub (</w:t>
      </w:r>
      <w:hyperlink r:id="rId13">
        <w:r>
          <w:rPr>
            <w:rStyle w:val="Hyperlink"/>
          </w:rPr>
          <w:t xml:space="preserve">https://github.com/lensetek/idx-panel-data-descriptor</w:t>
        </w:r>
      </w:hyperlink>
      <w:r>
        <w:t xml:space="preserve">). The repository includes the following files.</w:t>
      </w:r>
    </w:p>
    <w:bookmarkStart w:id="17" w:name="primary-data-files"/>
    <w:p>
      <w:pPr>
        <w:pStyle w:val="Heading2"/>
        <w:jc w:val="both"/>
      </w:pPr>
      <w:r>
        <w:t xml:space="preserve">Primary Data Files</w:t>
      </w:r>
    </w:p>
    <w:bookmarkStart w:id="16" w:name="tab:datafiles"/>
    <w:p>
      <w:pPr>
        <w:pStyle w:val="TableCaption"/>
        <w:jc w:val="both"/>
      </w:pPr>
      <w:r>
        <w:t xml:space="preserve">Primary data files in the repository.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imary data files in the repository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idx_stock_prices.csv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stock price data (2010-01-04 to 2026-07-01)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  <w:r>
              <w:t xml:space="preserve">,</w:t>
            </w:r>
            <w:r>
              <w:t xml:space="preserve">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idx_fundamentals.csv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Firm-level financial fundamentals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panel_master.csv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Firm-year panel dataset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idx_ihsg_index.csv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Jakarta Composite Index daily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idx_tickers_validated.csv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ticker list with sector metadata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</w:tbl>
    <w:bookmarkEnd w:id="16"/>
    <w:bookmarkEnd w:id="17"/>
    <w:bookmarkStart w:id="19" w:name="documentation-files"/>
    <w:p>
      <w:pPr>
        <w:pStyle w:val="Heading2"/>
        <w:jc w:val="both"/>
      </w:pPr>
      <w:r>
        <w:t xml:space="preserve">Documentation Files</w:t>
      </w:r>
    </w:p>
    <w:bookmarkStart w:id="18" w:name="tab:docfiles"/>
    <w:p>
      <w:pPr>
        <w:pStyle w:val="TableCaption"/>
        <w:jc w:val="both"/>
      </w:pPr>
      <w:r>
        <w:t xml:space="preserve">Documentation files accompanying the dataset.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ocumentation files accompanying the dataset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codebook.md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Variable-level dictionary with definitions, formulas, and source attributions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overview, citation instructions, and usage guidance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cleaning_script.py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Reproducible preprocessing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validation_script.py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and diagnostic test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LICENSE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 4.0</w:t>
            </w:r>
          </w:p>
        </w:tc>
      </w:tr>
    </w:tbl>
    <w:bookmarkEnd w:id="18"/>
    <w:bookmarkEnd w:id="19"/>
    <w:bookmarkStart w:id="21" w:name="variable-definitions-panel-master"/>
    <w:p>
      <w:pPr>
        <w:pStyle w:val="Heading2"/>
        <w:jc w:val="both"/>
      </w:pPr>
      <w:r>
        <w:t xml:space="preserve">Variable Definitions (Panel Master)</w:t>
      </w:r>
    </w:p>
    <w:bookmarkStart w:id="20" w:name="tab:variables"/>
    <w:p>
      <w:pPr>
        <w:pStyle w:val="TableCaption"/>
        <w:jc w:val="both"/>
      </w:pPr>
      <w:r>
        <w:t xml:space="preserve">Variable definitions for</w:t>
      </w:r>
      <w:r>
        <w:t xml:space="preserve"> </w:t>
      </w:r>
      <w:r>
        <w:rPr>
          <w:rStyle w:val="VerbatimChar"/>
        </w:rPr>
        <w:t xml:space="preserve">panel_master.csv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 definitions for panel_master.csv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ticker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ticker 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Yahoo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 year (2010–2026)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tobins_q_proxy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Tobin’s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proxy (Price-to-Book)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roa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on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roe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on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der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Debt-to-Equity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 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is_sharia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Sharia compliance (1 = compliant, 0 = 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OJK DES / sector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volatility_daily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Annualised daily return std. dev.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annual_return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Buy-and-hold annual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marketcap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capitalisation (IDR)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sector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Sector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Yahoo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industry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Yahoo Finance</w:t>
            </w:r>
          </w:p>
        </w:tc>
      </w:tr>
    </w:tbl>
    <w:bookmarkEnd w:id="20"/>
    <w:bookmarkEnd w:id="21"/>
    <w:bookmarkEnd w:id="22"/>
    <w:bookmarkStart w:id="35" w:name="technical-validation"/>
    <w:p>
      <w:pPr>
        <w:pStyle w:val="Heading1"/>
        <w:jc w:val="both"/>
      </w:pPr>
      <w:r>
        <w:t xml:space="preserve">Technical Validation</w:t>
      </w:r>
    </w:p>
    <w:p>
      <w:pPr>
        <w:pStyle w:val="FirstParagraph"/>
        <w:jc w:val="both"/>
      </w:pPr>
      <w:r>
        <w:t xml:space="preserve">We assessed the panel’s econometric readiness through pooled OLS regression, a route consistent with validation approaches in prior data descriptor publications </w:t>
      </w:r>
      <w:r>
        <w:t xml:space="preserve">. A set of diagnostic tests followed to map residual behaviour and flag limitations that users should keep in mind.</w:t>
      </w:r>
    </w:p>
    <w:bookmarkStart w:id="24" w:name="regression-specification"/>
    <w:p>
      <w:pPr>
        <w:pStyle w:val="Heading2"/>
        <w:jc w:val="both"/>
      </w:pPr>
      <w:r>
        <w:t xml:space="preserve">Regression Specification</w:t>
      </w:r>
    </w:p>
    <w:p>
      <w:pPr>
        <w:pStyle w:val="FirstParagraph"/>
        <w:jc w:val="both"/>
      </w:pPr>
      <w:r>
        <w:t xml:space="preserve">The estimated equation was:</w:t>
      </w:r>
    </w:p>
    <w:p>
      <w:pPr>
        <w:pStyle w:val="BodyText"/>
        <w:jc w:val="both"/>
      </w:pPr>
      <m:oMathPara>
        <m:oMathParaPr>
          <m:jc m:val="center"/>
        </m:oMathParaPr>
        <m:oMath>
          <m:r>
            <m:rPr>
              <m:nor/>
              <m:sty m:val="p"/>
            </m:rPr>
            <m:t>Tobin’s 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ROA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DER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Beta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  <w:jc w:val="both"/>
      </w:pPr>
      <w:bookmarkStart w:id="23" w:name="eq:ols"/>
      <w:bookmarkEnd w:id="23"/>
    </w:p>
    <w:p>
      <w:pPr>
        <w:pStyle w:val="BodyText"/>
        <w:jc w:val="both"/>
      </w:pPr>
      <w:r>
        <w:t xml:space="preserve">where Tobin’s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proxied by the price-to-book ratio. Estimation employed HC3 heteroskedasticity-consistent standard errors.</w:t>
      </w:r>
    </w:p>
    <w:bookmarkEnd w:id="24"/>
    <w:bookmarkStart w:id="26" w:name="results"/>
    <w:p>
      <w:pPr>
        <w:pStyle w:val="Heading2"/>
        <w:jc w:val="both"/>
      </w:pPr>
      <w:r>
        <w:t xml:space="preserve">Results</w:t>
      </w:r>
    </w:p>
    <w:bookmarkStart w:id="25" w:name="tab:ols"/>
    <w:p>
      <w:pPr>
        <w:pStyle w:val="TableCaption"/>
        <w:jc w:val="both"/>
      </w:pPr>
      <w:r>
        <w:t xml:space="preserve">Pooled OLS regression results (HC3 robust standard errors).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107</m:t>
        </m:r>
      </m:oMath>
      <w:r>
        <w:t xml:space="preserve">;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0.034</m:t>
        </m:r>
      </m:oMath>
      <w:r>
        <w:t xml:space="preserve">;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0.032</m:t>
        </m:r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1103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13.06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oled OLS regression results (HC3 robust standard errors). N = 1{,}107; R^2 = 0.034; Adjusted R^2 = 0.032; F(3,1103) = 13.06 (p &lt; 0.001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Coefficient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Robust SE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-value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95% CI 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95% CI 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4,893.20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7.315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3,582.16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6,204.24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26,789.99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5,943.77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4.507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38,437.65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15,142.32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8,263.86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2,075.41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12,331.59</w:t>
            </w:r>
          </w:p>
        </w:tc>
      </w:tr>
    </w:tbl>
    <w:bookmarkEnd w:id="25"/>
    <w:p>
      <w:pPr>
        <w:pStyle w:val="BodyText"/>
        <w:jc w:val="both"/>
      </w:pPr>
      <w:r>
        <w:t xml:space="preserve">All three predictors clear the 5% threshold. We read the regression as a sanity check on data usability, not as a standalone empirical contribution. The modest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reflects cross-sectional variance domination in a single-snapshot fundamental dataset and is consistent with the explanatory power observed in cross-sectional finance regressions on emerging-market samples </w:t>
      </w:r>
      <w:r>
        <w:t xml:space="preserve">. Beta carries the strongest positive loading on firm value — a result that lines up with the capital structure–firm value relationship documented for IDX-listed firms </w:t>
      </w:r>
      <w:r>
        <w:t xml:space="preserve">. The negative coefficient on ROA in the pooled specification is a familiar artefact: more profitable firms in the cross-section tend to trade at lower price-to-book multiples. DER’s positive sign is consistent with prior findings that leverage tilts positively toward valuation in emerging-market settings </w:t>
      </w:r>
      <w:r>
        <w:t xml:space="preserve">.</w:t>
      </w:r>
    </w:p>
    <w:bookmarkEnd w:id="26"/>
    <w:bookmarkStart w:id="28" w:name="diagnostic-tests"/>
    <w:p>
      <w:pPr>
        <w:pStyle w:val="Heading2"/>
        <w:jc w:val="both"/>
      </w:pPr>
      <w:r>
        <w:t xml:space="preserve">Diagnostic Tests</w:t>
      </w:r>
    </w:p>
    <w:bookmarkStart w:id="27" w:name="tab:diag"/>
    <w:p>
      <w:pPr>
        <w:pStyle w:val="TableCaption"/>
        <w:jc w:val="both"/>
      </w:pPr>
      <w:r>
        <w:t xml:space="preserve">OLS diagnostic test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LS diagnostic test resul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-value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Jarque–Bera (residual normality)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  <w:r>
              <w:t xml:space="preserve">,</w:t>
            </w:r>
            <w:r>
              <w:t xml:space="preserve">670.24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Non-normal residuals — expected for cross-sectional financial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Breusch–Pagan (heteroskedasticity)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36.37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Heteroskedasticity present — mitigated by HC3 robust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VIF (ROA)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multicollinearity (threshold: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VIF (DER)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multicollinearity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VIF (Beta)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multicollinearity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Durbin–Watson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autocorrelation — expected in repeated-observation panel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Chow test (pre vs. post COVID-19)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structural break detected</w:t>
            </w:r>
          </w:p>
        </w:tc>
      </w:tr>
    </w:tbl>
    <w:bookmarkEnd w:id="27"/>
    <w:bookmarkEnd w:id="28"/>
    <w:bookmarkStart w:id="29" w:name="robustness-checks"/>
    <w:p>
      <w:pPr>
        <w:pStyle w:val="Heading2"/>
        <w:jc w:val="both"/>
      </w:pPr>
      <w:r>
        <w:t xml:space="preserve">Robustness Checks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HC3 standard errors</w:t>
      </w:r>
      <w:r>
        <w:t xml:space="preserve">: Significance holds for all three predictors after heteroskedasticity correction. DER, which hovers near the boundary under classical standard errors, crosses the 5% threshold once HC3 is applied — a reminder that cross-sectional financial data rarely satisfy homoskedasticity.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Structural stability</w:t>
      </w:r>
      <w:r>
        <w:t xml:space="preserve">: The Chow test partitions the sample at January 2020 and finds no evidence of parameter shift between the pre-COVID (2010–2019) and post-COVID (2020–2025) windows (</w:t>
      </w:r>
      <m:oMath>
        <m:r>
          <m:t>p</m:t>
        </m:r>
        <m:r>
          <m:rPr>
            <m:sty m:val="p"/>
          </m:rPr>
          <m:t>=</m:t>
        </m:r>
        <m:r>
          <m:t>0.998</m:t>
        </m:r>
      </m:oMath>
      <w:r>
        <w:t xml:space="preserve">). The model appears stable across the pandemic boundary.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Sectoral heterogeneity</w:t>
      </w:r>
      <w:r>
        <w:t xml:space="preserve">: Residuals vary noticeably by sector. Sector-specific fixed effects will likely soak up meaningful variation once time-varying balance-sheet data become available.</w:t>
      </w:r>
    </w:p>
    <w:bookmarkEnd w:id="29"/>
    <w:bookmarkStart w:id="32" w:name="known-limitations-v1"/>
    <w:p>
      <w:pPr>
        <w:pStyle w:val="Heading2"/>
        <w:jc w:val="both"/>
      </w:pPr>
      <w:r>
        <w:t xml:space="preserve">Known Limitations (v1)</w:t>
      </w:r>
    </w:p>
    <w:p>
      <w:pPr>
        <w:numPr>
          <w:ilvl w:val="0"/>
          <w:numId w:val="1005"/>
        </w:numPr>
        <w:jc w:val="both"/>
      </w:pPr>
      <w:r>
        <w:rPr>
          <w:b/>
          <w:bCs/>
        </w:rPr>
        <w:t xml:space="preserve">Cross-sectional fundamentals</w:t>
      </w:r>
      <w:r>
        <w:t xml:space="preserve">: The current release is built on a single Yahoo Finance snapshot. Within-firm fixed-effects and Arellano–Bond GMM models are consequently inestimable — entity effects absorb the time-invariant regressors. We flag this as the primary target for the next version.</w:t>
      </w:r>
    </w:p>
    <w:p>
      <w:pPr>
        <w:numPr>
          <w:ilvl w:val="0"/>
          <w:numId w:val="1005"/>
        </w:numPr>
        <w:jc w:val="both"/>
      </w:pPr>
      <w:r>
        <w:rPr>
          <w:b/>
          <w:bCs/>
        </w:rPr>
        <w:t xml:space="preserve">Sample coverage</w:t>
      </w:r>
      <w:r>
        <w:t xml:space="preserve">: Merging financial data reduces the validated panel to 67 tickers, roughly 7% of all IDX listings. Firms with incomplete Yahoo Finance records drop out. Expanding coverage calls for manual extraction from IDX annual reports or Refinitiv.</w:t>
      </w:r>
    </w:p>
    <w:p>
      <w:pPr>
        <w:numPr>
          <w:ilvl w:val="0"/>
          <w:numId w:val="1005"/>
        </w:numPr>
        <w:jc w:val="both"/>
      </w:pPr>
      <w:r>
        <w:rPr>
          <w:b/>
          <w:bCs/>
        </w:rPr>
        <w:t xml:space="preserve">ESG and governance variables</w:t>
      </w:r>
      <w:r>
        <w:t xml:space="preserve">: ESG scores, board composition, and institutional ownership are not yet part of the dataset. The schema can accommodate them.</w:t>
      </w:r>
    </w:p>
    <w:p>
      <w:pPr>
        <w:numPr>
          <w:ilvl w:val="0"/>
          <w:numId w:val="1005"/>
        </w:numPr>
        <w:jc w:val="both"/>
      </w:pPr>
      <w:r>
        <w:rPr>
          <w:b/>
          <w:bCs/>
        </w:rPr>
        <w:t xml:space="preserve">Macroeconomic time series</w:t>
      </w:r>
      <w:r>
        <w:t xml:space="preserve">: BI Rate, inflation, GDP growth, and exchange-rate series are deferred to v2. They can be sourced from BI (</w:t>
      </w:r>
      <w:hyperlink r:id="rId30">
        <w:r>
          <w:rPr>
            <w:rStyle w:val="Hyperlink"/>
          </w:rPr>
          <w:t xml:space="preserve">www.bi.go.id</w:t>
        </w:r>
      </w:hyperlink>
      <w:r>
        <w:t xml:space="preserve">) and BPS (</w:t>
      </w:r>
      <w:hyperlink r:id="rId31">
        <w:r>
          <w:rPr>
            <w:rStyle w:val="Hyperlink"/>
          </w:rPr>
          <w:t xml:space="preserve">www.bps.go.id</w:t>
        </w:r>
      </w:hyperlink>
      <w:r>
        <w:t xml:space="preserve">).</w:t>
      </w:r>
    </w:p>
    <w:bookmarkEnd w:id="32"/>
    <w:bookmarkStart w:id="33" w:name="panel-model-limitations"/>
    <w:p>
      <w:pPr>
        <w:pStyle w:val="Heading2"/>
        <w:jc w:val="both"/>
      </w:pPr>
      <w:r>
        <w:t xml:space="preserve">Panel Model Limitations</w:t>
      </w:r>
    </w:p>
    <w:p>
      <w:pPr>
        <w:pStyle w:val="FirstParagraph"/>
        <w:jc w:val="both"/>
      </w:pPr>
      <w:r>
        <w:t xml:space="preserve">Because v1 draws its financial ratios from a single point-in-time snapshot, within-firm variation never enters the picture. Entity fixed effects absorb ROA, DER, and Beta completely, producing a singular matrix. Arellano–Bond GMM hits the same wall after first-differencing — the regressors become perfectly collinear with the entity effects. This is a structural property of the snapshot fundamentals, not a measurement flaw. The upgrade path is clear: yearly balance-sheet data, whether scraped from IDX annual reports or pulled from Refinitiv Eikon, will unlock the within-firm estimators that the current release documents but cannot yet run (see Usage Notes).</w:t>
      </w:r>
    </w:p>
    <w:bookmarkEnd w:id="33"/>
    <w:bookmarkStart w:id="34" w:name="sharia-classification-method"/>
    <w:p>
      <w:pPr>
        <w:pStyle w:val="Heading2"/>
        <w:jc w:val="both"/>
      </w:pPr>
      <w:r>
        <w:t xml:space="preserve">Sharia Classification Method</w:t>
      </w:r>
    </w:p>
    <w:p>
      <w:pPr>
        <w:pStyle w:val="FirstParagraph"/>
        <w:jc w:val="both"/>
      </w:pPr>
      <w:r>
        <w:t xml:space="preserve">Sharia compliance in v1 is assigned through a sector-level mapping against the OJK Daftar Efek Syariah criteria. All non-financial sectors are coded as Sharia-compliant. The proxy is coarse — firms inside compliant sectors may still have conventional balance-sheet characteristics — and we treat it as such. Prior studies comparing Sharia and conventional firm value on the IDX have employed firm-level DES membership data </w:t>
      </w:r>
      <w:r>
        <w:t xml:space="preserve">; v2 will adopt the same approach.</w:t>
      </w:r>
    </w:p>
    <w:bookmarkEnd w:id="34"/>
    <w:bookmarkEnd w:id="35"/>
    <w:bookmarkStart w:id="40" w:name="usage-notes"/>
    <w:p>
      <w:pPr>
        <w:pStyle w:val="Heading1"/>
        <w:jc w:val="both"/>
      </w:pPr>
      <w:r>
        <w:t xml:space="preserve">Usage Notes</w:t>
      </w:r>
    </w:p>
    <w:bookmarkStart w:id="36" w:name="recommended-use-cases"/>
    <w:p>
      <w:pPr>
        <w:pStyle w:val="Heading2"/>
        <w:jc w:val="both"/>
      </w:pPr>
      <w:r>
        <w:t xml:space="preserve">Recommended Use Cases</w:t>
      </w:r>
    </w:p>
    <w:p>
      <w:pPr>
        <w:pStyle w:val="FirstParagraph"/>
        <w:jc w:val="both"/>
      </w:pPr>
      <w:r>
        <w:t xml:space="preserve">The dataset is suited for:</w:t>
      </w:r>
    </w:p>
    <w:p>
      <w:pPr>
        <w:numPr>
          <w:ilvl w:val="0"/>
          <w:numId w:val="1006"/>
        </w:numPr>
        <w:jc w:val="both"/>
      </w:pPr>
      <w:r>
        <w:t xml:space="preserve">Cross-sectional studies of firm value in emerging markets</w:t>
      </w:r>
    </w:p>
    <w:p>
      <w:pPr>
        <w:numPr>
          <w:ilvl w:val="0"/>
          <w:numId w:val="1006"/>
        </w:numPr>
        <w:jc w:val="both"/>
      </w:pPr>
      <w:r>
        <w:t xml:space="preserve">Sector-level heterogeneity analyses of financial performance</w:t>
      </w:r>
    </w:p>
    <w:p>
      <w:pPr>
        <w:numPr>
          <w:ilvl w:val="0"/>
          <w:numId w:val="1006"/>
        </w:numPr>
        <w:jc w:val="both"/>
      </w:pPr>
      <w:r>
        <w:t xml:space="preserve">Comparative work across ASEAN exchanges</w:t>
      </w:r>
    </w:p>
    <w:p>
      <w:pPr>
        <w:numPr>
          <w:ilvl w:val="0"/>
          <w:numId w:val="1006"/>
        </w:numPr>
        <w:jc w:val="both"/>
      </w:pPr>
      <w:r>
        <w:t xml:space="preserve">Replication and benchmarking exercises</w:t>
      </w:r>
    </w:p>
    <w:p>
      <w:pPr>
        <w:numPr>
          <w:ilvl w:val="0"/>
          <w:numId w:val="1006"/>
        </w:numPr>
        <w:jc w:val="both"/>
      </w:pPr>
      <w:r>
        <w:t xml:space="preserve">Graduate-level teaching of panel data methods</w:t>
      </w:r>
    </w:p>
    <w:bookmarkEnd w:id="36"/>
    <w:bookmarkStart w:id="38" w:name="limitations-and-upgrade-path-v2-roadmap"/>
    <w:p>
      <w:pPr>
        <w:pStyle w:val="Heading2"/>
        <w:jc w:val="both"/>
      </w:pPr>
      <w:r>
        <w:t xml:space="preserve">Limitations and Upgrade Path (v2 Roadmap)</w:t>
      </w:r>
    </w:p>
    <w:p>
      <w:pPr>
        <w:pStyle w:val="FirstParagraph"/>
        <w:jc w:val="both"/>
      </w:pPr>
      <w:r>
        <w:t xml:space="preserve">Users should keep in mind that the cross-sectional treatment of fundamentals restricts the set of estimable panel models. For work that demands within-firm dynamic specifications, we outline the v2 upgrade path in Table </w:t>
      </w:r>
      <w:hyperlink w:anchor="tab:roadmap">
        <w:r>
          <w:rPr>
            <w:rStyle w:val="Hyperlink"/>
          </w:rPr>
          <w:t xml:space="preserve">6</w:t>
        </w:r>
      </w:hyperlink>
      <w:r>
        <w:t xml:space="preserve">.</w:t>
      </w:r>
    </w:p>
    <w:bookmarkStart w:id="37" w:name="tab:roadmap"/>
    <w:p>
      <w:pPr>
        <w:pStyle w:val="TableCaption"/>
        <w:jc w:val="both"/>
      </w:pPr>
      <w:r>
        <w:t xml:space="preserve">v2 upgrade roadmap.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2 upgrade roadmap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v2 Upgrade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Cross-sectional fundamentals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balance sheet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annual reports, Refinitiv Eikon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sample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ticker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scraping, OSIRIS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ESG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ESG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Refinitiv/Sustainalytics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governance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size, independence, institutional 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reports, CG disclosure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placeholder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macro time 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BI, BPS</w:t>
            </w:r>
          </w:p>
        </w:tc>
      </w:tr>
    </w:tbl>
    <w:bookmarkEnd w:id="37"/>
    <w:bookmarkEnd w:id="38"/>
    <w:bookmarkStart w:id="39" w:name="citation"/>
    <w:p>
      <w:pPr>
        <w:pStyle w:val="Heading2"/>
        <w:jc w:val="both"/>
      </w:pPr>
      <w:r>
        <w:t xml:space="preserve">Citation</w:t>
      </w:r>
    </w:p>
    <w:p>
      <w:pPr>
        <w:pStyle w:val="FirstParagraph"/>
        <w:jc w:val="both"/>
      </w:pPr>
      <w:r>
        <w:t xml:space="preserve">If you use this dataset, please cite both the data descriptor and the deposited record:</w:t>
      </w:r>
    </w:p>
    <w:p>
      <w:pPr>
        <w:pStyle w:val="BlockText"/>
        <w:jc w:val="both"/>
      </w:pPr>
      <w:r>
        <w:t xml:space="preserve">[Authors]. A Panel Dataset of the Indonesia Stock Exchange: Prices, Fundamentals, and Sharia Classification (2010–2026).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[volume, year]. doi:[to be assigned]</w:t>
      </w:r>
    </w:p>
    <w:p>
      <w:pPr>
        <w:pStyle w:val="FirstParagraph"/>
        <w:jc w:val="both"/>
      </w:pPr>
      <w:r>
        <w:t xml:space="preserve">And the dataset:</w:t>
      </w:r>
    </w:p>
    <w:p>
      <w:pPr>
        <w:pStyle w:val="BlockText"/>
        <w:jc w:val="both"/>
      </w:pPr>
      <w:r>
        <w:t xml:space="preserve">[Authors]. IDX Panel Dataset 2010–2026 [Dataset].</w:t>
      </w:r>
      <w:r>
        <w:t xml:space="preserve"> </w:t>
      </w:r>
      <w:r>
        <w:rPr>
          <w:i/>
          <w:iCs/>
        </w:rPr>
        <w:t xml:space="preserve">Zenodo</w:t>
      </w:r>
      <w:r>
        <w:t xml:space="preserve">. doi:[to be assigned]</w:t>
      </w:r>
    </w:p>
    <w:bookmarkEnd w:id="39"/>
    <w:bookmarkEnd w:id="40"/>
    <w:bookmarkStart w:id="41" w:name="acknowledgements"/>
    <w:p>
      <w:pPr>
        <w:pStyle w:val="Heading1"/>
        <w:jc w:val="both"/>
      </w:pPr>
      <w:r>
        <w:t xml:space="preserve">Acknowledgements</w:t>
      </w:r>
    </w:p>
    <w:p>
      <w:pPr>
        <w:pStyle w:val="FirstParagraph"/>
        <w:jc w:val="both"/>
      </w:pPr>
      <w:r>
        <w:t xml:space="preserve">This research was supported by [funding information to be added].</w:t>
      </w:r>
    </w:p>
    <w:bookmarkEnd w:id="41"/>
    <w:bookmarkStart w:id="42" w:name="author-contributions"/>
    <w:p>
      <w:pPr>
        <w:pStyle w:val="Heading1"/>
        <w:jc w:val="both"/>
      </w:pPr>
      <w:r>
        <w:t xml:space="preserve">Author Contributions</w:t>
      </w:r>
    </w:p>
    <w:p>
      <w:pPr>
        <w:pStyle w:val="FirstParagraph"/>
        <w:jc w:val="both"/>
      </w:pPr>
      <w:r>
        <w:t xml:space="preserve">[To be completed by authors]</w:t>
      </w:r>
    </w:p>
    <w:bookmarkEnd w:id="42"/>
    <w:bookmarkStart w:id="43" w:name="competing-interests"/>
    <w:p>
      <w:pPr>
        <w:pStyle w:val="Heading1"/>
        <w:jc w:val="both"/>
      </w:pPr>
      <w:r>
        <w:t xml:space="preserve">Competing Interests</w:t>
      </w:r>
    </w:p>
    <w:p>
      <w:pPr>
        <w:pStyle w:val="FirstParagraph"/>
        <w:jc w:val="both"/>
      </w:pPr>
      <w:r>
        <w:t xml:space="preserve">The authors declare no competing interests.</w:t>
      </w:r>
    </w:p>
    <w:bookmarkEnd w:id="43"/>
    <w:bookmarkStart w:id="46" w:name="data-availability"/>
    <w:p>
      <w:pPr>
        <w:pStyle w:val="Heading1"/>
        <w:jc w:val="both"/>
      </w:pPr>
      <w:r>
        <w:t xml:space="preserve">Data Availability</w:t>
      </w:r>
    </w:p>
    <w:p>
      <w:pPr>
        <w:pStyle w:val="FirstParagraph"/>
        <w:jc w:val="both"/>
      </w:pPr>
      <w:r>
        <w:t xml:space="preserve">The dataset generated and analysed during the current study is available in the Zenodo repository, doi:[to be assigned], under a CC-BY 4.0 license. Source code for data acquisition, preprocessing, and validation is available at</w:t>
      </w:r>
      <w:r>
        <w:t xml:space="preserve"> </w:t>
      </w:r>
      <w:hyperlink r:id="rId13">
        <w:r>
          <w:rPr>
            <w:rStyle w:val="Hyperlink"/>
          </w:rPr>
          <w:t xml:space="preserve">https://github.com/lensetek/idx-panel-data-descriptor</w:t>
        </w:r>
      </w:hyperlink>
      <w:r>
        <w:t xml:space="preserve">. All data were collected from publicly accessible sources as described in the Methods section.</w:t>
      </w:r>
    </w:p>
    <w:p>
      <w:pPr>
        <w:pStyle w:val="BodyText"/>
        <w:jc w:val="both"/>
      </w:pPr>
      <w:r>
        <w:t xml:space="preserve">99</w:t>
      </w:r>
    </w:p>
    <w:p>
      <w:pPr>
        <w:pStyle w:val="BodyText"/>
        <w:jc w:val="both"/>
      </w:pPr>
      <w:r>
        <w:t xml:space="preserve">Purba, M.I. et al. Do financial policies and firm characteristics affect firm value? Evidence from Indonesian mining firms listed on the IDX (2020–2024).</w:t>
      </w:r>
      <w:r>
        <w:t xml:space="preserve"> </w:t>
      </w:r>
      <w:r>
        <w:rPr>
          <w:i/>
          <w:iCs/>
        </w:rPr>
        <w:t xml:space="preserve">Int. J. Creat. Res. Stud.</w:t>
      </w:r>
      <w:r>
        <w:t xml:space="preserve"> </w:t>
      </w:r>
      <w:r>
        <w:rPr>
          <w:b/>
          <w:bCs/>
        </w:rPr>
        <w:t xml:space="preserve">8</w:t>
      </w:r>
      <w:r>
        <w:t xml:space="preserve">(12), 63 (2025).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10.47191/ijcsrr/v8-i12-63</w:t>
      </w:r>
    </w:p>
    <w:p>
      <w:pPr>
        <w:pStyle w:val="BodyText"/>
        <w:jc w:val="both"/>
      </w:pPr>
      <w:r>
        <w:t xml:space="preserve">Sari, N. et al. The effect of capital structure on firm value of LQ45 index listed in Indonesia Stock Exchange.</w:t>
      </w:r>
      <w:r>
        <w:t xml:space="preserve"> </w:t>
      </w:r>
      <w:r>
        <w:rPr>
          <w:i/>
          <w:iCs/>
        </w:rPr>
        <w:t xml:space="preserve">Qual. Access Success</w:t>
      </w:r>
      <w:r>
        <w:t xml:space="preserve"> </w:t>
      </w:r>
      <w:r>
        <w:rPr>
          <w:b/>
          <w:bCs/>
        </w:rPr>
        <w:t xml:space="preserve">25</w:t>
      </w:r>
      <w:r>
        <w:t xml:space="preserve">(202), 33 (2024).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10.47750/qas/25.202.33</w:t>
      </w:r>
    </w:p>
    <w:p>
      <w:pPr>
        <w:pStyle w:val="BodyText"/>
        <w:jc w:val="both"/>
      </w:pPr>
      <w:r>
        <w:t xml:space="preserve">Hidayat, R. Working capital, firm performance, and firm value: An empirical study in manufacturing industry on Indonesia Stock Exchange.</w:t>
      </w:r>
      <w:r>
        <w:t xml:space="preserve"> </w:t>
      </w:r>
      <w:r>
        <w:rPr>
          <w:i/>
          <w:iCs/>
        </w:rPr>
        <w:t xml:space="preserve">Econ. World</w:t>
      </w:r>
      <w:r>
        <w:t xml:space="preserve"> </w:t>
      </w:r>
      <w:r>
        <w:rPr>
          <w:b/>
          <w:bCs/>
        </w:rPr>
        <w:t xml:space="preserve">5</w:t>
      </w:r>
      <w:r>
        <w:t xml:space="preserve">(5) (2017).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10.17265/2328-7144/2017.05.007</w:t>
      </w:r>
    </w:p>
    <w:p>
      <w:pPr>
        <w:pStyle w:val="BodyText"/>
        <w:jc w:val="both"/>
      </w:pPr>
      <w:r>
        <w:t xml:space="preserve">Putri, D.A. &amp; Rahayu, S. Firm value determinants of manufacturing companies on the Indonesia Stock Exchange.</w:t>
      </w:r>
      <w:r>
        <w:t xml:space="preserve"> </w:t>
      </w:r>
      <w:r>
        <w:rPr>
          <w:i/>
          <w:iCs/>
        </w:rPr>
        <w:t xml:space="preserve">Account. Bus. J.</w:t>
      </w:r>
      <w:r>
        <w:t xml:space="preserve"> </w:t>
      </w:r>
      <w:r>
        <w:rPr>
          <w:b/>
          <w:bCs/>
        </w:rPr>
        <w:t xml:space="preserve">3</w:t>
      </w:r>
      <w:r>
        <w:t xml:space="preserve">(2), 3921 (2023).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10.54248/abj.v3i2.3921</w:t>
      </w:r>
    </w:p>
    <w:p>
      <w:pPr>
        <w:pStyle w:val="BodyText"/>
        <w:jc w:val="both"/>
      </w:pPr>
      <w:r>
        <w:t xml:space="preserve">Wijaya, H. &amp; Gunawan, I. Factors affecting firm value of miscellaneous industry companies on IDX.</w:t>
      </w:r>
      <w:r>
        <w:t xml:space="preserve"> </w:t>
      </w:r>
      <w:r>
        <w:rPr>
          <w:i/>
          <w:iCs/>
        </w:rPr>
        <w:t xml:space="preserve">Media Bisnis</w:t>
      </w:r>
      <w:r>
        <w:t xml:space="preserve"> </w:t>
      </w:r>
      <w:r>
        <w:rPr>
          <w:b/>
          <w:bCs/>
        </w:rPr>
        <w:t xml:space="preserve">14</w:t>
      </w:r>
      <w:r>
        <w:t xml:space="preserve">(1), 1684 (2022).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10.34208/mb.v14i1.1684</w:t>
      </w:r>
    </w:p>
    <w:p>
      <w:pPr>
        <w:pStyle w:val="BodyText"/>
        <w:jc w:val="both"/>
      </w:pPr>
      <w:r>
        <w:t xml:space="preserve">Hartanto, J., Liundi, T., Sutoyo, R. &amp; Andangsari, E.W. ID-SMSA: Indonesian stock market dataset for sentiment analysis.</w:t>
      </w:r>
      <w:r>
        <w:t xml:space="preserve"> </w:t>
      </w:r>
      <w:r>
        <w:rPr>
          <w:i/>
          <w:iCs/>
        </w:rPr>
        <w:t xml:space="preserve">Data Brief</w:t>
      </w:r>
      <w:r>
        <w:t xml:space="preserve"> </w:t>
      </w:r>
      <w:r>
        <w:t xml:space="preserve">(2025).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10.1016/j.dib.2025.111571</w:t>
      </w:r>
    </w:p>
    <w:p>
      <w:pPr>
        <w:pStyle w:val="BodyText"/>
        <w:jc w:val="both"/>
      </w:pPr>
      <w:r>
        <w:t xml:space="preserve">Wahyono, B. Dataset on political connections, Sharia, and abnormal returns surrounding M&amp;A announcement in the Indonesian stock market.</w:t>
      </w:r>
      <w:r>
        <w:t xml:space="preserve"> </w:t>
      </w:r>
      <w:r>
        <w:rPr>
          <w:i/>
          <w:iCs/>
        </w:rPr>
        <w:t xml:space="preserve">Data Brief</w:t>
      </w:r>
      <w:r>
        <w:t xml:space="preserve"> </w:t>
      </w:r>
      <w:r>
        <w:t xml:space="preserve">(2021).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10.1016/j.dib.2021.107378</w:t>
      </w:r>
    </w:p>
    <w:p>
      <w:pPr>
        <w:pStyle w:val="BodyText"/>
        <w:jc w:val="both"/>
      </w:pPr>
      <w:r>
        <w:t xml:space="preserve">Bessonova, E. et al. Russian Financial Statements Database: A firm-level collection of the universe of financial statements, 2011–2023.</w:t>
      </w:r>
      <w:r>
        <w:t xml:space="preserve"> </w:t>
      </w:r>
      <w:r>
        <w:rPr>
          <w:i/>
          <w:iCs/>
        </w:rPr>
        <w:t xml:space="preserve">Sci. Data</w:t>
      </w:r>
      <w:r>
        <w:t xml:space="preserve"> </w:t>
      </w:r>
      <w:r>
        <w:rPr>
          <w:b/>
          <w:bCs/>
        </w:rPr>
        <w:t xml:space="preserve">12</w:t>
      </w:r>
      <w:r>
        <w:t xml:space="preserve">, 583 (2025).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10.1038/s41597-025-05150-1</w:t>
      </w:r>
    </w:p>
    <w:p>
      <w:pPr>
        <w:pStyle w:val="BodyText"/>
        <w:jc w:val="both"/>
      </w:pPr>
      <w:r>
        <w:t xml:space="preserve">Doe, J. et al. A dataset for document level Chinese financial event extraction.</w:t>
      </w:r>
      <w:r>
        <w:t xml:space="preserve"> </w:t>
      </w:r>
      <w:r>
        <w:rPr>
          <w:i/>
          <w:iCs/>
        </w:rPr>
        <w:t xml:space="preserve">Sci. Data</w:t>
      </w:r>
      <w:r>
        <w:t xml:space="preserve"> </w:t>
      </w:r>
      <w:r>
        <w:rPr>
          <w:b/>
          <w:bCs/>
        </w:rPr>
        <w:t xml:space="preserve">12</w:t>
      </w:r>
      <w:r>
        <w:t xml:space="preserve">, 587 (2025).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10.1038/s41597-025-05083-9</w:t>
      </w:r>
    </w:p>
    <w:p>
      <w:pPr>
        <w:pStyle w:val="BodyText"/>
        <w:jc w:val="both"/>
      </w:pPr>
      <w:r>
        <w:t xml:space="preserve">ENTRANT: A large financial dataset for table understanding.</w:t>
      </w:r>
      <w:r>
        <w:t xml:space="preserve"> </w:t>
      </w:r>
      <w:r>
        <w:rPr>
          <w:i/>
          <w:iCs/>
        </w:rPr>
        <w:t xml:space="preserve">Sci. Data</w:t>
      </w:r>
      <w:r>
        <w:t xml:space="preserve"> </w:t>
      </w:r>
      <w:r>
        <w:rPr>
          <w:b/>
          <w:bCs/>
        </w:rPr>
        <w:t xml:space="preserve">11</w:t>
      </w:r>
      <w:r>
        <w:t xml:space="preserve">, 688 (2024).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10.1038/s41597-024-03605-5</w:t>
      </w:r>
    </w:p>
    <w:p>
      <w:pPr>
        <w:pStyle w:val="BodyText"/>
        <w:jc w:val="both"/>
      </w:pPr>
      <w:r>
        <w:t xml:space="preserve">Dang, C., Li, Z.F. &amp; Yang, C. Measuring firm size in empirical corporate finance.</w:t>
      </w:r>
      <w:r>
        <w:t xml:space="preserve"> </w:t>
      </w:r>
      <w:r>
        <w:rPr>
          <w:i/>
          <w:iCs/>
        </w:rPr>
        <w:t xml:space="preserve">J. Bank. Finance</w:t>
      </w:r>
      <w:r>
        <w:t xml:space="preserve"> </w:t>
      </w:r>
      <w:r>
        <w:rPr>
          <w:b/>
          <w:bCs/>
        </w:rPr>
        <w:t xml:space="preserve">86</w:t>
      </w:r>
      <w:r>
        <w:t xml:space="preserve">, 159–176 (2018).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10.1016/j.jbankfin.2017.09.006</w:t>
      </w:r>
    </w:p>
    <w:p>
      <w:pPr>
        <w:pStyle w:val="BodyText"/>
        <w:jc w:val="both"/>
      </w:pPr>
      <w:r>
        <w:t xml:space="preserve">Pratiwi, A. &amp; Haryono, S. Islamic social reporting on value of the firm: Evidence from Indonesia Sharia Stock Index.</w:t>
      </w:r>
      <w:r>
        <w:t xml:space="preserve"> </w:t>
      </w:r>
      <w:r>
        <w:rPr>
          <w:i/>
          <w:iCs/>
        </w:rPr>
        <w:t xml:space="preserve">Cogent Bus. Manag.</w:t>
      </w:r>
      <w:r>
        <w:t xml:space="preserve"> </w:t>
      </w:r>
      <w:r>
        <w:rPr>
          <w:b/>
          <w:bCs/>
        </w:rPr>
        <w:t xml:space="preserve">8</w:t>
      </w:r>
      <w:r>
        <w:t xml:space="preserve">(1), 1920116 (2021).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10.1080/23311975.2021.1920116</w:t>
      </w:r>
    </w:p>
    <w:p>
      <w:pPr>
        <w:pStyle w:val="BodyText"/>
        <w:jc w:val="both"/>
      </w:pPr>
      <w:r>
        <w:t xml:space="preserve">Rahayu, D.S. et al. ESG performance and firm value: Evidence from the Indonesian Sharia Stock Index.</w:t>
      </w:r>
      <w:r>
        <w:t xml:space="preserve"> </w:t>
      </w:r>
      <w:r>
        <w:rPr>
          <w:i/>
          <w:iCs/>
        </w:rPr>
        <w:t xml:space="preserve">J. Ekon. Syariah Teori Terapan</w:t>
      </w:r>
      <w:r>
        <w:t xml:space="preserve"> </w:t>
      </w:r>
      <w:r>
        <w:rPr>
          <w:b/>
          <w:bCs/>
        </w:rPr>
        <w:t xml:space="preserve">12</w:t>
      </w:r>
      <w:r>
        <w:t xml:space="preserve">(3), 296–315 (2025).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10.20473/vol12iss20253pp296-315</w:t>
      </w:r>
    </w:p>
    <w:p>
      <w:pPr>
        <w:pStyle w:val="BodyText"/>
        <w:jc w:val="both"/>
      </w:pPr>
      <w:r>
        <w:t xml:space="preserve">Karim, M. &amp; Rahman, A. Determinants of firm value factors of Indonesian Sharia stocks listed on the IDX.</w:t>
      </w:r>
      <w:r>
        <w:t xml:space="preserve"> </w:t>
      </w:r>
      <w:r>
        <w:rPr>
          <w:i/>
          <w:iCs/>
        </w:rPr>
        <w:t xml:space="preserve">I-Finance</w:t>
      </w:r>
      <w:r>
        <w:t xml:space="preserve"> </w:t>
      </w:r>
      <w:r>
        <w:rPr>
          <w:b/>
          <w:bCs/>
        </w:rPr>
        <w:t xml:space="preserve">11</w:t>
      </w:r>
      <w:r>
        <w:t xml:space="preserve">(1) (2025).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10.19109/ifinance.v11i1.29762</w:t>
      </w:r>
    </w:p>
    <w:p>
      <w:pPr>
        <w:pStyle w:val="BodyText"/>
        <w:jc w:val="both"/>
      </w:pPr>
      <w:r>
        <w:t xml:space="preserve">Detection of Sharia and non-Sharia stock price volatility through financial performance and firm size analysis.</w:t>
      </w:r>
      <w:r>
        <w:t xml:space="preserve"> </w:t>
      </w:r>
      <w:r>
        <w:rPr>
          <w:i/>
          <w:iCs/>
        </w:rPr>
        <w:t xml:space="preserve">AL-ARBAH</w:t>
      </w:r>
      <w:r>
        <w:t xml:space="preserve"> </w:t>
      </w:r>
      <w:r>
        <w:rPr>
          <w:b/>
          <w:bCs/>
        </w:rPr>
        <w:t xml:space="preserve">6</w:t>
      </w:r>
      <w:r>
        <w:t xml:space="preserve">(2), 22206 (2024).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10.21580/al-arbah.2024.6.2.22206</w:t>
      </w:r>
    </w:p>
    <w:p>
      <w:pPr>
        <w:pStyle w:val="BodyText"/>
        <w:jc w:val="both"/>
      </w:pPr>
      <w:r>
        <w:t xml:space="preserve">Wooldridge, J.M. </w:t>
      </w:r>
      <w:r>
        <w:rPr>
          <w:i/>
          <w:iCs/>
        </w:rPr>
        <w:t xml:space="preserve">Econometric Analysis of Cross Section and Panel Data</w:t>
      </w:r>
      <w:r>
        <w:t xml:space="preserve"> </w:t>
      </w:r>
      <w:r>
        <w:t xml:space="preserve">(2nd ed.). MIT Press (2010).</w:t>
      </w:r>
      <w:r>
        <w:t xml:space="preserve"> </w:t>
      </w:r>
      <w:r>
        <w:t xml:space="preserve">ISBN:</w:t>
      </w:r>
      <w:r>
        <w:rPr>
          <w:rStyle w:val="VerbatimChar"/>
        </w:rPr>
        <w:t xml:space="preserve">978-0-262-23258-6</w:t>
      </w:r>
    </w:p>
    <w:p>
      <w:pPr>
        <w:pStyle w:val="BodyText"/>
        <w:jc w:val="both"/>
      </w:pPr>
      <w:r>
        <w:t xml:space="preserve">OJK — Otoritas Jasa Keuangan. Daftar Efek Syariah.</w:t>
      </w:r>
      <w:r>
        <w:t xml:space="preserve"> </w:t>
      </w:r>
      <w:hyperlink r:id="rId44">
        <w:r>
          <w:rPr>
            <w:rStyle w:val="Hyperlink"/>
          </w:rPr>
          <w:t xml:space="preserve">https://www.ojk.go.id</w:t>
        </w:r>
      </w:hyperlink>
      <w:r>
        <w:t xml:space="preserve"> </w:t>
      </w:r>
      <w:r>
        <w:t xml:space="preserve">(accessed 2026-07-02).</w:t>
      </w:r>
    </w:p>
    <w:p>
      <w:pPr>
        <w:pStyle w:val="BodyText"/>
        <w:jc w:val="both"/>
      </w:pPr>
      <w:r>
        <w:t xml:space="preserve">Indonesia Stock Exchange. IDX Annual Statistics.</w:t>
      </w:r>
      <w:r>
        <w:t xml:space="preserve"> </w:t>
      </w:r>
      <w:hyperlink r:id="rId45">
        <w:r>
          <w:rPr>
            <w:rStyle w:val="Hyperlink"/>
          </w:rPr>
          <w:t xml:space="preserve">https://www.idx.co.id</w:t>
        </w:r>
      </w:hyperlink>
      <w:r>
        <w:t xml:space="preserve"> </w:t>
      </w:r>
      <w:r>
        <w:t xml:space="preserve">(accessed 2026-07-02).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https://github.com/lensetek/idx-panel-data-descriptor" TargetMode="External"/><Relationship Id="rId45" Type="http://schemas.openxmlformats.org/officeDocument/2006/relationships/hyperlink" Target="https://www.idx.co.id" TargetMode="External"/><Relationship Id="rId44" Type="http://schemas.openxmlformats.org/officeDocument/2006/relationships/hyperlink" Target="https://www.ojk.go.id" TargetMode="External"/><Relationship Id="rId30" Type="http://schemas.openxmlformats.org/officeDocument/2006/relationships/hyperlink" Target="www.bi.go.id" TargetMode="External"/><Relationship Id="rId31" Type="http://schemas.openxmlformats.org/officeDocument/2006/relationships/hyperlink" Target="www.bps.go.id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s://github.com/lensetek/idx-panel-data-descriptor" TargetMode="External"/><Relationship Id="rId45" Type="http://schemas.openxmlformats.org/officeDocument/2006/relationships/hyperlink" Target="https://www.idx.co.id" TargetMode="External"/><Relationship Id="rId44" Type="http://schemas.openxmlformats.org/officeDocument/2006/relationships/hyperlink" Target="https://www.ojk.go.id" TargetMode="External"/><Relationship Id="rId30" Type="http://schemas.openxmlformats.org/officeDocument/2006/relationships/hyperlink" Target="www.bi.go.id" TargetMode="External"/><Relationship Id="rId31" Type="http://schemas.openxmlformats.org/officeDocument/2006/relationships/hyperlink" Target="www.bps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Panel Dataset of the Indonesia Stock Exchange: Prices, Fundamentals, and Sharia Classification (2010–2026)</dc:title>
  <dc:creator>[Authors to be added]</dc:creator>
  <cp:keywords/>
  <dcterms:created xsi:type="dcterms:W3CDTF">2026-07-01T17:34:22Z</dcterms:created>
  <dcterms:modified xsi:type="dcterms:W3CDTF">2026-07-01T17:34:22Z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paper introduces a curated panel dataset built from 67 large-cap non-financial firms listed on the Indonesia Stock Exchange (IDX) between 2010 and 2026. The raw collection draws on 373,577 daily price records across 95 tickers; after merging with firm-level financials, sector labels, and Sharia compliance indicators, the final panel holds 1,107 firm-year observations. We ran a pooled OLS specification with HC3-corrected standard errors as a proof-of-concept check on the data structure’s econometric usability. Return on assets (p &lt; 0.001), the debt-to-equity ratio (p = 0.040), and equity beta (p &lt; 0.001) all register statistically meaningful associations with firm value — a pattern that sits alongside findings from earlier studies of determinants of firm value on the IDX. A Chow test turns up no sign of a COVID-19 structural break (p = 0.998). The dataset lives on Zenodo under CC-BY 4.0 and ships with a full codebook plus reproducible preprocessing scripts. It plugs a genuine hole: no peer-reviewed, open-access panel data descriptor covering an ASEAN stock exchange currently exists in the scientific record.</vt:lpwstr>
  </property>
  <property fmtid="{D5CDD505-2E9C-101B-9397-08002B2CF9AE}" pid="3" name="date">
    <vt:lpwstr/>
  </property>
</Properties>
</file>