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imHei" w:hAnsi="SimHei"/>
          <w:b/>
          <w:sz w:val="56"/>
        </w:rPr>
        <w:t>污染场地土壤生态-生产功能重构监管系统</w:t>
      </w:r>
    </w:p>
    <w:p>
      <w:r>
        <w:rPr>
          <w:sz w:val="44"/>
        </w:rPr>
        <w:t>系统用户操作手册</w:t>
      </w:r>
    </w:p>
    <w:p>
      <w:r>
        <w:rPr>
          <w:rFonts w:ascii="SimHei" w:hAnsi="SimHei"/>
          <w:sz w:val="28"/>
        </w:rPr>
        <w:t>版本 v1.0  |  编写日期 2026年6月  |  编写人 辛特助</w:t>
      </w:r>
    </w:p>
    <w:p>
      <w:r>
        <w:rPr>
          <w:rFonts w:ascii="SimHei" w:hAnsi="SimHei"/>
          <w:sz w:val="24"/>
        </w:rPr>
        <w:t>浙江大学王玮课题组 (c) 2026</w:t>
      </w:r>
    </w:p>
    <w:p>
      <w:r>
        <w:br w:type="page"/>
      </w:r>
    </w:p>
    <w:p>
      <w:pPr>
        <w:pStyle w:val="Heading1"/>
      </w:pPr>
      <w:r>
        <w:t>第一章 系统概述</w:t>
      </w:r>
    </w:p>
    <w:p>
      <w:pPr>
        <w:pStyle w:val="Heading2"/>
      </w:pPr>
      <w:r>
        <w:t>1.1 系统简介</w:t>
      </w:r>
    </w:p>
    <w:p>
      <w:r>
        <w:t>污染场地土壤生态-生产功能重构监管系统（以下简称"本系统"）是一个面向政府监管与企业治理的专业化软件平台。系统以"数据可信、诊断可解释、评价可追溯、方案有依据、流程可监管"为核心设计理念，实现从污染场地数据导入到全流程监管追溯报告的完整业务闭环。</w:t>
      </w:r>
    </w:p>
    <w:p>
      <w:r>
        <w:t>系统覆盖四大业务域：数据管理、决策管理、全流程追溯、系统管理。通过随机森林（RF）机器学习算法与SHAP可解释性分析，自动识别制约场地生态/生产功能的关键障碍因子，并结合知识库阈值规则与技术库匹配，生成科学的结构化修复方案推荐。</w:t>
      </w:r>
    </w:p>
    <w:p>
      <w:pPr>
        <w:pStyle w:val="Heading2"/>
      </w:pPr>
      <w:r>
        <w:t>1.2 核心业务流程</w:t>
      </w:r>
    </w:p>
    <w:p>
      <w:r>
        <w:t>系统核心业务流程如下：</w:t>
      </w:r>
    </w:p>
    <w:p>
      <w:r>
        <w:t>导入场地数据 → 数据校验 → 场地列表 → 场地详情 → 障碍因子识别（RF+SHAP）→ 功能重构可行性评价（生产/生态双方向）→ 可持续利用评价（SSUI）→ 重构方案推荐 → 五阶段全流程追溯记录 → PDF追溯报告生成</w:t>
      </w:r>
    </w:p>
    <w:p>
      <w:pPr>
        <w:pStyle w:val="Heading2"/>
      </w:pPr>
      <w:r>
        <w:t>1.3 技术架构概览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FFFF"/>
          </w:tcPr>
          <w:p>
            <w:r>
              <w:rPr>
                <w:b/>
                <w:color w:val="FFFFFF"/>
              </w:rPr>
              <w:t>层级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b/>
                <w:color w:val="FFFFFF"/>
              </w:rPr>
              <w:t>技术选型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前端</w:t>
            </w:r>
          </w:p>
        </w:tc>
        <w:tc>
          <w:tcPr>
            <w:tcW w:type="dxa" w:w="2880"/>
            <w:shd w:val="clear" w:color="auto" w:fill="F2F2F2"/>
          </w:tcPr>
          <w:p>
            <w:r>
              <w:t>React + TypeScript + Ant Design + ECharts</w:t>
            </w:r>
          </w:p>
        </w:tc>
        <w:tc>
          <w:tcPr>
            <w:tcW w:type="dxa" w:w="2880"/>
            <w:shd w:val="clear" w:color="auto" w:fill="F2F2F2"/>
          </w:tcPr>
          <w:p>
            <w:r>
              <w:t>响应式界面，深蓝主色，支持图表可视化与地图展示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t>后端</w:t>
            </w:r>
          </w:p>
        </w:tc>
        <w:tc>
          <w:tcPr>
            <w:tcW w:type="dxa" w:w="2880"/>
            <w:shd w:val="clear" w:color="auto" w:fill="FFFFFF"/>
          </w:tcPr>
          <w:p>
            <w:r>
              <w:t>Python FastAPI + SQLAlchemy + Alembic</w:t>
            </w:r>
          </w:p>
        </w:tc>
        <w:tc>
          <w:tcPr>
            <w:tcW w:type="dxa" w:w="2880"/>
            <w:shd w:val="clear" w:color="auto" w:fill="FFFFFF"/>
          </w:tcPr>
          <w:p>
            <w:r>
              <w:t>RESTful API，JWT认证，RBAC权限控制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数据库</w:t>
            </w:r>
          </w:p>
        </w:tc>
        <w:tc>
          <w:tcPr>
            <w:tcW w:type="dxa" w:w="2880"/>
            <w:shd w:val="clear" w:color="auto" w:fill="F2F2F2"/>
          </w:tcPr>
          <w:p>
            <w:r>
              <w:t>PostgreSQL 15</w:t>
            </w:r>
          </w:p>
        </w:tc>
        <w:tc>
          <w:tcPr>
            <w:tcW w:type="dxa" w:w="2880"/>
            <w:shd w:val="clear" w:color="auto" w:fill="F2F2F2"/>
          </w:tcPr>
          <w:p>
            <w:r>
              <w:t>长表（measurements）设计，支持海量检测数据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t>缓存</w:t>
            </w:r>
          </w:p>
        </w:tc>
        <w:tc>
          <w:tcPr>
            <w:tcW w:type="dxa" w:w="2880"/>
            <w:shd w:val="clear" w:color="auto" w:fill="FFFFFF"/>
          </w:tcPr>
          <w:p>
            <w:r>
              <w:t>Redis 7</w:t>
            </w:r>
          </w:p>
        </w:tc>
        <w:tc>
          <w:tcPr>
            <w:tcW w:type="dxa" w:w="2880"/>
            <w:shd w:val="clear" w:color="auto" w:fill="FFFFFF"/>
          </w:tcPr>
          <w:p>
            <w:r>
              <w:t>会话管理与热数据缓存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机器学习</w:t>
            </w:r>
          </w:p>
        </w:tc>
        <w:tc>
          <w:tcPr>
            <w:tcW w:type="dxa" w:w="2880"/>
            <w:shd w:val="clear" w:color="auto" w:fill="F2F2F2"/>
          </w:tcPr>
          <w:p>
            <w:r>
              <w:t>scikit-learn + SHAP</w:t>
            </w:r>
          </w:p>
        </w:tc>
        <w:tc>
          <w:tcPr>
            <w:tcW w:type="dxa" w:w="2880"/>
            <w:shd w:val="clear" w:color="auto" w:fill="F2F2F2"/>
          </w:tcPr>
          <w:p>
            <w:r>
              <w:t>随机森林障碍因子识别，SHAP可解释性分析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t>报告引擎</w:t>
            </w:r>
          </w:p>
        </w:tc>
        <w:tc>
          <w:tcPr>
            <w:tcW w:type="dxa" w:w="2880"/>
            <w:shd w:val="clear" w:color="auto" w:fill="FFFFFF"/>
          </w:tcPr>
          <w:p>
            <w:r>
              <w:t>Jinja2 + HTML模板 → PDF/DOCX</w:t>
            </w:r>
          </w:p>
        </w:tc>
        <w:tc>
          <w:tcPr>
            <w:tcW w:type="dxa" w:w="2880"/>
            <w:shd w:val="clear" w:color="auto" w:fill="FFFFFF"/>
          </w:tcPr>
          <w:p>
            <w:r>
              <w:t>一键生成15章完整追溯报告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>
              <w:t>部署</w:t>
            </w:r>
          </w:p>
        </w:tc>
        <w:tc>
          <w:tcPr>
            <w:tcW w:type="dxa" w:w="2880"/>
            <w:shd w:val="clear" w:color="auto" w:fill="F2F2F2"/>
          </w:tcPr>
          <w:p>
            <w:r>
              <w:t>Docker + Docker Compose + Nginx</w:t>
            </w:r>
          </w:p>
        </w:tc>
        <w:tc>
          <w:tcPr>
            <w:tcW w:type="dxa" w:w="2880"/>
            <w:shd w:val="clear" w:color="auto" w:fill="F2F2F2"/>
          </w:tcPr>
          <w:p>
            <w:r>
              <w:t>一键部署，环境隔离</w:t>
            </w:r>
          </w:p>
        </w:tc>
      </w:tr>
    </w:tbl>
    <w:p>
      <w:r>
        <w:br w:type="page"/>
      </w:r>
    </w:p>
    <w:p>
      <w:pPr>
        <w:pStyle w:val="Heading1"/>
      </w:pPr>
      <w:r>
        <w:t>第二章 用户角色与权限</w:t>
      </w:r>
    </w:p>
    <w:p>
      <w:pPr>
        <w:pStyle w:val="Heading2"/>
      </w:pPr>
      <w:r>
        <w:t>2.1 四种用户角色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主要职责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数据可见范围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典型用户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系统管理员</w:t>
            </w:r>
          </w:p>
        </w:tc>
        <w:tc>
          <w:tcPr>
            <w:tcW w:type="dxa" w:w="2160"/>
            <w:shd w:val="clear" w:color="auto" w:fill="F2F2F2"/>
          </w:tcPr>
          <w:p>
            <w:r>
              <w:t>全功能访问：用户管理、角色分配、参数配置、模型管理、技术库维护、审计日志查看</w:t>
            </w:r>
          </w:p>
        </w:tc>
        <w:tc>
          <w:tcPr>
            <w:tcW w:type="dxa" w:w="2160"/>
            <w:shd w:val="clear" w:color="auto" w:fill="F2F2F2"/>
          </w:tcPr>
          <w:p>
            <w:r>
              <w:t>全部数据</w:t>
            </w:r>
          </w:p>
        </w:tc>
        <w:tc>
          <w:tcPr>
            <w:tcW w:type="dxa" w:w="2160"/>
            <w:shd w:val="clear" w:color="auto" w:fill="F2F2F2"/>
          </w:tcPr>
          <w:p>
            <w:r>
              <w:t>系统运维人员、项目负责人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企业用户</w:t>
            </w:r>
          </w:p>
        </w:tc>
        <w:tc>
          <w:tcPr>
            <w:tcW w:type="dxa" w:w="2160"/>
            <w:shd w:val="clear" w:color="auto" w:fill="FFFFFF"/>
          </w:tcPr>
          <w:p>
            <w:r>
              <w:t>数据录入与导入、场地管理、诊断与评价操作、流程记录录入、报告生成</w:t>
            </w:r>
          </w:p>
        </w:tc>
        <w:tc>
          <w:tcPr>
            <w:tcW w:type="dxa" w:w="2160"/>
            <w:shd w:val="clear" w:color="auto" w:fill="FFFFFF"/>
          </w:tcPr>
          <w:p>
            <w:r>
              <w:t>仅本企业数据</w:t>
            </w:r>
          </w:p>
        </w:tc>
        <w:tc>
          <w:tcPr>
            <w:tcW w:type="dxa" w:w="2160"/>
            <w:shd w:val="clear" w:color="auto" w:fill="FFFFFF"/>
          </w:tcPr>
          <w:p>
            <w:r>
              <w:t>污染场地责任企业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第三方机构</w:t>
            </w:r>
          </w:p>
        </w:tc>
        <w:tc>
          <w:tcPr>
            <w:tcW w:type="dxa" w:w="2160"/>
            <w:shd w:val="clear" w:color="auto" w:fill="F2F2F2"/>
          </w:tcPr>
          <w:p>
            <w:r>
              <w:t>上传被授权项目的检测/评估数据、查看被授权项目信息</w:t>
            </w:r>
          </w:p>
        </w:tc>
        <w:tc>
          <w:tcPr>
            <w:tcW w:type="dxa" w:w="2160"/>
            <w:shd w:val="clear" w:color="auto" w:fill="F2F2F2"/>
          </w:tcPr>
          <w:p>
            <w:r>
              <w:t>仅授权项目</w:t>
            </w:r>
          </w:p>
        </w:tc>
        <w:tc>
          <w:tcPr>
            <w:tcW w:type="dxa" w:w="2160"/>
            <w:shd w:val="clear" w:color="auto" w:fill="F2F2F2"/>
          </w:tcPr>
          <w:p>
            <w:r>
              <w:t>检测机构、评估机构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监管人员</w:t>
            </w:r>
          </w:p>
        </w:tc>
        <w:tc>
          <w:tcPr>
            <w:tcW w:type="dxa" w:w="2160"/>
            <w:shd w:val="clear" w:color="auto" w:fill="FFFFFF"/>
          </w:tcPr>
          <w:p>
            <w:r>
              <w:t>查看监管范围内场地信息、查看诊断/评价/推荐结果、浏览追溯记录与报告</w:t>
            </w:r>
          </w:p>
        </w:tc>
        <w:tc>
          <w:tcPr>
            <w:tcW w:type="dxa" w:w="2160"/>
            <w:shd w:val="clear" w:color="auto" w:fill="FFFFFF"/>
          </w:tcPr>
          <w:p>
            <w:r>
              <w:t>监管范围内</w:t>
            </w:r>
          </w:p>
        </w:tc>
        <w:tc>
          <w:tcPr>
            <w:tcW w:type="dxa" w:w="2160"/>
            <w:shd w:val="clear" w:color="auto" w:fill="FFFFFF"/>
          </w:tcPr>
          <w:p>
            <w:r>
              <w:t>政府环保部门</w:t>
            </w:r>
          </w:p>
        </w:tc>
      </w:tr>
    </w:tbl>
    <w:p>
      <w:pPr>
        <w:pStyle w:val="Heading2"/>
      </w:pPr>
      <w:r>
        <w:t>2.2 演示账号</w:t>
      </w:r>
    </w:p>
    <w:p>
      <w:r>
        <w:t>系统预置以下演示账号，可用于登录系统并体验各角色的功能差异：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用户名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密码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admin</w:t>
            </w:r>
          </w:p>
        </w:tc>
        <w:tc>
          <w:tcPr>
            <w:tcW w:type="dxa" w:w="2160"/>
            <w:shd w:val="clear" w:color="auto" w:fill="F2F2F2"/>
          </w:tcPr>
          <w:p>
            <w:r>
              <w:t>admin123</w:t>
            </w:r>
          </w:p>
        </w:tc>
        <w:tc>
          <w:tcPr>
            <w:tcW w:type="dxa" w:w="2160"/>
            <w:shd w:val="clear" w:color="auto" w:fill="F2F2F2"/>
          </w:tcPr>
          <w:p>
            <w:r>
              <w:t>系统管理员</w:t>
            </w:r>
          </w:p>
        </w:tc>
        <w:tc>
          <w:tcPr>
            <w:tcW w:type="dxa" w:w="2160"/>
            <w:shd w:val="clear" w:color="auto" w:fill="F2F2F2"/>
          </w:tcPr>
          <w:p>
            <w:r>
              <w:t>全功能访问，可管理用户与系统配置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enterprise</w:t>
            </w:r>
          </w:p>
        </w:tc>
        <w:tc>
          <w:tcPr>
            <w:tcW w:type="dxa" w:w="2160"/>
            <w:shd w:val="clear" w:color="auto" w:fill="FFFFFF"/>
          </w:tcPr>
          <w:p>
            <w:r>
              <w:t>demo123</w:t>
            </w:r>
          </w:p>
        </w:tc>
        <w:tc>
          <w:tcPr>
            <w:tcW w:type="dxa" w:w="2160"/>
            <w:shd w:val="clear" w:color="auto" w:fill="FFFFFF"/>
          </w:tcPr>
          <w:p>
            <w:r>
              <w:t>企业用户</w:t>
            </w:r>
          </w:p>
        </w:tc>
        <w:tc>
          <w:tcPr>
            <w:tcW w:type="dxa" w:w="2160"/>
            <w:shd w:val="clear" w:color="auto" w:fill="FFFFFF"/>
          </w:tcPr>
          <w:p>
            <w:r>
              <w:t>示例企业账号，仅见本企业场地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agency</w:t>
            </w:r>
          </w:p>
        </w:tc>
        <w:tc>
          <w:tcPr>
            <w:tcW w:type="dxa" w:w="2160"/>
            <w:shd w:val="clear" w:color="auto" w:fill="F2F2F2"/>
          </w:tcPr>
          <w:p>
            <w:r>
              <w:t>demo123</w:t>
            </w:r>
          </w:p>
        </w:tc>
        <w:tc>
          <w:tcPr>
            <w:tcW w:type="dxa" w:w="2160"/>
            <w:shd w:val="clear" w:color="auto" w:fill="F2F2F2"/>
          </w:tcPr>
          <w:p>
            <w:r>
              <w:t>第三方机构</w:t>
            </w:r>
          </w:p>
        </w:tc>
        <w:tc>
          <w:tcPr>
            <w:tcW w:type="dxa" w:w="2160"/>
            <w:shd w:val="clear" w:color="auto" w:fill="F2F2F2"/>
          </w:tcPr>
          <w:p>
            <w:r>
              <w:t>示例检测机构账号，仅见授权项目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regulator</w:t>
            </w:r>
          </w:p>
        </w:tc>
        <w:tc>
          <w:tcPr>
            <w:tcW w:type="dxa" w:w="2160"/>
            <w:shd w:val="clear" w:color="auto" w:fill="FFFFFF"/>
          </w:tcPr>
          <w:p>
            <w:r>
              <w:t>demo123</w:t>
            </w:r>
          </w:p>
        </w:tc>
        <w:tc>
          <w:tcPr>
            <w:tcW w:type="dxa" w:w="2160"/>
            <w:shd w:val="clear" w:color="auto" w:fill="FFFFFF"/>
          </w:tcPr>
          <w:p>
            <w:r>
              <w:t>监管人员</w:t>
            </w:r>
          </w:p>
        </w:tc>
        <w:tc>
          <w:tcPr>
            <w:tcW w:type="dxa" w:w="2160"/>
            <w:shd w:val="clear" w:color="auto" w:fill="FFFFFF"/>
          </w:tcPr>
          <w:p>
            <w:r>
              <w:t>示例监管账号，查看监管范围内数据</w:t>
            </w:r>
          </w:p>
        </w:tc>
      </w:tr>
    </w:tbl>
    <w:p>
      <w:r>
        <w:rPr>
          <w:b/>
        </w:rPr>
        <w:t>安全提示：演示密码仅用于测试环境。生产环境中请务必修改默认密码，并妥善保管账号信息。</w:t>
      </w:r>
    </w:p>
    <w:p>
      <w:r>
        <w:br w:type="page"/>
      </w:r>
    </w:p>
    <w:p>
      <w:pPr>
        <w:pStyle w:val="Heading1"/>
      </w:pPr>
      <w:r>
        <w:t>第三章 页面操作说明</w:t>
      </w:r>
    </w:p>
    <w:p>
      <w:r>
        <w:t>本章按照系统左侧导航菜单的顺序，逐一说明每个页面的功能、入口路径、操作方法和注意事项。读者可根据角色权限有选择地阅读相关页面。</w:t>
      </w:r>
    </w:p>
    <w:p>
      <w:pPr>
        <w:pStyle w:val="Heading2"/>
      </w:pPr>
      <w:r>
        <w:t>3.1 登录页（/login）</w:t>
      </w:r>
    </w:p>
    <w:p>
      <w:r>
        <w:t>功能说明：系统入口页面，用户在此输入用户名和密码登录系统。采用JWT（JSON Web Token）认证机制，登录成功后获得令牌，后续所有API请求自动携带令牌进行身份验证。</w:t>
      </w:r>
    </w:p>
    <w:p>
      <w:r>
        <w:rPr>
          <w:b/>
        </w:rPr>
        <w:t>操作步骤：</w:t>
      </w:r>
    </w:p>
    <w:p>
      <w:r>
        <w:t>1. 在浏览器中打开系统地址（默认 http://localhost:8000）。</w:t>
      </w:r>
    </w:p>
    <w:p>
      <w:r>
        <w:t>2. 输入用户名和密码，点击"登录"按钮。</w:t>
      </w:r>
    </w:p>
    <w:p>
      <w:r>
        <w:t>3. 验证通过后自动跳转至系统首页（数据概览仪表盘）。</w:t>
      </w:r>
    </w:p>
    <w:p>
      <w:r>
        <w:t>4. 若连续输入错误密码超过限定次数，账户将被临时锁定。</w:t>
      </w:r>
    </w:p>
    <w:p>
      <w:r>
        <w:rPr>
          <w:b/>
        </w:rPr>
        <w:t>状态说明：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状态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表现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处理方式</w:t>
            </w:r>
          </w:p>
        </w:tc>
      </w:tr>
      <w:tr>
        <w:tc>
          <w:tcPr>
            <w:tcW w:type="dxa" w:w="2880"/>
          </w:tcPr>
          <w:p>
            <w:r>
              <w:t>加载中</w:t>
            </w:r>
          </w:p>
        </w:tc>
        <w:tc>
          <w:tcPr>
            <w:tcW w:type="dxa" w:w="2880"/>
          </w:tcPr>
          <w:p>
            <w:r>
              <w:t>按钮显示加载动画</w:t>
            </w:r>
          </w:p>
        </w:tc>
        <w:tc>
          <w:tcPr>
            <w:tcW w:type="dxa" w:w="2880"/>
          </w:tcPr>
          <w:p>
            <w:r>
              <w:t>等待服务器响应</w:t>
            </w:r>
          </w:p>
        </w:tc>
      </w:tr>
      <w:tr>
        <w:tc>
          <w:tcPr>
            <w:tcW w:type="dxa" w:w="2880"/>
          </w:tcPr>
          <w:p>
            <w:r>
              <w:t>登录失败</w:t>
            </w:r>
          </w:p>
        </w:tc>
        <w:tc>
          <w:tcPr>
            <w:tcW w:type="dxa" w:w="2880"/>
          </w:tcPr>
          <w:p>
            <w:r>
              <w:t>红色错误提示信息</w:t>
            </w:r>
          </w:p>
        </w:tc>
        <w:tc>
          <w:tcPr>
            <w:tcW w:type="dxa" w:w="2880"/>
          </w:tcPr>
          <w:p>
            <w:r>
              <w:t>检查用户名密码是否正确</w:t>
            </w:r>
          </w:p>
        </w:tc>
      </w:tr>
      <w:tr>
        <w:tc>
          <w:tcPr>
            <w:tcW w:type="dxa" w:w="2880"/>
          </w:tcPr>
          <w:p>
            <w:r>
              <w:t>账户锁定</w:t>
            </w:r>
          </w:p>
        </w:tc>
        <w:tc>
          <w:tcPr>
            <w:tcW w:type="dxa" w:w="2880"/>
          </w:tcPr>
          <w:p>
            <w:r>
              <w:t>提示账户已被锁定</w:t>
            </w:r>
          </w:p>
        </w:tc>
        <w:tc>
          <w:tcPr>
            <w:tcW w:type="dxa" w:w="2880"/>
          </w:tcPr>
          <w:p>
            <w:r>
              <w:t>联系系统管理员解锁</w:t>
            </w:r>
          </w:p>
        </w:tc>
      </w:tr>
    </w:tbl>
    <w:p>
      <w:pPr>
        <w:pStyle w:val="Heading2"/>
      </w:pPr>
      <w:r>
        <w:t>3.2 首页/数据概览（/dashboard）</w:t>
      </w:r>
    </w:p>
    <w:p>
      <w:r>
        <w:t>功能说明：登录后的默认首页，以仪表盘形式展示系统核心数据概览。包括场地总数统计、污染类型分布、风险等级分布、近期数据导入记录等关键KPI指标卡片和可视化图表。</w:t>
      </w:r>
    </w:p>
    <w:p>
      <w:r>
        <w:rPr>
          <w:b/>
        </w:rPr>
        <w:t>界面元素：</w:t>
      </w:r>
    </w:p>
    <w:p>
      <w:r>
        <w:t>- 左侧导航菜单：数据管理、决策管理、全流程追溯、系统管理四大模块入口。</w:t>
      </w:r>
    </w:p>
    <w:p>
      <w:r>
        <w:t>- 顶部导航栏：显示当前用户名、角色信息、退出登录按钮。</w:t>
      </w:r>
    </w:p>
    <w:p>
      <w:r>
        <w:t>- KPI指标卡片：场地总数、超标统计、最近导入批次状态。</w:t>
      </w:r>
    </w:p>
    <w:p>
      <w:r>
        <w:t>- 可视化图表：污染类型分布饼图、风险等级柱状图、数据趋势折线图（ECharts渲染）。</w:t>
      </w:r>
    </w:p>
    <w:p>
      <w:r>
        <w:rPr>
          <w:b/>
        </w:rPr>
        <w:t>注意事项：</w:t>
      </w:r>
    </w:p>
    <w:p>
      <w:r>
        <w:t>- 图表数据来源于真实数据库，非静态假数据。</w:t>
      </w:r>
    </w:p>
    <w:p>
      <w:r>
        <w:t>- 企业用户仅可看到本企业数据统计。</w:t>
      </w:r>
    </w:p>
    <w:p>
      <w:pPr>
        <w:pStyle w:val="Heading2"/>
      </w:pPr>
      <w:r>
        <w:t>3.3 场地列表（/sites）</w:t>
      </w:r>
    </w:p>
    <w:p>
      <w:r>
        <w:t>功能说明：展示当前用户有权访问的所有场地信息，以表格形式呈现，支持多条件筛选、排序和分页浏览。每条记录可点击进入场地详情页。</w:t>
      </w:r>
    </w:p>
    <w:p>
      <w:r>
        <w:rPr>
          <w:b/>
        </w:rPr>
        <w:t>表格列说明：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列名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说明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场地编号</w:t>
            </w:r>
          </w:p>
        </w:tc>
        <w:tc>
          <w:tcPr>
            <w:tcW w:type="dxa" w:w="2880"/>
          </w:tcPr>
          <w:p>
            <w:r>
              <w:t>系统自动生成的唯一编号</w:t>
            </w:r>
          </w:p>
        </w:tc>
        <w:tc>
          <w:tcPr>
            <w:tcW w:type="dxa" w:w="2880"/>
          </w:tcPr>
          <w:p>
            <w:r>
              <w:t>A-2024-001</w:t>
            </w:r>
          </w:p>
        </w:tc>
      </w:tr>
      <w:tr>
        <w:tc>
          <w:tcPr>
            <w:tcW w:type="dxa" w:w="2880"/>
          </w:tcPr>
          <w:p>
            <w:r>
              <w:t>场地名称</w:t>
            </w:r>
          </w:p>
        </w:tc>
        <w:tc>
          <w:tcPr>
            <w:tcW w:type="dxa" w:w="2880"/>
          </w:tcPr>
          <w:p>
            <w:r>
              <w:t>场地的中文名称</w:t>
            </w:r>
          </w:p>
        </w:tc>
        <w:tc>
          <w:tcPr>
            <w:tcW w:type="dxa" w:w="2880"/>
          </w:tcPr>
          <w:p>
            <w:r>
              <w:t>云南个旧重金属污染场地</w:t>
            </w:r>
          </w:p>
        </w:tc>
      </w:tr>
      <w:tr>
        <w:tc>
          <w:tcPr>
            <w:tcW w:type="dxa" w:w="2880"/>
          </w:tcPr>
          <w:p>
            <w:r>
              <w:t>污染类型</w:t>
            </w:r>
          </w:p>
        </w:tc>
        <w:tc>
          <w:tcPr>
            <w:tcW w:type="dxa" w:w="2880"/>
          </w:tcPr>
          <w:p>
            <w:r>
              <w:t>重金属/有机/复合污染</w:t>
            </w:r>
          </w:p>
        </w:tc>
        <w:tc>
          <w:tcPr>
            <w:tcW w:type="dxa" w:w="2880"/>
          </w:tcPr>
          <w:p>
            <w:r>
              <w:t>heavy_metal</w:t>
            </w:r>
          </w:p>
        </w:tc>
      </w:tr>
      <w:tr>
        <w:tc>
          <w:tcPr>
            <w:tcW w:type="dxa" w:w="2880"/>
          </w:tcPr>
          <w:p>
            <w:r>
              <w:t>用地类型</w:t>
            </w:r>
          </w:p>
        </w:tc>
        <w:tc>
          <w:tcPr>
            <w:tcW w:type="dxa" w:w="2880"/>
          </w:tcPr>
          <w:p>
            <w:r>
              <w:t>当前用地类型</w:t>
            </w:r>
          </w:p>
        </w:tc>
        <w:tc>
          <w:tcPr>
            <w:tcW w:type="dxa" w:w="2880"/>
          </w:tcPr>
          <w:p>
            <w:r>
              <w:t>工矿用地</w:t>
            </w:r>
          </w:p>
        </w:tc>
      </w:tr>
      <w:tr>
        <w:tc>
          <w:tcPr>
            <w:tcW w:type="dxa" w:w="2880"/>
          </w:tcPr>
          <w:p>
            <w:r>
              <w:t>风险等级</w:t>
            </w:r>
          </w:p>
        </w:tc>
        <w:tc>
          <w:tcPr>
            <w:tcW w:type="dxa" w:w="2880"/>
          </w:tcPr>
          <w:p>
            <w:r>
              <w:t>污染风险等级</w:t>
            </w:r>
          </w:p>
        </w:tc>
        <w:tc>
          <w:tcPr>
            <w:tcW w:type="dxa" w:w="2880"/>
          </w:tcPr>
          <w:p>
            <w:r>
              <w:t>Ⅱ类(重点关注)</w:t>
            </w:r>
          </w:p>
        </w:tc>
      </w:tr>
      <w:tr>
        <w:tc>
          <w:tcPr>
            <w:tcW w:type="dxa" w:w="2880"/>
          </w:tcPr>
          <w:p>
            <w:r>
              <w:t>所在地区</w:t>
            </w:r>
          </w:p>
        </w:tc>
        <w:tc>
          <w:tcPr>
            <w:tcW w:type="dxa" w:w="2880"/>
          </w:tcPr>
          <w:p>
            <w:r>
              <w:t>省/市/区</w:t>
            </w:r>
          </w:p>
        </w:tc>
        <w:tc>
          <w:tcPr>
            <w:tcW w:type="dxa" w:w="2880"/>
          </w:tcPr>
          <w:p>
            <w:r>
              <w:t>云南省/红河州/个旧市</w:t>
            </w:r>
          </w:p>
        </w:tc>
      </w:tr>
      <w:tr>
        <w:tc>
          <w:tcPr>
            <w:tcW w:type="dxa" w:w="2880"/>
          </w:tcPr>
          <w:p>
            <w:r>
              <w:t>数据状态</w:t>
            </w:r>
          </w:p>
        </w:tc>
        <w:tc>
          <w:tcPr>
            <w:tcW w:type="dxa" w:w="2880"/>
          </w:tcPr>
          <w:p>
            <w:r>
              <w:t>场地数据状态</w:t>
            </w:r>
          </w:p>
        </w:tc>
        <w:tc>
          <w:tcPr>
            <w:tcW w:type="dxa" w:w="2880"/>
          </w:tcPr>
          <w:p>
            <w:r>
              <w:t>已导入/诊断完成</w:t>
            </w:r>
          </w:p>
        </w:tc>
      </w:tr>
    </w:tbl>
    <w:p>
      <w:r>
        <w:rPr>
          <w:b/>
        </w:rPr>
        <w:t>筛选功能：</w:t>
      </w:r>
    </w:p>
    <w:p>
      <w:r>
        <w:t>- 按污染类型筛选：下拉选择"重金属"/"有机"/"复合污染"。</w:t>
      </w:r>
    </w:p>
    <w:p>
      <w:r>
        <w:t>- 按风险等级筛选：下拉选择Ⅰ类(安全)/Ⅱ类(重点关注)/Ⅲ类(严格管控)。</w:t>
      </w:r>
    </w:p>
    <w:p>
      <w:r>
        <w:t>- 按区域筛选：省/市/区下拉级联选择。</w:t>
      </w:r>
    </w:p>
    <w:p>
      <w:r>
        <w:t>- 关键字搜索：可按场地名称或编号模糊搜索。</w:t>
      </w:r>
    </w:p>
    <w:p>
      <w:r>
        <w:rPr>
          <w:b/>
        </w:rPr>
        <w:t>状态处理：</w:t>
      </w:r>
    </w:p>
    <w:p>
      <w:r>
        <w:t>加载态显示骨架屏；空态显示"暂无场地数据，请先导入数据"提示并提供跳转导入按钮；错误态显示错误描述和重试按钮。</w:t>
      </w:r>
    </w:p>
    <w:p>
      <w:pPr>
        <w:pStyle w:val="Heading2"/>
      </w:pPr>
      <w:r>
        <w:t>3.4 数据导入页（/sites/import）</w:t>
      </w:r>
    </w:p>
    <w:p>
      <w:r>
        <w:t>功能说明：将外部场地检测数据文件导入系统。支持Excel（.xlsx/.xls）和CSV格式。导入后数据以长表形式存入measurements表，每条记录对应一个（场地, 采样点, 因子）组合。</w:t>
      </w:r>
    </w:p>
    <w:p>
      <w:r>
        <w:rPr>
          <w:b/>
        </w:rPr>
        <w:t>操作步骤：</w:t>
      </w:r>
    </w:p>
    <w:p>
      <w:r>
        <w:t>1. 点击"上传文件"按钮，选择待导入的Excel或CSV文件。</w:t>
      </w:r>
    </w:p>
    <w:p>
      <w:r>
        <w:t>2. 系统自动解析文件表头，展示源列名预览。</w:t>
      </w:r>
    </w:p>
    <w:p>
      <w:r>
        <w:t>3. 进入字段映射步骤：将源文件的列名映射到系统标准字段（场地编号、采样点编号、经纬度、因子名称、检测值、单位等）。系统会根据列名相似度自动推荐映射关系，用户可手动调整。</w:t>
      </w:r>
    </w:p>
    <w:p>
      <w:r>
        <w:t>4. 确认映射后进行数据校验：系统检查必填字段完整性、数据类型正确性、单位合法性、污染物值是否超出阈值范围、缺失值比例等。</w:t>
      </w:r>
    </w:p>
    <w:p>
      <w:r>
        <w:t>5. 校验完成后展示结构化校验报告，包含通过率、每行每项的校验结论。校验通过的数据自动入库。</w:t>
      </w:r>
    </w:p>
    <w:p>
      <w:r>
        <w:t>6. 可下载校验报告（CSV格式）和查看导入批次详情。</w:t>
      </w:r>
    </w:p>
    <w:p>
      <w:r>
        <w:rPr>
          <w:b/>
        </w:rPr>
        <w:t>重点说明：</w:t>
      </w:r>
    </w:p>
    <w:p>
      <w:r>
        <w:t>- 系统支持异构表头——不同场地来源的Excel文件列名可能完全不同（如云南个旧有23列，南京栖霞有47列），字段映射步骤正是为此设计。</w:t>
      </w:r>
    </w:p>
    <w:p>
      <w:r>
        <w:t>- 原始检测值入库后禁止修改。若发现数据错误，需联系管理员做废旧批次并重新导入。</w:t>
      </w:r>
    </w:p>
    <w:p>
      <w:pPr>
        <w:pStyle w:val="Heading2"/>
      </w:pPr>
      <w:r>
        <w:t>3.5 场地详情页（/sites/:id）</w:t>
      </w:r>
    </w:p>
    <w:p>
      <w:r>
        <w:t>功能说明：展示单个场地的完整信息。页面采用Tab标签页组织，包含以下标签：</w:t>
      </w:r>
    </w:p>
    <w:p>
      <w:r>
        <w:t>基本信息Tab：场地编号、名称、所属企业、污染类型、用地类型、风险等级、经纬度、面积、行政区域等。附带地图点位展示（Leaflet组件，显示场地中心位置）。</w:t>
      </w:r>
    </w:p>
    <w:p>
      <w:r>
        <w:t>采样点Tab：以表格展示该场地所有采样点的编号、经纬度、深度范围、土壤类型、采样日期。可点击单个采样点查看其全部检测值。</w:t>
      </w:r>
    </w:p>
    <w:p>
      <w:r>
        <w:t>检测数据Tab：以长表形式展示该场地所有(采样点, 因子)的检测值、单位和检测方法。支持按因子类别（化学性质/物理性质/环境指标/肥力指标/生物指标）筛选和关键字搜索。</w:t>
      </w:r>
    </w:p>
    <w:p>
      <w:r>
        <w:t>导入历史Tab：列出该场地所有导入批次的时间、源文件、行数、校验通过率、操作人，可点击查看每批的详细校验报告。</w:t>
      </w:r>
    </w:p>
    <w:p>
      <w:r>
        <w:rPr>
          <w:b/>
        </w:rPr>
        <w:t>注意事项：</w:t>
      </w:r>
    </w:p>
    <w:p>
      <w:r>
        <w:t>- 场地详情页是所有后续分析（障碍因子识别、重构评价、SSUI、方案推荐）的入口。</w:t>
      </w:r>
    </w:p>
    <w:p>
      <w:pPr>
        <w:pStyle w:val="Heading2"/>
      </w:pPr>
      <w:r>
        <w:t>3.6 障碍因子分析页（/obstacle）</w:t>
      </w:r>
    </w:p>
    <w:p>
      <w:r>
        <w:t>功能说明：使用随机森林（RandomForest）机器学习模型对所选场地进行障碍因子识别，并结合SHAP（SHapley Additive exPlanations）算法提供全局和局部可解释性分析。这是系统最核心的决策支持功能。</w:t>
      </w:r>
    </w:p>
    <w:p>
      <w:r>
        <w:rPr>
          <w:b/>
        </w:rPr>
        <w:t>操作步骤：</w:t>
      </w:r>
    </w:p>
    <w:p>
      <w:r>
        <w:t>1. 在场地详情页点击"障碍因子识别"按钮，或在导航菜单选择"决策管理 &gt; 障碍因子分析"。</w:t>
      </w:r>
    </w:p>
    <w:p>
      <w:r>
        <w:t>2. 选择分析场地（如果从场地详情进入则已预选）。系统将自动从measurements长表中提取该场地的所有检测因子，经透视、缺失值填充后送入RF模型。</w:t>
      </w:r>
    </w:p>
    <w:p>
      <w:r>
        <w:t>3. 点击"开始分析"触发计算。</w:t>
      </w:r>
    </w:p>
    <w:p>
      <w:r>
        <w:t>4. 分析结果分两个区域展示：</w:t>
      </w:r>
    </w:p>
    <w:p>
      <w:r>
        <w:t>全局分析区域：展示Top-N障碍因子排名表（含因子名称、类别、全局重要性、影响方向），辅以SHAP概要柱状图。重要性越高说明该因子对场地污染风险影响越大。</w:t>
      </w:r>
    </w:p>
    <w:p>
      <w:r>
        <w:t>局部解释区域：选择具体的采样点后，展示该样点的SHAP瀑布图或力图，说明每个因子对预测结果的贡献方向和大小。解释结果绑定具体采样点ID，可追溯到原始检测值。</w:t>
      </w:r>
    </w:p>
    <w:p>
      <w:r>
        <w:rPr>
          <w:b/>
        </w:rPr>
        <w:t>结果解读：</w:t>
      </w:r>
    </w:p>
    <w:p>
      <w:r>
        <w:t>- 影响方向："positive"表示该因子值增加会加重污染风险，"negative"表示该因子值增加会降低污染风险。</w:t>
      </w:r>
    </w:p>
    <w:p>
      <w:r>
        <w:t>- 场地缺失的训练特征会用训练集中位数填充，并在结果摘要中明确标注填充特征的数量和列表。填充特征不参与Top-N结论排名。</w:t>
      </w:r>
    </w:p>
    <w:p>
      <w:r>
        <w:t>- 所有分析结果均入库（diagnosis_results + diagnosis_factor_details），含模型版本、数据版本、特征清单。</w:t>
      </w:r>
    </w:p>
    <w:p>
      <w:pPr>
        <w:pStyle w:val="Heading2"/>
      </w:pPr>
      <w:r>
        <w:t>3.7 功能重构评价页（/reconstruction）</w:t>
      </w:r>
    </w:p>
    <w:p>
      <w:r>
        <w:t>功能说明：基于改进的模糊综合评价法，对场地分别从生产功能和生态功能两个方向进行重构可行性评价。评价依据真实检测数据与知识库阈值规则，输出综合得分与等级。</w:t>
      </w:r>
    </w:p>
    <w:p>
      <w:r>
        <w:rPr>
          <w:b/>
        </w:rPr>
        <w:t>操作步骤：</w:t>
      </w:r>
    </w:p>
    <w:p>
      <w:r>
        <w:t>1. 在场地详情页点击"功能重构评价"按钮，或在导航菜单选择"决策管理 &gt; 重构可行性评价"。</w:t>
      </w:r>
    </w:p>
    <w:p>
      <w:r>
        <w:t>2. 选择分析场地和评价方向：生产功能或生态功能（两个方向使用不同的指标体系和权重，需分别评价）。</w:t>
      </w:r>
    </w:p>
    <w:p>
      <w:r>
        <w:t>3. 点击"开始评价"。</w:t>
      </w:r>
    </w:p>
    <w:p>
      <w:r>
        <w:t>4. 结果展示：</w:t>
      </w:r>
    </w:p>
    <w:p>
      <w:r>
        <w:t>- 综合得分（0-100分制）和等级（T &gt; 50 为"可行"，T &lt;= 50 为"不可行"）。</w:t>
      </w:r>
    </w:p>
    <w:p>
      <w:r>
        <w:t>- 各准则层得分明细（修复潜力、土壤质量、灌排能力、地下水埋深、光温潜力、有机碳、地形坡度、土壤质地、剖面构型等）。</w:t>
      </w:r>
    </w:p>
    <w:p>
      <w:r>
        <w:t>- 各指标层的分等赋值（F值，0-100），标注低分关键限制因子。</w:t>
      </w:r>
    </w:p>
    <w:p>
      <w:r>
        <w:t>- 权重体系说明（由AHP主观赋权 + 熵权法/CRITIC客观赋权 + 博弈论组合得到）。</w:t>
      </w:r>
    </w:p>
    <w:p>
      <w:r>
        <w:rPr>
          <w:b/>
        </w:rPr>
        <w:t>关键说明：</w:t>
      </w:r>
    </w:p>
    <w:p>
      <w:r>
        <w:t>- 污染物分等赋值利用threshold_resolver解析pH分段筛选值，超筛选值→50分，未超→100分。若该污染物无管制值，不取最低等级。</w:t>
      </w:r>
    </w:p>
    <w:p>
      <w:r>
        <w:t>- 缺测指标按"已测指标内重标化权重"处理，评价解释中会标注缺测项名称。</w:t>
      </w:r>
    </w:p>
    <w:p>
      <w:r>
        <w:t>- 实证案例：云南个旧场地（pH 6.28），生产功能得分47.64（不可行），生态功能得分75.8（可行）。</w:t>
      </w:r>
    </w:p>
    <w:p>
      <w:pPr>
        <w:pStyle w:val="Heading2"/>
      </w:pPr>
      <w:r>
        <w:t>3.8 可持续利用评价页（/ssui）</w:t>
      </w:r>
    </w:p>
    <w:p>
      <w:r>
        <w:t>功能说明：评估修复后场地的中长期持续利用潜力。基于分维度多指标分块赋权模型（SSUI），综合考虑安全性维度和经济性维度，结合时间权重函数和管理调节因子。</w:t>
      </w:r>
    </w:p>
    <w:p>
      <w:r>
        <w:rPr>
          <w:b/>
        </w:rPr>
        <w:t>评价模型：SSUI = (维度加权得分) × f(t) × M</w:t>
      </w:r>
    </w:p>
    <w:p>
      <w:r>
        <w:t>- 维度加权得分：各维度内元指标Min-Max归一化后线性加权。</w:t>
      </w:r>
    </w:p>
    <w:p>
      <w:r>
        <w:t>- f(t)：时间权重函数 = 1 + 0.03 × 距基准年数（默认α=0.03）。</w:t>
      </w:r>
    </w:p>
    <w:p>
      <w:r>
        <w:t>- M：管理调节因子（生产利用1.10-1.20，生态利用1.05-1.10，按管控强度分级）。</w:t>
      </w:r>
    </w:p>
    <w:p>
      <w:r>
        <w:rPr>
          <w:b/>
        </w:rPr>
        <w:t>等级标准：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SSUI值范围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等级</w:t>
            </w:r>
          </w:p>
        </w:tc>
      </w:tr>
      <w:tr>
        <w:tc>
          <w:tcPr>
            <w:tcW w:type="dxa" w:w="4320"/>
          </w:tcPr>
          <w:p>
            <w:r>
              <w:t>0.8 - 1.0</w:t>
            </w:r>
          </w:p>
        </w:tc>
        <w:tc>
          <w:tcPr>
            <w:tcW w:type="dxa" w:w="4320"/>
          </w:tcPr>
          <w:p>
            <w:r>
              <w:t>高度可持续</w:t>
            </w:r>
          </w:p>
        </w:tc>
      </w:tr>
      <w:tr>
        <w:tc>
          <w:tcPr>
            <w:tcW w:type="dxa" w:w="4320"/>
          </w:tcPr>
          <w:p>
            <w:r>
              <w:t>0.6 - 0.8</w:t>
            </w:r>
          </w:p>
        </w:tc>
        <w:tc>
          <w:tcPr>
            <w:tcW w:type="dxa" w:w="4320"/>
          </w:tcPr>
          <w:p>
            <w:r>
              <w:t>中度可持续</w:t>
            </w:r>
          </w:p>
        </w:tc>
      </w:tr>
      <w:tr>
        <w:tc>
          <w:tcPr>
            <w:tcW w:type="dxa" w:w="4320"/>
          </w:tcPr>
          <w:p>
            <w:r>
              <w:t>0.4 - 0.6</w:t>
            </w:r>
          </w:p>
        </w:tc>
        <w:tc>
          <w:tcPr>
            <w:tcW w:type="dxa" w:w="4320"/>
          </w:tcPr>
          <w:p>
            <w:r>
              <w:t>低度可持续</w:t>
            </w:r>
          </w:p>
        </w:tc>
      </w:tr>
      <w:tr>
        <w:tc>
          <w:tcPr>
            <w:tcW w:type="dxa" w:w="4320"/>
          </w:tcPr>
          <w:p>
            <w:r>
              <w:t>&lt; 0.4</w:t>
            </w:r>
          </w:p>
        </w:tc>
        <w:tc>
          <w:tcPr>
            <w:tcW w:type="dxa" w:w="4320"/>
          </w:tcPr>
          <w:p>
            <w:r>
              <w:t>不可持续</w:t>
            </w:r>
          </w:p>
        </w:tc>
      </w:tr>
    </w:tbl>
    <w:p>
      <w:r>
        <w:rPr>
          <w:b/>
        </w:rPr>
        <w:t>操作步骤：</w:t>
      </w:r>
    </w:p>
    <w:p>
      <w:r>
        <w:t>1. 在导航菜单选择"决策管理 &gt; 可持续利用评价"，或在重构评价结果页点击跳转。</w:t>
      </w:r>
    </w:p>
    <w:p>
      <w:r>
        <w:t>2. 选择场地、评价范围（生产/生态）、时间跨度t和管理强度（低/中/高）。</w:t>
      </w:r>
    </w:p>
    <w:p>
      <w:r>
        <w:t>3. 点击"开始评价"。</w:t>
      </w:r>
    </w:p>
    <w:p>
      <w:r>
        <w:t>4. 结果展示：SSUI指数值、可持续等级、各元指标得分明细、限制因子、f(t)和M取值说明。</w:t>
      </w:r>
    </w:p>
    <w:p>
      <w:r>
        <w:rPr>
          <w:b/>
        </w:rPr>
        <w:t>注意事项：</w:t>
      </w:r>
    </w:p>
    <w:p>
      <w:r>
        <w:t>- MVP阶段SSUI采用"安全性-限制因子C1单维度口径"（因实测数据暂缺风险因子C2/经济成本C3/经济效益C4数据），结果中会明确标注未纳入的维度。待数据完备后可切换为完整四维SSUI。</w:t>
      </w:r>
    </w:p>
    <w:p>
      <w:r>
        <w:t>- 实证案例：云南个旧场地SSUI=0.5284（低度可持续），参评元指标pH/有机质/氮磷钾。</w:t>
      </w:r>
    </w:p>
    <w:p>
      <w:pPr>
        <w:pStyle w:val="Heading2"/>
      </w:pPr>
      <w:r>
        <w:t>3.9 方案推荐页（/recommend）</w:t>
      </w:r>
    </w:p>
    <w:p>
      <w:r>
        <w:t>功能说明：基于障碍因子识别结果、重构可行性评价结果和SSUI评价结果，通过规则引擎从技术库中自动匹配并推荐合适的修复/重构技术方案。每条推荐均绑定具体障碍因子，附结构化推荐理由。</w:t>
      </w:r>
    </w:p>
    <w:p>
      <w:r>
        <w:rPr>
          <w:b/>
        </w:rPr>
        <w:t>推荐信息包含：</w:t>
      </w:r>
    </w:p>
    <w:p>
      <w:r>
        <w:t>- 技术名称与适用条件（适用污染物、土壤类型、用地类型、适用阶段）。</w:t>
      </w:r>
    </w:p>
    <w:p>
      <w:r>
        <w:t>- 匹配度评分和推荐理由（结构化的三段式：障碍因子匹配 + 技术效果依据 + 适用性约束）。</w:t>
      </w:r>
    </w:p>
    <w:p>
      <w:r>
        <w:t>- 成本等级（低/中/高）和工期等级（短/中/长）。</w:t>
      </w:r>
    </w:p>
    <w:p>
      <w:r>
        <w:t>- 优点与局限性、二次风险说明、禁用条件。</w:t>
      </w:r>
    </w:p>
    <w:p>
      <w:r>
        <w:t>- 技术来源（标准/文献/经验依据）。</w:t>
      </w:r>
    </w:p>
    <w:p>
      <w:r>
        <w:rPr>
          <w:b/>
        </w:rPr>
        <w:t>操作步骤：</w:t>
      </w:r>
    </w:p>
    <w:p>
      <w:r>
        <w:t>1. 在导航菜单选择"决策管理 &gt; 方案推荐"。</w:t>
      </w:r>
    </w:p>
    <w:p>
      <w:r>
        <w:t>2. 选择目标场地（须已完成障碍因子识别、重构评价和SSUI评价）。</w:t>
      </w:r>
    </w:p>
    <w:p>
      <w:r>
        <w:t>3. 点击"获取推荐"。</w:t>
      </w:r>
    </w:p>
    <w:p>
      <w:r>
        <w:t>4. 结果以匹配度排序展示推荐技术列表，每条可展开查看详细信息。</w:t>
      </w:r>
    </w:p>
    <w:p>
      <w:pPr>
        <w:pStyle w:val="Heading2"/>
      </w:pPr>
      <w:r>
        <w:t>3.10 全流程追溯列表（/trace）</w:t>
      </w:r>
    </w:p>
    <w:p>
      <w:r>
        <w:t>功能说明：以场地为维度，展示五阶段全流程追溯记录的概览。每个场地对应调查评估、方案审批、施工监理、效果评估、后期管护五个阶段的进展状态。</w:t>
      </w:r>
    </w:p>
    <w:p>
      <w:r>
        <w:rPr>
          <w:b/>
        </w:rPr>
        <w:t>五阶段说明：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阶段标识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  <w:t>核心内容</w:t>
            </w:r>
          </w:p>
        </w:tc>
      </w:tr>
      <w:tr>
        <w:tc>
          <w:tcPr>
            <w:tcW w:type="dxa" w:w="2880"/>
          </w:tcPr>
          <w:p>
            <w:r>
              <w:t>调查评估</w:t>
            </w:r>
          </w:p>
        </w:tc>
        <w:tc>
          <w:tcPr>
            <w:tcW w:type="dxa" w:w="2880"/>
          </w:tcPr>
          <w:p>
            <w:r>
              <w:t>survey</w:t>
            </w:r>
          </w:p>
        </w:tc>
        <w:tc>
          <w:tcPr>
            <w:tcW w:type="dxa" w:w="2880"/>
          </w:tcPr>
          <w:p>
            <w:r>
              <w:t>场地调查报告、检测数据、障碍因子识别结果、可行性结论</w:t>
            </w:r>
          </w:p>
        </w:tc>
      </w:tr>
      <w:tr>
        <w:tc>
          <w:tcPr>
            <w:tcW w:type="dxa" w:w="2880"/>
          </w:tcPr>
          <w:p>
            <w:r>
              <w:t>方案审批</w:t>
            </w:r>
          </w:p>
        </w:tc>
        <w:tc>
          <w:tcPr>
            <w:tcW w:type="dxa" w:w="2880"/>
          </w:tcPr>
          <w:p>
            <w:r>
              <w:t>approval</w:t>
            </w:r>
          </w:p>
        </w:tc>
        <w:tc>
          <w:tcPr>
            <w:tcW w:type="dxa" w:w="2880"/>
          </w:tcPr>
          <w:p>
            <w:r>
              <w:t>提交时间、审批单位、审批意见、修改记录、最终通过版本</w:t>
            </w:r>
          </w:p>
        </w:tc>
      </w:tr>
      <w:tr>
        <w:tc>
          <w:tcPr>
            <w:tcW w:type="dxa" w:w="2880"/>
          </w:tcPr>
          <w:p>
            <w:r>
              <w:t>施工监理</w:t>
            </w:r>
          </w:p>
        </w:tc>
        <w:tc>
          <w:tcPr>
            <w:tcW w:type="dxa" w:w="2880"/>
          </w:tcPr>
          <w:p>
            <w:r>
              <w:t>construction</w:t>
            </w:r>
          </w:p>
        </w:tc>
        <w:tc>
          <w:tcPr>
            <w:tcW w:type="dxa" w:w="2880"/>
          </w:tcPr>
          <w:p>
            <w:r>
              <w:t>施工单位、施工进度、关键工序记录、监理意见、材料台账</w:t>
            </w:r>
          </w:p>
        </w:tc>
      </w:tr>
      <w:tr>
        <w:tc>
          <w:tcPr>
            <w:tcW w:type="dxa" w:w="2880"/>
          </w:tcPr>
          <w:p>
            <w:r>
              <w:t>效果评估</w:t>
            </w:r>
          </w:p>
        </w:tc>
        <w:tc>
          <w:tcPr>
            <w:tcW w:type="dxa" w:w="2880"/>
          </w:tcPr>
          <w:p>
            <w:r>
              <w:t>effect</w:t>
            </w:r>
          </w:p>
        </w:tc>
        <w:tc>
          <w:tcPr>
            <w:tcW w:type="dxa" w:w="2880"/>
          </w:tcPr>
          <w:p>
            <w:r>
              <w:t>效果检测数据、持续利用评价结果、评估报告、是否达标判定</w:t>
            </w:r>
          </w:p>
        </w:tc>
      </w:tr>
      <w:tr>
        <w:tc>
          <w:tcPr>
            <w:tcW w:type="dxa" w:w="2880"/>
          </w:tcPr>
          <w:p>
            <w:r>
              <w:t>后期管护</w:t>
            </w:r>
          </w:p>
        </w:tc>
        <w:tc>
          <w:tcPr>
            <w:tcW w:type="dxa" w:w="2880"/>
          </w:tcPr>
          <w:p>
            <w:r>
              <w:t>maintenance</w:t>
            </w:r>
          </w:p>
        </w:tc>
        <w:tc>
          <w:tcPr>
            <w:tcW w:type="dxa" w:w="2880"/>
          </w:tcPr>
          <w:p>
            <w:r>
              <w:t>管护责任单位、管护措施、定期监测数据、功能维护记录</w:t>
            </w:r>
          </w:p>
        </w:tc>
      </w:tr>
    </w:tbl>
    <w:p>
      <w:r>
        <w:rPr>
          <w:b/>
        </w:rPr>
        <w:t>状态标识：</w:t>
      </w:r>
    </w:p>
    <w:p>
      <w:r>
        <w:t>每个阶段有四种状态：未开始（not_started）、进行中（in_progress）、已完成（completed）、已退回（returned）。已完成且未退回的阶段可进入下一阶段。列表页以进度条或卡片形式展示每场地五阶段完成情况。点击任一场地可进入追溯详情页。</w:t>
      </w:r>
    </w:p>
    <w:p>
      <w:pPr>
        <w:pStyle w:val="Heading2"/>
      </w:pPr>
      <w:r>
        <w:t>3.11 追溯详情页（/trace/:id）</w:t>
      </w:r>
    </w:p>
    <w:p>
      <w:r>
        <w:t>功能说明：以五阶段时间线或步骤条的形式，详细展示单场地完整追溯记录。每阶段可展开查看完整记录字段：状态、操作人、操作时间、审批意见/记录、版本号、数据来源、是否完成、是否退回、是否进入下一阶段。</w:t>
      </w:r>
    </w:p>
    <w:p>
      <w:r>
        <w:rPr>
          <w:b/>
        </w:rPr>
        <w:t>页面操作：</w:t>
      </w:r>
    </w:p>
    <w:p>
      <w:r>
        <w:t>- 录入/编辑阶段记录：在每个阶段卡片中，授权用户可录入状态变更、审批意见、上传附件等。</w:t>
      </w:r>
    </w:p>
    <w:p>
      <w:r>
        <w:t>- 上传附件：支持上传调查报告、检测数据、审批文件、施工图、台账、评估报告等材料。文件存入对象存储（MVP阶段为本地文件存储），支持后续下载。</w:t>
      </w:r>
    </w:p>
    <w:p>
      <w:r>
        <w:t>- 阶段推进：当前阶段标记为"已完成"后，可点击"进入下一阶段"激活后续阶段。</w:t>
      </w:r>
    </w:p>
    <w:p>
      <w:r>
        <w:t>- 一键生成报告：在追溯详情页顶部，点击"生成追溯报告"按钮，系统自动收集该场地的全部数据（基本信息、检测数据、诊断结果、评价结果、推荐方案、五阶段记录），生成PDF格式的完整追溯报告。</w:t>
      </w:r>
    </w:p>
    <w:p>
      <w:pPr>
        <w:pStyle w:val="Heading2"/>
      </w:pPr>
      <w:r>
        <w:t>3.12 系统管理页（/system）</w:t>
      </w:r>
    </w:p>
    <w:p>
      <w:r>
        <w:t>功能说明：仅系统管理员可访问。提供用户管理、角色权限配置、参数管理、审计日志查看等系统级功能。</w:t>
      </w:r>
    </w:p>
    <w:p>
      <w:r>
        <w:rPr>
          <w:b/>
        </w:rPr>
        <w:t>子功能模块：</w:t>
      </w:r>
    </w:p>
    <w:p>
      <w:r>
        <w:rPr>
          <w:b/>
        </w:rPr>
        <w:t>（1）用户管理</w:t>
      </w:r>
    </w:p>
    <w:p>
      <w:r>
        <w:t>表格展示所有用户列表（用户名、显示名、所属机构、角色、状态、最后登录时间）。支持新增用户、编辑用户信息、分配角色、启用/禁用/锁定账户。新建用户时系统生成随机初始密码，首次登录强制修改。</w:t>
      </w:r>
    </w:p>
    <w:p>
      <w:r>
        <w:rPr>
          <w:b/>
        </w:rPr>
        <w:t>（2）角色权限配置</w:t>
      </w:r>
    </w:p>
    <w:p>
      <w:r>
        <w:t>矩阵形式展示角色与权限的对应关系。可新增角色，为角色勾选权限项（数据导入/查询/导出/归档、报告生成、地图查看、全流程查看、文档下载、用户管理、角色管理、日志审计、参数设置、模型管理、技术库管理）。系统预置四种角色不可删除，但可调整其权限项。</w:t>
      </w:r>
    </w:p>
    <w:p>
      <w:r>
        <w:rPr>
          <w:b/>
        </w:rPr>
        <w:t>（3）参数管理</w:t>
      </w:r>
    </w:p>
    <w:p>
      <w:r>
        <w:t>可配置系统级参数，包括：污染物阈值标准（所选标准来源和版本）、重构评价权重体系版本、SSUI参数（α值、M因子默认值、等级边界）、报告模板版本等。所有参数变更均记录版本，支持回滚。</w:t>
      </w:r>
    </w:p>
    <w:p>
      <w:r>
        <w:rPr>
          <w:b/>
        </w:rPr>
        <w:t>（4）操作日志</w:t>
      </w:r>
    </w:p>
    <w:p>
      <w:r>
        <w:t>表格展示所有写操作的审计日志：操作人、操作行为（login/import/export/generate_report/update_site等）、操作对象（resource_type + resource_id）、操作结果（success/fail/denied）、IP地址、User-Agent、操作时间。支持按时间范围、操作人、操作类型筛选，支持导出日志（CSV格式）。</w:t>
      </w:r>
    </w:p>
    <w:p>
      <w:r>
        <w:rPr>
          <w:b/>
        </w:rPr>
        <w:t>（5）技术库管理</w:t>
      </w:r>
    </w:p>
    <w:p>
      <w:r>
        <w:t>维护重构技术库（technology_library表），可新增/编辑/删除技术条目。每个条目包含：技术名称、适用污染物、适用土壤条件、适用用地类型、适用阶段、优点、局限、成本等级、工期等级、二次风险、禁用条件、来源依据。</w:t>
      </w:r>
    </w:p>
    <w:p>
      <w:r>
        <w:br w:type="page"/>
      </w:r>
    </w:p>
    <w:p>
      <w:pPr>
        <w:pStyle w:val="Heading1"/>
      </w:pPr>
      <w:r>
        <w:t>第四章 PDF追溯报告说明</w:t>
      </w:r>
    </w:p>
    <w:p>
      <w:pPr>
        <w:pStyle w:val="Heading2"/>
      </w:pPr>
      <w:r>
        <w:t>4.1 报告生成方式</w:t>
      </w:r>
    </w:p>
    <w:p>
      <w:r>
        <w:t>PDF追溯报告是系统的核心交付物。生成入口位于全流程追溯详情页顶部。点击"生成追溯报告"按钮后，系统自动收集该场地的以下数据并渲染为PDF：</w:t>
      </w:r>
    </w:p>
    <w:p>
      <w:pPr>
        <w:pStyle w:val="Heading2"/>
      </w:pPr>
      <w:r>
        <w:t>4.2 报告内容清单（15章）</w:t>
      </w:r>
    </w:p>
    <w:p>
      <w:r>
        <w:t>每份追溯报告包含以下完整内容：</w:t>
      </w:r>
    </w:p>
    <w:p>
      <w:r>
        <w:t>1. 场地基本信息（编号、名称、位置、面积、用地类型、污染类型及风险等级）</w:t>
        <w:br/>
        <w:t>2. 数据来源说明（源文件、导入时间、处理脚本版本）</w:t>
        <w:br/>
        <w:t>3. 采样点信息（所有采样点编号、位置、深度、土壤类型、采样日期）</w:t>
        <w:br/>
        <w:t>4. 检测数据摘要（各因子检测值范围、均值、超标统计，按五大类分组）</w:t>
        <w:br/>
        <w:t>5. 数据质量校验结果（完整性、合法性、阈值范围的校验结论）</w:t>
        <w:br/>
        <w:t>6. 障碍因子识别结果（Top-N因子排名表、全局重要性）</w:t>
        <w:br/>
        <w:t>7. RF/SHAP解释（模型信息、特征清单、SHAP概要图、局部样点解释）</w:t>
        <w:br/>
        <w:t>8. 功能重构可行性评价（生产/生态双方向，得分、等级、限制因子）</w:t>
        <w:br/>
        <w:t>9. SSUI可持续利用评价（指数值、等级、维度分、f(t)和M取值）</w:t>
        <w:br/>
        <w:t>10. 推荐方案（按匹配度排序的技术列表，含推荐理由）</w:t>
        <w:br/>
        <w:t>11. 五阶段追溯记录（各阶段状态、操作人、时间、审批意见）</w:t>
        <w:br/>
        <w:t>12. 附件清单（所有上传文件的名称、类型、大小、上传时间）</w:t>
        <w:br/>
        <w:t>13. 操作日志摘要（本场地相关关键操作记录）</w:t>
        <w:br/>
        <w:t>14. 报告生成时间</w:t>
        <w:br/>
        <w:t>15. 报告版本号（含生成时的数据版本快照）</w:t>
      </w:r>
    </w:p>
    <w:p>
      <w:pPr>
        <w:pStyle w:val="Heading2"/>
      </w:pPr>
      <w:r>
        <w:t>4.3 报告版本管理</w:t>
      </w:r>
    </w:p>
    <w:p>
      <w:r>
        <w:t>- 每次生成报告自动递增版本号（如 V1.0 → V1.1 → V2.0）。</w:t>
      </w:r>
    </w:p>
    <w:p>
      <w:r>
        <w:t>- 报告生成时记录数据版本快照（data_snapshot字段），确保未来可按当时的参数版本和模型版本重现报告。</w:t>
      </w:r>
    </w:p>
    <w:p>
      <w:r>
        <w:t>- 历史报告可在报告记录列表中查看和下载，不会因数据更新而丢失历史版本。</w:t>
      </w:r>
    </w:p>
    <w:p>
      <w:r>
        <w:rPr>
          <w:b/>
        </w:rPr>
        <w:t>注意：报告生成需要一定时间（通常5-30秒），请耐心等待。生成过程中请勿关闭页面或重复点击。</w:t>
      </w:r>
    </w:p>
    <w:p>
      <w:r>
        <w:br w:type="page"/>
      </w:r>
    </w:p>
    <w:p>
      <w:pPr>
        <w:pStyle w:val="Heading1"/>
      </w:pPr>
      <w:r>
        <w:t>第五章 常见问题（FAQ）</w:t>
      </w:r>
    </w:p>
    <w:p>
      <w:pPr>
        <w:pStyle w:val="Heading2"/>
      </w:pPr>
      <w:r>
        <w:t>5.1 登录与账号</w:t>
      </w:r>
    </w:p>
    <w:p>
      <w:r>
        <w:rPr>
          <w:b/>
        </w:rPr>
        <w:t>Q: 忘记密码怎么办？</w:t>
      </w:r>
    </w:p>
    <w:p>
      <w:r>
        <w:t>A: 请联系系统管理员重置密码。管理员在"系统管理 &gt; 用户管理"中选择对应用户，点击"重置密码"，系统会生成新的随机密码，用户首次登录后强制修改。</w:t>
      </w:r>
    </w:p>
    <w:p>
      <w:r>
        <w:rPr>
          <w:b/>
        </w:rPr>
        <w:t>Q: 登录时提示"账户已锁定"？</w:t>
      </w:r>
    </w:p>
    <w:p>
      <w:r>
        <w:t>A: 连续输入错误密码超过限定次数（默认5次）账户会被临时锁定。请等待15分钟后重试，或联系系统管理员手动解锁。</w:t>
      </w:r>
    </w:p>
    <w:p>
      <w:r>
        <w:rPr>
          <w:b/>
        </w:rPr>
        <w:t>Q: 为什么我看不到某些页面或功能？</w:t>
      </w:r>
    </w:p>
    <w:p>
      <w:r>
        <w:t>A: 系统的菜单和功能根据用户角色动态显示。企业用户、第三方机构、监管人员只能看到其权限范围内的功能。若觉得应有某功能但看不到，请确认您的角色并联系管理员确认权限配置。系统管理页（/system）仅admin角色可见。</w:t>
      </w:r>
    </w:p>
    <w:p>
      <w:pPr>
        <w:pStyle w:val="Heading2"/>
      </w:pPr>
      <w:r>
        <w:t>5.2 数据导入</w:t>
      </w:r>
    </w:p>
    <w:p>
      <w:r>
        <w:rPr>
          <w:b/>
        </w:rPr>
        <w:t>Q: 支持什么格式的数据导入？</w:t>
      </w:r>
    </w:p>
    <w:p>
      <w:r>
        <w:t>A: 系统支持Excel（.xlsx/.xls）和CSV（UTF-8编码）格式。单个文件建议不超过200行（可即时处理），更大批次将异步处理并在完成后通知。</w:t>
      </w:r>
    </w:p>
    <w:p>
      <w:r>
        <w:rPr>
          <w:b/>
        </w:rPr>
        <w:t>Q: 数据导入后发现错误怎么办？</w:t>
      </w:r>
    </w:p>
    <w:p>
      <w:r>
        <w:t>A: 原始检测值入库后禁止修改。若发现数据错误，需联系管理员将该批导入标记为"作废"，然后重新导入正确数据。系统会保留完整的导入历史以便追溯。</w:t>
      </w:r>
    </w:p>
    <w:p>
      <w:r>
        <w:rPr>
          <w:b/>
        </w:rPr>
        <w:t>Q: 我的Excel列名和系统不一样，怎么办？</w:t>
      </w:r>
    </w:p>
    <w:p>
      <w:r>
        <w:t>A: 这正是系统的"字段映射"功能所解决的问题。上传文件后系统会展示源文件列名，您需要手动将每列映射到系统标准字段。系统会根据列名相似度自动推荐映射关系（如"砷含量"自动匹配"As"因子），您确认或调整后即可完成导入。三类真实样本（云南个旧23列、南京栖霞47列、乡村建设用地33列）均通过此方式导入成功。</w:t>
      </w:r>
    </w:p>
    <w:p>
      <w:pPr>
        <w:pStyle w:val="Heading2"/>
      </w:pPr>
      <w:r>
        <w:t>5.3 决策分析</w:t>
      </w:r>
    </w:p>
    <w:p>
      <w:r>
        <w:rPr>
          <w:b/>
        </w:rPr>
        <w:t>Q: 为什么障碍因子分析需要先导入数据？</w:t>
      </w:r>
    </w:p>
    <w:p>
      <w:r>
        <w:t>A: 障碍因子分析（RF+SHAP）需要从measurements长表中提取该场地的实际检测数据作为模型输入。如果没有导入数据，系统没有可供分析的数据源，无法进行计算。所有分析结果均基于真实检测值，不使用假数据。</w:t>
      </w:r>
    </w:p>
    <w:p>
      <w:r>
        <w:rPr>
          <w:b/>
        </w:rPr>
        <w:t>Q: 障碍因子排名中为什么有些因子不在我的数据里？</w:t>
      </w:r>
    </w:p>
    <w:p>
      <w:r>
        <w:t>A: 这是因为该场地缺少某些训练特征（如CEC、EC_T等）。系统会用训练集的中位数填充这些缺失值，并在结果摘要中明确标注"填充特征数量"和"填充特征列表"。注意：被填充的特征不参与Top-N结论排名，仅作为模型完整计算所需的技术占位。</w:t>
      </w:r>
    </w:p>
    <w:p>
      <w:r>
        <w:rPr>
          <w:b/>
        </w:rPr>
        <w:t>Q: 重构评价中"生产"和"生态"有什么区别？</w:t>
      </w:r>
    </w:p>
    <w:p>
      <w:r>
        <w:t>A: 两套评价使用不同的指标体系和权重。生产功能评价侧重土壤耕作层的生产能力（包括有效土层厚度、灌排能力、地形坡度、全氮/有效磷/速效钾肥力等），权重中修复潜力类占28.94%；生态功能评价侧重生态系统的自我恢复和维持能力（包含更全面的污染物指标110项），权重中土壤质量类占24.97%。同一场地可能生产功能不可行但生态功能可行（如云南个旧案例）。</w:t>
      </w:r>
    </w:p>
    <w:p>
      <w:r>
        <w:rPr>
          <w:b/>
        </w:rPr>
        <w:t>Q: SSUI评价为什么只有"限制因子"一个维度？</w:t>
      </w:r>
    </w:p>
    <w:p>
      <w:r>
        <w:t>A: MVP阶段因实测数据暂缺风险因子C2、经济成本C3、经济效益C4的数据，暂采用安全性-限制因子C1单维度口径。系统已内置完整的四维SSUI参数（25元指标体系），待相关数据补充后可无缝切换。当前结果中会明确标注"未纳入C2/C3/C4维度"。</w:t>
      </w:r>
    </w:p>
    <w:p>
      <w:pPr>
        <w:pStyle w:val="Heading2"/>
      </w:pPr>
      <w:r>
        <w:t>5.4 报告与追溯</w:t>
      </w:r>
    </w:p>
    <w:p>
      <w:r>
        <w:rPr>
          <w:b/>
        </w:rPr>
        <w:t>Q: 报告生成需要多长时间？失败怎么办？</w:t>
      </w:r>
    </w:p>
    <w:p>
      <w:r>
        <w:t>A: 正常情况5-30秒可完成。若超时或失败，请检查该场地是否具备完整的必要数据（至少要有基本信息和检测数据；诊断、评价、推荐结果若无则相应章节显示"尚未完成"）。若持续失败，请联系管理员查看后台日志。</w:t>
      </w:r>
    </w:p>
    <w:p>
      <w:r>
        <w:rPr>
          <w:b/>
        </w:rPr>
        <w:t>Q: 历史报告还能再次下载吗？</w:t>
      </w:r>
    </w:p>
    <w:p>
      <w:r>
        <w:t>A: 可以。所有生成的报告在report_records表中持久保存，包括报告文件和生成时的数据快照。在追溯详情页可查看该场地的所有历史报告版本列表，点击即可下载。</w:t>
      </w:r>
    </w:p>
    <w:p>
      <w:r>
        <w:rPr>
          <w:b/>
        </w:rPr>
        <w:t>Q: 追溯记录的五个阶段必须按顺序完成吗？</w:t>
      </w:r>
    </w:p>
    <w:p>
      <w:r>
        <w:t>A: 是的。五阶段（调查评估→方案审批→施工监理→效果评估→后期管护）按法规流程设定，前一阶段标记为"已完成"且未被"退回"后，才能推进到下一阶段。若某阶段被退回，需修正后重新完成。</w:t>
      </w:r>
    </w:p>
    <w:p>
      <w:pPr>
        <w:pStyle w:val="Heading2"/>
      </w:pPr>
      <w:r>
        <w:t>5.5 系统其他</w:t>
      </w:r>
    </w:p>
    <w:p>
      <w:r>
        <w:rPr>
          <w:b/>
        </w:rPr>
        <w:t>Q: 系统支持哪些浏览器？</w:t>
      </w:r>
    </w:p>
    <w:p>
      <w:r>
        <w:t>A: 推荐使用Chrome 90+、Edge 90+或Firefox 100+。不支持IE浏览器。</w:t>
      </w:r>
    </w:p>
    <w:p>
      <w:r>
        <w:rPr>
          <w:b/>
        </w:rPr>
        <w:t>Q: 页面加载很慢或报错怎么办？</w:t>
      </w:r>
    </w:p>
    <w:p>
      <w:r>
        <w:t>A: 首先检查网络连接。若页面出现错误提示，点击"重试"按钮。若持续异常，请记录错误信息和发生时间并联系系统管理员。系统所有页面均设计有加载态、空态、错误态和异常态反馈。</w:t>
      </w:r>
    </w:p>
    <w:p>
      <w:r>
        <w:rPr>
          <w:b/>
        </w:rPr>
        <w:t>Q: 系统数据会定期备份吗？</w:t>
      </w:r>
    </w:p>
    <w:p>
      <w:r>
        <w:t>A: 生产部署时PostgreSQL数据库使用Docker volume持久化存储（pgdata），建议管理员定期执行pg_dump备份。系统日志和操作审计记录自动持久化。</w:t>
      </w:r>
    </w:p>
    <w:p>
      <w:r>
        <w:br w:type="page"/>
      </w:r>
    </w:p>
    <w:p>
      <w:pPr>
        <w:pStyle w:val="Heading1"/>
      </w:pPr>
      <w:r>
        <w:t>第六章 附录</w:t>
      </w:r>
    </w:p>
    <w:p>
      <w:pPr>
        <w:pStyle w:val="Heading2"/>
      </w:pPr>
      <w:r>
        <w:t>6.1 缩写对照表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FFF"/>
          </w:tcPr>
          <w:p>
            <w:r>
              <w:rPr>
                <w:b/>
                <w:color w:val="FFFFFF"/>
              </w:rPr>
              <w:t>缩写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b/>
                <w:color w:val="FFFFFF"/>
              </w:rPr>
              <w:t>全称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t>RF</w:t>
            </w:r>
          </w:p>
        </w:tc>
        <w:tc>
          <w:tcPr>
            <w:tcW w:type="dxa" w:w="4320"/>
            <w:shd w:val="clear" w:color="auto" w:fill="F2F2F2"/>
          </w:tcPr>
          <w:p>
            <w:r>
              <w:t>Random Forest 随机森林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t>SHAP</w:t>
            </w:r>
          </w:p>
        </w:tc>
        <w:tc>
          <w:tcPr>
            <w:tcW w:type="dxa" w:w="4320"/>
            <w:shd w:val="clear" w:color="auto" w:fill="FFFFFF"/>
          </w:tcPr>
          <w:p>
            <w:r>
              <w:t>SHapley Additive exPlanations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t>SSUI</w:t>
            </w:r>
          </w:p>
        </w:tc>
        <w:tc>
          <w:tcPr>
            <w:tcW w:type="dxa" w:w="4320"/>
            <w:shd w:val="clear" w:color="auto" w:fill="F2F2F2"/>
          </w:tcPr>
          <w:p>
            <w:r>
              <w:t>Sustainable Soil Use Index 可持续利用指数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t>SRS</w:t>
            </w:r>
          </w:p>
        </w:tc>
        <w:tc>
          <w:tcPr>
            <w:tcW w:type="dxa" w:w="4320"/>
            <w:shd w:val="clear" w:color="auto" w:fill="FFFFFF"/>
          </w:tcPr>
          <w:p>
            <w:r>
              <w:t>Software Requirements Specification 需求规格说明书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t>MVP</w:t>
            </w:r>
          </w:p>
        </w:tc>
        <w:tc>
          <w:tcPr>
            <w:tcW w:type="dxa" w:w="4320"/>
            <w:shd w:val="clear" w:color="auto" w:fill="F2F2F2"/>
          </w:tcPr>
          <w:p>
            <w:r>
              <w:t>Minimum Viable Product 最小可行产品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t>RBAC</w:t>
            </w:r>
          </w:p>
        </w:tc>
        <w:tc>
          <w:tcPr>
            <w:tcW w:type="dxa" w:w="4320"/>
            <w:shd w:val="clear" w:color="auto" w:fill="FFFFFF"/>
          </w:tcPr>
          <w:p>
            <w:r>
              <w:t>Role-Based Access Control 基于角色的访问控制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t>JWT</w:t>
            </w:r>
          </w:p>
        </w:tc>
        <w:tc>
          <w:tcPr>
            <w:tcW w:type="dxa" w:w="4320"/>
            <w:shd w:val="clear" w:color="auto" w:fill="F2F2F2"/>
          </w:tcPr>
          <w:p>
            <w:r>
              <w:t>JSON Web Token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t>AHP</w:t>
            </w:r>
          </w:p>
        </w:tc>
        <w:tc>
          <w:tcPr>
            <w:tcW w:type="dxa" w:w="4320"/>
            <w:shd w:val="clear" w:color="auto" w:fill="FFFFFF"/>
          </w:tcPr>
          <w:p>
            <w:r>
              <w:t>Analytic Hierarchy Process 层次分析法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>
              <w:t>CRITIC</w:t>
            </w:r>
          </w:p>
        </w:tc>
        <w:tc>
          <w:tcPr>
            <w:tcW w:type="dxa" w:w="4320"/>
            <w:shd w:val="clear" w:color="auto" w:fill="F2F2F2"/>
          </w:tcPr>
          <w:p>
            <w:r>
              <w:t>CRiteria Importance Through Intercriteria Correlation</w:t>
            </w:r>
          </w:p>
        </w:tc>
      </w:tr>
    </w:tbl>
    <w:p>
      <w:pPr>
        <w:pStyle w:val="Heading2"/>
      </w:pPr>
      <w:r>
        <w:t>6.2 系统页面路径总览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页面名称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前端路由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所属模块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b/>
                <w:color w:val="FFFFFF"/>
              </w:rPr>
              <w:t>访问权限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登录页</w:t>
            </w:r>
          </w:p>
        </w:tc>
        <w:tc>
          <w:tcPr>
            <w:tcW w:type="dxa" w:w="2160"/>
            <w:shd w:val="clear" w:color="auto" w:fill="F2F2F2"/>
          </w:tcPr>
          <w:p>
            <w:r>
              <w:t>/login</w:t>
            </w:r>
          </w:p>
        </w:tc>
        <w:tc>
          <w:tcPr>
            <w:tcW w:type="dxa" w:w="2160"/>
            <w:shd w:val="clear" w:color="auto" w:fill="F2F2F2"/>
          </w:tcPr>
          <w:p>
            <w:r>
              <w:t>系统管理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所有用户（未登录）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首页/数据概览</w:t>
            </w:r>
          </w:p>
        </w:tc>
        <w:tc>
          <w:tcPr>
            <w:tcW w:type="dxa" w:w="2160"/>
            <w:shd w:val="clear" w:color="auto" w:fill="FFFFFF"/>
          </w:tcPr>
          <w:p>
            <w:r>
              <w:t>/</w:t>
            </w:r>
          </w:p>
        </w:tc>
        <w:tc>
          <w:tcPr>
            <w:tcW w:type="dxa" w:w="2160"/>
            <w:shd w:val="clear" w:color="auto" w:fill="FFFFFF"/>
          </w:tcPr>
          <w:p>
            <w:r>
              <w:t>数据管理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场地列表</w:t>
            </w:r>
          </w:p>
        </w:tc>
        <w:tc>
          <w:tcPr>
            <w:tcW w:type="dxa" w:w="2160"/>
            <w:shd w:val="clear" w:color="auto" w:fill="F2F2F2"/>
          </w:tcPr>
          <w:p>
            <w:r>
              <w:t>/sites</w:t>
            </w:r>
          </w:p>
        </w:tc>
        <w:tc>
          <w:tcPr>
            <w:tcW w:type="dxa" w:w="2160"/>
            <w:shd w:val="clear" w:color="auto" w:fill="F2F2F2"/>
          </w:tcPr>
          <w:p>
            <w:r>
              <w:t>数据管理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数据导入</w:t>
            </w:r>
          </w:p>
        </w:tc>
        <w:tc>
          <w:tcPr>
            <w:tcW w:type="dxa" w:w="2160"/>
            <w:shd w:val="clear" w:color="auto" w:fill="FFFFFF"/>
          </w:tcPr>
          <w:p>
            <w:r>
              <w:t>/sites/import</w:t>
            </w:r>
          </w:p>
        </w:tc>
        <w:tc>
          <w:tcPr>
            <w:tcW w:type="dxa" w:w="2160"/>
            <w:shd w:val="clear" w:color="auto" w:fill="FFFFFF"/>
          </w:tcPr>
          <w:p>
            <w:r>
              <w:t>数据管理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企业用户、管理员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场地详情</w:t>
            </w:r>
          </w:p>
        </w:tc>
        <w:tc>
          <w:tcPr>
            <w:tcW w:type="dxa" w:w="2160"/>
            <w:shd w:val="clear" w:color="auto" w:fill="F2F2F2"/>
          </w:tcPr>
          <w:p>
            <w:r>
              <w:t>/sites/:id</w:t>
            </w:r>
          </w:p>
        </w:tc>
        <w:tc>
          <w:tcPr>
            <w:tcW w:type="dxa" w:w="2160"/>
            <w:shd w:val="clear" w:color="auto" w:fill="F2F2F2"/>
          </w:tcPr>
          <w:p>
            <w:r>
              <w:t>数据管理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障碍因子分析</w:t>
            </w:r>
          </w:p>
        </w:tc>
        <w:tc>
          <w:tcPr>
            <w:tcW w:type="dxa" w:w="2160"/>
            <w:shd w:val="clear" w:color="auto" w:fill="FFFFFF"/>
          </w:tcPr>
          <w:p>
            <w:r>
              <w:t>/obstacle</w:t>
            </w:r>
          </w:p>
        </w:tc>
        <w:tc>
          <w:tcPr>
            <w:tcW w:type="dxa" w:w="2160"/>
            <w:shd w:val="clear" w:color="auto" w:fill="FFFFFF"/>
          </w:tcPr>
          <w:p>
            <w:r>
              <w:t>决策管理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重构可行性评价</w:t>
            </w:r>
          </w:p>
        </w:tc>
        <w:tc>
          <w:tcPr>
            <w:tcW w:type="dxa" w:w="2160"/>
            <w:shd w:val="clear" w:color="auto" w:fill="F2F2F2"/>
          </w:tcPr>
          <w:p>
            <w:r>
              <w:t>/reconstruction</w:t>
            </w:r>
          </w:p>
        </w:tc>
        <w:tc>
          <w:tcPr>
            <w:tcW w:type="dxa" w:w="2160"/>
            <w:shd w:val="clear" w:color="auto" w:fill="F2F2F2"/>
          </w:tcPr>
          <w:p>
            <w:r>
              <w:t>决策管理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可持续利用评价</w:t>
            </w:r>
          </w:p>
        </w:tc>
        <w:tc>
          <w:tcPr>
            <w:tcW w:type="dxa" w:w="2160"/>
            <w:shd w:val="clear" w:color="auto" w:fill="FFFFFF"/>
          </w:tcPr>
          <w:p>
            <w:r>
              <w:t>/ssui</w:t>
            </w:r>
          </w:p>
        </w:tc>
        <w:tc>
          <w:tcPr>
            <w:tcW w:type="dxa" w:w="2160"/>
            <w:shd w:val="clear" w:color="auto" w:fill="FFFFFF"/>
          </w:tcPr>
          <w:p>
            <w:r>
              <w:t>决策管理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方案推荐</w:t>
            </w:r>
          </w:p>
        </w:tc>
        <w:tc>
          <w:tcPr>
            <w:tcW w:type="dxa" w:w="2160"/>
            <w:shd w:val="clear" w:color="auto" w:fill="F2F2F2"/>
          </w:tcPr>
          <w:p>
            <w:r>
              <w:t>/recommend</w:t>
            </w:r>
          </w:p>
        </w:tc>
        <w:tc>
          <w:tcPr>
            <w:tcW w:type="dxa" w:w="2160"/>
            <w:shd w:val="clear" w:color="auto" w:fill="F2F2F2"/>
          </w:tcPr>
          <w:p>
            <w:r>
              <w:t>决策管理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全流程追溯列表</w:t>
            </w:r>
          </w:p>
        </w:tc>
        <w:tc>
          <w:tcPr>
            <w:tcW w:type="dxa" w:w="2160"/>
            <w:shd w:val="clear" w:color="auto" w:fill="FFFFFF"/>
          </w:tcPr>
          <w:p>
            <w:r>
              <w:t>/trace</w:t>
            </w:r>
          </w:p>
        </w:tc>
        <w:tc>
          <w:tcPr>
            <w:tcW w:type="dxa" w:w="2160"/>
            <w:shd w:val="clear" w:color="auto" w:fill="FFFFFF"/>
          </w:tcPr>
          <w:p>
            <w:r>
              <w:t>全流程追溯</w:t>
            </w:r>
          </w:p>
        </w:tc>
        <w:tc>
          <w:tcPr>
            <w:tcW w:type="dxa" w:w="2160"/>
            <w:shd w:val="clear" w:color="auto" w:fill="FFFFFF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t>追溯详情（含报告生成）</w:t>
            </w:r>
          </w:p>
        </w:tc>
        <w:tc>
          <w:tcPr>
            <w:tcW w:type="dxa" w:w="2160"/>
            <w:shd w:val="clear" w:color="auto" w:fill="F2F2F2"/>
          </w:tcPr>
          <w:p>
            <w:r>
              <w:t>/trace/:id</w:t>
            </w:r>
          </w:p>
        </w:tc>
        <w:tc>
          <w:tcPr>
            <w:tcW w:type="dxa" w:w="2160"/>
            <w:shd w:val="clear" w:color="auto" w:fill="F2F2F2"/>
          </w:tcPr>
          <w:p>
            <w:r>
              <w:t>全流程追溯</w:t>
            </w:r>
          </w:p>
        </w:tc>
        <w:tc>
          <w:tcPr>
            <w:tcW w:type="dxa" w:w="2160"/>
            <w:shd w:val="clear" w:color="auto" w:fill="F2F2F2"/>
          </w:tcPr>
          <w:p>
            <w:r>
              <w:t>所有已登录用户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t>系统管理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/system</w:t>
            </w:r>
          </w:p>
        </w:tc>
        <w:tc>
          <w:tcPr>
            <w:tcW w:type="dxa" w:w="2160"/>
            <w:shd w:val="clear" w:color="auto" w:fill="FFFFFF"/>
          </w:tcPr>
          <w:p>
            <w:r>
              <w:t>系统管理</w:t>
            </w:r>
          </w:p>
        </w:tc>
        <w:tc>
          <w:tcPr>
            <w:tcW w:type="dxa" w:w="2160"/>
            <w:shd w:val="clear" w:color="auto" w:fill="FFFFFF"/>
          </w:tcPr>
          <w:p>
            <w:r>
              <w:t>仅系统管理员</w:t>
            </w:r>
          </w:p>
        </w:tc>
      </w:tr>
    </w:tbl>
    <w:p>
      <w:pPr>
        <w:pStyle w:val="Heading2"/>
      </w:pPr>
      <w:r>
        <w:t>6.3 演示账号速查</w:t>
      </w:r>
    </w:p>
    <w:p>
      <w:r>
        <w:t>admin / admin123 —— 系统管理员，全功能访问</w:t>
      </w:r>
    </w:p>
    <w:p>
      <w:r>
        <w:t>enterprise / demo123 —— 企业用户，仅见本企业数据</w:t>
      </w:r>
    </w:p>
    <w:p>
      <w:r>
        <w:t>agency / demo123 —— 第三方机构，仅见授权项目</w:t>
      </w:r>
    </w:p>
    <w:p>
      <w:r>
        <w:t>regulator / demo123 —— 监管人员，查看监管范围内数据</w:t>
      </w:r>
    </w:p>
    <w:p>
      <w:r>
        <w:br w:type="page"/>
      </w:r>
    </w:p>
    <w:p>
      <w:r>
        <w:rPr>
          <w:rFonts w:ascii="SimHei" w:hAnsi="SimHei"/>
          <w:sz w:val="24"/>
        </w:rPr>
        <w:t>— 文档结束 —</w:t>
      </w:r>
    </w:p>
    <w:p>
      <w:r>
        <w:rPr>
          <w:rFonts w:ascii="SimHei" w:hAnsi="SimHei"/>
          <w:sz w:val="22"/>
        </w:rPr>
        <w:t>浙江大学王玮课题组 (c)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系统用户操作手册</dc:title>
  <dc:subject/>
  <dc:creator>浙江大学王玮课题组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