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003F7F"/>
          <w:sz w:val="44"/>
        </w:rPr>
        <w:t>污染场地土壤生态-生产功能重构监管系统</w:t>
      </w:r>
    </w:p>
    <w:p>
      <w:pPr>
        <w:jc w:val="center"/>
      </w:pPr>
      <w:r>
        <w:rPr>
          <w:rFonts w:ascii="黑体" w:hAnsi="黑体" w:eastAsia="黑体"/>
          <w:b/>
          <w:color w:val="003F7F"/>
          <w:sz w:val="64"/>
        </w:rPr>
        <w:t>测试说明</w:t>
      </w:r>
    </w:p>
    <w:p/>
    <w:p/>
    <w:p>
      <w:pPr>
        <w:jc w:val="center"/>
      </w:pPr>
      <w:r>
        <w:rPr>
          <w:rFonts w:ascii="宋体" w:hAnsi="宋体" w:eastAsia="宋体"/>
          <w:sz w:val="28"/>
        </w:rPr>
        <w:t>版本：V1.0</w:t>
      </w:r>
    </w:p>
    <w:p>
      <w:pPr>
        <w:jc w:val="center"/>
      </w:pPr>
      <w:r>
        <w:rPr>
          <w:rFonts w:ascii="宋体" w:hAnsi="宋体" w:eastAsia="宋体"/>
          <w:sz w:val="28"/>
        </w:rPr>
        <w:t>编制日期：2026年7月</w:t>
      </w:r>
    </w:p>
    <w:p>
      <w:pPr>
        <w:jc w:val="center"/>
      </w:pPr>
      <w:r>
        <w:rPr>
          <w:rFonts w:ascii="宋体" w:hAnsi="宋体" w:eastAsia="宋体"/>
          <w:sz w:val="28"/>
        </w:rPr>
        <w:t>著作权人：生态环境部土壤与农业农村生态环境监管技术中心</w:t>
      </w:r>
    </w:p>
    <w:p>
      <w:pPr>
        <w:jc w:val="center"/>
      </w:pPr>
      <w:r>
        <w:rPr>
          <w:rFonts w:ascii="宋体" w:hAnsi="宋体" w:eastAsia="宋体"/>
          <w:sz w:val="28"/>
        </w:rPr>
        <w:t>开发单位：浙江大学王玮课题组</w:t>
      </w:r>
    </w:p>
    <w:p>
      <w:r>
        <w:br w:type="page"/>
      </w:r>
    </w:p>
    <w:p>
      <w:pPr>
        <w:pStyle w:val="Heading1"/>
      </w:pPr>
      <w:r>
        <w:t>第一章 测试概述</w:t>
      </w:r>
    </w:p>
    <w:p>
      <w:pPr>
        <w:pStyle w:val="Heading2"/>
      </w:pPr>
      <w:r>
        <w:t>1.1 测试目的</w:t>
      </w:r>
    </w:p>
    <w:p>
      <w:r>
        <w:rPr>
          <w:rFonts w:ascii="宋体" w:hAnsi="宋体" w:eastAsia="宋体"/>
          <w:b w:val="0"/>
          <w:sz w:val="22"/>
        </w:rPr>
        <w:t>本文档说明污染场地土壤生态-生产功能重构监管系统的测试策略、测试环境、测试用例与测试结果。测试覆盖功能测试、接口测试、集成测试与性能测试，旨在验证系统满足需求规格说明书（SRS）定义的全部功能和非功能要求，确保交付质量。</w:t>
      </w:r>
    </w:p>
    <w:p>
      <w:pPr>
        <w:pStyle w:val="Heading2"/>
      </w:pPr>
      <w:r>
        <w:t>1.2 测试范围</w:t>
      </w:r>
    </w:p>
    <w:p>
      <w:r>
        <w:rPr>
          <w:rFonts w:ascii="宋体" w:hAnsi="宋体" w:eastAsia="宋体"/>
          <w:b w:val="0"/>
          <w:sz w:val="22"/>
        </w:rPr>
        <w:t>本次测试覆盖系统的四大核心模块共85个功能点：</w:t>
      </w:r>
    </w:p>
    <w:p>
      <w:r>
        <w:rPr>
          <w:rFonts w:ascii="宋体" w:hAnsi="宋体" w:eastAsia="宋体"/>
          <w:b/>
        </w:rPr>
        <w:t>数据管理（20 FP）</w:t>
      </w:r>
      <w:r>
        <w:rPr>
          <w:rFonts w:ascii="宋体" w:hAnsi="宋体" w:eastAsia="宋体"/>
        </w:rPr>
        <w:t>：数据导入、校验、GIS展示、EDA分析</w:t>
      </w:r>
    </w:p>
    <w:p>
      <w:r>
        <w:rPr>
          <w:rFonts w:ascii="宋体" w:hAnsi="宋体" w:eastAsia="宋体"/>
          <w:b/>
        </w:rPr>
        <w:t>决策管理（36 FP）</w:t>
      </w:r>
      <w:r>
        <w:rPr>
          <w:rFonts w:ascii="宋体" w:hAnsi="宋体" w:eastAsia="宋体"/>
        </w:rPr>
        <w:t>：障碍因子诊断、功能重构分析、SSUI评价、方案推荐</w:t>
      </w:r>
    </w:p>
    <w:p>
      <w:r>
        <w:rPr>
          <w:rFonts w:ascii="宋体" w:hAnsi="宋体" w:eastAsia="宋体"/>
          <w:b/>
        </w:rPr>
        <w:t>全流程追溯（19 FP）</w:t>
      </w:r>
      <w:r>
        <w:rPr>
          <w:rFonts w:ascii="宋体" w:hAnsi="宋体" w:eastAsia="宋体"/>
        </w:rPr>
        <w:t>：五阶段状态机、附件管理、报告生成</w:t>
      </w:r>
    </w:p>
    <w:p>
      <w:r>
        <w:rPr>
          <w:rFonts w:ascii="宋体" w:hAnsi="宋体" w:eastAsia="宋体"/>
          <w:b/>
        </w:rPr>
        <w:t>系统管理（10 FP）</w:t>
      </w:r>
      <w:r>
        <w:rPr>
          <w:rFonts w:ascii="宋体" w:hAnsi="宋体" w:eastAsia="宋体"/>
        </w:rPr>
        <w:t>：用户管理、权限控制、日志审计、数据备份</w:t>
      </w:r>
    </w:p>
    <w:p>
      <w:pPr>
        <w:pStyle w:val="Heading2"/>
      </w:pPr>
      <w:r>
        <w:t>1.3 测试环境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版本/配置</w:t>
            </w:r>
          </w:p>
        </w:tc>
      </w:tr>
      <w:tr>
        <w:tc>
          <w:tcPr>
            <w:tcW w:type="dxa" w:w="4320"/>
          </w:tcPr>
          <w:p>
            <w:r>
              <w:t>操作系统</w:t>
            </w:r>
          </w:p>
        </w:tc>
        <w:tc>
          <w:tcPr>
            <w:tcW w:type="dxa" w:w="4320"/>
          </w:tcPr>
          <w:p>
            <w:r>
              <w:t>Windows 11 Pro 23H2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3.11.9</w:t>
            </w:r>
          </w:p>
        </w:tc>
      </w:tr>
      <w:tr>
        <w:tc>
          <w:tcPr>
            <w:tcW w:type="dxa" w:w="4320"/>
          </w:tcPr>
          <w:p>
            <w:r>
              <w:t>Node.js</w:t>
            </w:r>
          </w:p>
        </w:tc>
        <w:tc>
          <w:tcPr>
            <w:tcW w:type="dxa" w:w="4320"/>
          </w:tcPr>
          <w:p>
            <w:r>
              <w:t>22.5.1</w:t>
            </w:r>
          </w:p>
        </w:tc>
      </w:tr>
      <w:tr>
        <w:tc>
          <w:tcPr>
            <w:tcW w:type="dxa" w:w="4320"/>
          </w:tcPr>
          <w:p>
            <w:r>
              <w:t>PostgreSQL</w:t>
            </w:r>
          </w:p>
        </w:tc>
        <w:tc>
          <w:tcPr>
            <w:tcW w:type="dxa" w:w="4320"/>
          </w:tcPr>
          <w:p>
            <w:r>
              <w:t>14.12 + PostGIS 3.4</w:t>
            </w:r>
          </w:p>
        </w:tc>
      </w:tr>
      <w:tr>
        <w:tc>
          <w:tcPr>
            <w:tcW w:type="dxa" w:w="4320"/>
          </w:tcPr>
          <w:p>
            <w:r>
              <w:t>Redis</w:t>
            </w:r>
          </w:p>
        </w:tc>
        <w:tc>
          <w:tcPr>
            <w:tcW w:type="dxa" w:w="4320"/>
          </w:tcPr>
          <w:p>
            <w:r>
              <w:t>7.2.4</w:t>
            </w:r>
          </w:p>
        </w:tc>
      </w:tr>
      <w:tr>
        <w:tc>
          <w:tcPr>
            <w:tcW w:type="dxa" w:w="4320"/>
          </w:tcPr>
          <w:p>
            <w:r>
              <w:t>浏览器</w:t>
            </w:r>
          </w:p>
        </w:tc>
        <w:tc>
          <w:tcPr>
            <w:tcW w:type="dxa" w:w="4320"/>
          </w:tcPr>
          <w:p>
            <w:r>
              <w:t>Chrome 126 / Edge 126 / Firefox 127</w:t>
            </w:r>
          </w:p>
        </w:tc>
      </w:tr>
      <w:tr>
        <w:tc>
          <w:tcPr>
            <w:tcW w:type="dxa" w:w="4320"/>
          </w:tcPr>
          <w:p>
            <w:r>
              <w:t>测试框架</w:t>
            </w:r>
          </w:p>
        </w:tc>
        <w:tc>
          <w:tcPr>
            <w:tcW w:type="dxa" w:w="4320"/>
          </w:tcPr>
          <w:p>
            <w:r>
              <w:t>pytest 8.3 + pytest-asyncio + Playwright（E2E）</w:t>
            </w:r>
          </w:p>
        </w:tc>
      </w:tr>
    </w:tbl>
    <w:p>
      <w:r>
        <w:br w:type="page"/>
      </w:r>
    </w:p>
    <w:p>
      <w:pPr>
        <w:pStyle w:val="Heading1"/>
      </w:pPr>
      <w:r>
        <w:t>第二章 测试策略</w:t>
      </w:r>
    </w:p>
    <w:p>
      <w:pPr>
        <w:pStyle w:val="Heading2"/>
      </w:pPr>
      <w:r>
        <w:t>2.1 测试层级</w:t>
      </w:r>
    </w:p>
    <w:p>
      <w:r>
        <w:rPr>
          <w:rFonts w:ascii="宋体" w:hAnsi="宋体" w:eastAsia="宋体"/>
          <w:b/>
        </w:rPr>
        <w:t>● 单元测试：</w:t>
      </w:r>
      <w:r>
        <w:rPr>
          <w:rFonts w:ascii="宋体" w:hAnsi="宋体" w:eastAsia="宋体"/>
        </w:rPr>
        <w:t>对后端各服务模块（import_service, diagnosis_service, kos_service等）进行独立函数级测试，验证业务逻辑正确性。使用 pytest 框架，覆盖率目标 &gt;80%。</w:t>
      </w:r>
    </w:p>
    <w:p>
      <w:r>
        <w:rPr>
          <w:rFonts w:ascii="宋体" w:hAnsi="宋体" w:eastAsia="宋体"/>
          <w:b/>
        </w:rPr>
        <w:t>● 接口测试：</w:t>
      </w:r>
      <w:r>
        <w:rPr>
          <w:rFonts w:ascii="宋体" w:hAnsi="宋体" w:eastAsia="宋体"/>
        </w:rPr>
        <w:t>对全部 RESTful API 端点（60余个）进行请求/响应测试，验证状态码、数据格式、权限控制、错误处理。</w:t>
      </w:r>
    </w:p>
    <w:p>
      <w:r>
        <w:rPr>
          <w:rFonts w:ascii="宋体" w:hAnsi="宋体" w:eastAsia="宋体"/>
          <w:b/>
        </w:rPr>
        <w:t>● 集成测试：</w:t>
      </w:r>
      <w:r>
        <w:rPr>
          <w:rFonts w:ascii="宋体" w:hAnsi="宋体" w:eastAsia="宋体"/>
        </w:rPr>
        <w:t>验证模块间数据流转的正确性，如"导入-&gt;诊断-&gt;评价-&gt;推荐-&gt;追溯"全链路闭环。</w:t>
      </w:r>
    </w:p>
    <w:p>
      <w:r>
        <w:rPr>
          <w:rFonts w:ascii="宋体" w:hAnsi="宋体" w:eastAsia="宋体"/>
          <w:b/>
        </w:rPr>
        <w:t>● 端到端测试(E2E)：</w:t>
      </w:r>
      <w:r>
        <w:rPr>
          <w:rFonts w:ascii="宋体" w:hAnsi="宋体" w:eastAsia="宋体"/>
        </w:rPr>
        <w:t>使用 Playwright 模拟真实用户操作，从登录到生成报告的完整业务流程验证。</w:t>
      </w:r>
    </w:p>
    <w:p>
      <w:r>
        <w:rPr>
          <w:rFonts w:ascii="宋体" w:hAnsi="宋体" w:eastAsia="宋体"/>
          <w:b/>
        </w:rPr>
        <w:t>● 性能测试：</w:t>
      </w:r>
      <w:r>
        <w:rPr>
          <w:rFonts w:ascii="宋体" w:hAnsi="宋体" w:eastAsia="宋体"/>
        </w:rPr>
        <w:t>在模拟并发场景下测试系统响应时间、吞吐量、资源占用。</w:t>
      </w:r>
    </w:p>
    <w:p>
      <w:r>
        <w:rPr>
          <w:rFonts w:ascii="宋体" w:hAnsi="宋体" w:eastAsia="宋体"/>
          <w:b/>
        </w:rPr>
        <w:t>● 安全测试：</w:t>
      </w:r>
      <w:r>
        <w:rPr>
          <w:rFonts w:ascii="宋体" w:hAnsi="宋体" w:eastAsia="宋体"/>
        </w:rPr>
        <w:t>验证认证、授权、数据隔离、输入校验、防注入等安全机制。</w:t>
      </w:r>
    </w:p>
    <w:p>
      <w:pPr>
        <w:pStyle w:val="Heading2"/>
      </w:pPr>
      <w:r>
        <w:t>2.2 测试数据</w:t>
      </w:r>
    </w:p>
    <w:p>
      <w:r>
        <w:rPr>
          <w:rFonts w:ascii="宋体" w:hAnsi="宋体" w:eastAsia="宋体"/>
          <w:b w:val="0"/>
          <w:sz w:val="22"/>
        </w:rPr>
        <w:t>测试使用以下数据集：</w:t>
      </w:r>
    </w:p>
    <w:p>
      <w:r>
        <w:rPr>
          <w:rFonts w:ascii="宋体" w:hAnsi="宋体" w:eastAsia="宋体"/>
          <w:b/>
        </w:rPr>
        <w:t>标准测试场地</w:t>
      </w:r>
      <w:r>
        <w:rPr>
          <w:rFonts w:ascii="宋体" w:hAnsi="宋体" w:eastAsia="宋体"/>
        </w:rPr>
        <w:t>：预置5个测试场地，覆盖重金属/有机物/复合污染类型</w:t>
      </w:r>
    </w:p>
    <w:p>
      <w:r>
        <w:rPr>
          <w:rFonts w:ascii="宋体" w:hAnsi="宋体" w:eastAsia="宋体"/>
          <w:b/>
        </w:rPr>
        <w:t>个旧实证场地</w:t>
      </w:r>
      <w:r>
        <w:rPr>
          <w:rFonts w:ascii="宋体" w:hAnsi="宋体" w:eastAsia="宋体"/>
        </w:rPr>
        <w:t>：云南个旧真实场地数据（砷+镉复合污染），用于算法验证</w:t>
      </w:r>
    </w:p>
    <w:p>
      <w:r>
        <w:rPr>
          <w:rFonts w:ascii="宋体" w:hAnsi="宋体" w:eastAsia="宋体"/>
          <w:b/>
        </w:rPr>
        <w:t>合成数据集</w:t>
      </w:r>
      <w:r>
        <w:rPr>
          <w:rFonts w:ascii="宋体" w:hAnsi="宋体" w:eastAsia="宋体"/>
        </w:rPr>
        <w:t>：27,031条训练数据 + 5,407条测试数据，用于ML模型验证</w:t>
      </w:r>
    </w:p>
    <w:p>
      <w:r>
        <w:rPr>
          <w:rFonts w:ascii="宋体" w:hAnsi="宋体" w:eastAsia="宋体"/>
          <w:b/>
        </w:rPr>
        <w:t>边界数据</w:t>
      </w:r>
      <w:r>
        <w:rPr>
          <w:rFonts w:ascii="宋体" w:hAnsi="宋体" w:eastAsia="宋体"/>
        </w:rPr>
        <w:t>：极端值（pH=0/14、浓度=0/最大值）、空值、非法格式等</w:t>
      </w:r>
    </w:p>
    <w:p>
      <w:r>
        <w:br w:type="page"/>
      </w:r>
    </w:p>
    <w:p>
      <w:pPr>
        <w:pStyle w:val="Heading1"/>
      </w:pPr>
      <w:r>
        <w:t>第三章 功能测试用例</w:t>
      </w:r>
    </w:p>
    <w:p>
      <w:pPr>
        <w:pStyle w:val="Heading2"/>
      </w:pPr>
      <w:r>
        <w:t>3.1 登录模块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用例编号</w:t>
            </w:r>
          </w:p>
        </w:tc>
        <w:tc>
          <w:tcPr>
            <w:tcW w:type="dxa" w:w="1728"/>
          </w:tcPr>
          <w:p>
            <w:r>
              <w:t>用例名称</w:t>
            </w:r>
          </w:p>
        </w:tc>
        <w:tc>
          <w:tcPr>
            <w:tcW w:type="dxa" w:w="1728"/>
          </w:tcPr>
          <w:p>
            <w:r>
              <w:t>操作步骤</w:t>
            </w:r>
          </w:p>
        </w:tc>
        <w:tc>
          <w:tcPr>
            <w:tcW w:type="dxa" w:w="1728"/>
          </w:tcPr>
          <w:p>
            <w:r>
              <w:t>预期结果</w:t>
            </w:r>
          </w:p>
        </w:tc>
        <w:tc>
          <w:tcPr>
            <w:tcW w:type="dxa" w:w="1728"/>
          </w:tcPr>
          <w:p>
            <w:r>
              <w:t>测试结果</w:t>
            </w:r>
          </w:p>
        </w:tc>
      </w:tr>
      <w:tr>
        <w:tc>
          <w:tcPr>
            <w:tcW w:type="dxa" w:w="1728"/>
          </w:tcPr>
          <w:p>
            <w:r>
              <w:t>TC-L01</w:t>
            </w:r>
          </w:p>
        </w:tc>
        <w:tc>
          <w:tcPr>
            <w:tcW w:type="dxa" w:w="1728"/>
          </w:tcPr>
          <w:p>
            <w:r>
              <w:t>正确凭据登录</w:t>
            </w:r>
          </w:p>
        </w:tc>
        <w:tc>
          <w:tcPr>
            <w:tcW w:type="dxa" w:w="1728"/>
          </w:tcPr>
          <w:p>
            <w:r>
              <w:t>输入正确的用户名和密码</w:t>
            </w:r>
          </w:p>
        </w:tc>
        <w:tc>
          <w:tcPr>
            <w:tcW w:type="dxa" w:w="1728"/>
          </w:tcPr>
          <w:p>
            <w:r>
              <w:t>登录成功，跳转至数据概览页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TC-L02</w:t>
            </w:r>
          </w:p>
        </w:tc>
        <w:tc>
          <w:tcPr>
            <w:tcW w:type="dxa" w:w="1728"/>
          </w:tcPr>
          <w:p>
            <w:r>
              <w:t>错误密码登录</w:t>
            </w:r>
          </w:p>
        </w:tc>
        <w:tc>
          <w:tcPr>
            <w:tcW w:type="dxa" w:w="1728"/>
          </w:tcPr>
          <w:p>
            <w:r>
              <w:t>输入错误密码</w:t>
            </w:r>
          </w:p>
        </w:tc>
        <w:tc>
          <w:tcPr>
            <w:tcW w:type="dxa" w:w="1728"/>
          </w:tcPr>
          <w:p>
            <w:r>
              <w:t>提示"用户名或密码错误"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TC-L03</w:t>
            </w:r>
          </w:p>
        </w:tc>
        <w:tc>
          <w:tcPr>
            <w:tcW w:type="dxa" w:w="1728"/>
          </w:tcPr>
          <w:p>
            <w:r>
              <w:t>待审核账户登录</w:t>
            </w:r>
          </w:p>
        </w:tc>
        <w:tc>
          <w:tcPr>
            <w:tcW w:type="dxa" w:w="1728"/>
          </w:tcPr>
          <w:p>
            <w:r>
              <w:t>使用pending状态账户</w:t>
            </w:r>
          </w:p>
        </w:tc>
        <w:tc>
          <w:tcPr>
            <w:tcW w:type="dxa" w:w="1728"/>
          </w:tcPr>
          <w:p>
            <w:r>
              <w:t>提示"账户待审核"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TC-L04</w:t>
            </w:r>
          </w:p>
        </w:tc>
        <w:tc>
          <w:tcPr>
            <w:tcW w:type="dxa" w:w="1728"/>
          </w:tcPr>
          <w:p>
            <w:r>
              <w:t>禁用账户登录</w:t>
            </w:r>
          </w:p>
        </w:tc>
        <w:tc>
          <w:tcPr>
            <w:tcW w:type="dxa" w:w="1728"/>
          </w:tcPr>
          <w:p>
            <w:r>
              <w:t>使用disabled状态账户</w:t>
            </w:r>
          </w:p>
        </w:tc>
        <w:tc>
          <w:tcPr>
            <w:tcW w:type="dxa" w:w="1728"/>
          </w:tcPr>
          <w:p>
            <w:r>
              <w:t>提示"账户已禁用"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TC-L05</w:t>
            </w:r>
          </w:p>
        </w:tc>
        <w:tc>
          <w:tcPr>
            <w:tcW w:type="dxa" w:w="1728"/>
          </w:tcPr>
          <w:p>
            <w:r>
              <w:t>暴力破解锁定</w:t>
            </w:r>
          </w:p>
        </w:tc>
        <w:tc>
          <w:tcPr>
            <w:tcW w:type="dxa" w:w="1728"/>
          </w:tcPr>
          <w:p>
            <w:r>
              <w:t>连续5次错误密码</w:t>
            </w:r>
          </w:p>
        </w:tc>
        <w:tc>
          <w:tcPr>
            <w:tcW w:type="dxa" w:w="1728"/>
          </w:tcPr>
          <w:p>
            <w:r>
              <w:t>账户锁定15分钟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t>3.2 数据导入模块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用例编号</w:t>
            </w:r>
          </w:p>
        </w:tc>
        <w:tc>
          <w:tcPr>
            <w:tcW w:type="dxa" w:w="1728"/>
          </w:tcPr>
          <w:p>
            <w:r>
              <w:t>用例名称</w:t>
            </w:r>
          </w:p>
        </w:tc>
        <w:tc>
          <w:tcPr>
            <w:tcW w:type="dxa" w:w="1728"/>
          </w:tcPr>
          <w:p>
            <w:r>
              <w:t>操作步骤</w:t>
            </w:r>
          </w:p>
        </w:tc>
        <w:tc>
          <w:tcPr>
            <w:tcW w:type="dxa" w:w="1728"/>
          </w:tcPr>
          <w:p>
            <w:r>
              <w:t>预期结果</w:t>
            </w:r>
          </w:p>
        </w:tc>
        <w:tc>
          <w:tcPr>
            <w:tcW w:type="dxa" w:w="1728"/>
          </w:tcPr>
          <w:p>
            <w:r>
              <w:t>测试结果</w:t>
            </w:r>
          </w:p>
        </w:tc>
      </w:tr>
      <w:tr>
        <w:tc>
          <w:tcPr>
            <w:tcW w:type="dxa" w:w="1728"/>
          </w:tcPr>
          <w:p>
            <w:r>
              <w:t>TC-D01</w:t>
            </w:r>
          </w:p>
        </w:tc>
        <w:tc>
          <w:tcPr>
            <w:tcW w:type="dxa" w:w="1728"/>
          </w:tcPr>
          <w:p>
            <w:r>
              <w:t>Excel正常导入</w:t>
            </w:r>
          </w:p>
        </w:tc>
        <w:tc>
          <w:tcPr>
            <w:tcW w:type="dxa" w:w="1728"/>
          </w:tcPr>
          <w:p>
            <w:r>
              <w:t>上传格式正确的xlsx文件</w:t>
            </w:r>
          </w:p>
        </w:tc>
        <w:tc>
          <w:tcPr>
            <w:tcW w:type="dxa" w:w="1728"/>
          </w:tcPr>
          <w:p>
            <w:r>
              <w:t>数据成功导入，显示成功条数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TC-D02</w:t>
            </w:r>
          </w:p>
        </w:tc>
        <w:tc>
          <w:tcPr>
            <w:tcW w:type="dxa" w:w="1728"/>
          </w:tcPr>
          <w:p>
            <w:r>
              <w:t>CSV正常导入</w:t>
            </w:r>
          </w:p>
        </w:tc>
        <w:tc>
          <w:tcPr>
            <w:tcW w:type="dxa" w:w="1728"/>
          </w:tcPr>
          <w:p>
            <w:r>
              <w:t>上传格式正确的csv文件</w:t>
            </w:r>
          </w:p>
        </w:tc>
        <w:tc>
          <w:tcPr>
            <w:tcW w:type="dxa" w:w="1728"/>
          </w:tcPr>
          <w:p>
            <w:r>
              <w:t>数据成功导入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TC-D03</w:t>
            </w:r>
          </w:p>
        </w:tc>
        <w:tc>
          <w:tcPr>
            <w:tcW w:type="dxa" w:w="1728"/>
          </w:tcPr>
          <w:p>
            <w:r>
              <w:t>列名自动映射</w:t>
            </w:r>
          </w:p>
        </w:tc>
        <w:tc>
          <w:tcPr>
            <w:tcW w:type="dxa" w:w="1728"/>
          </w:tcPr>
          <w:p>
            <w:r>
              <w:t>上传含中文列名的文件</w:t>
            </w:r>
          </w:p>
        </w:tc>
        <w:tc>
          <w:tcPr>
            <w:tcW w:type="dxa" w:w="1728"/>
          </w:tcPr>
          <w:p>
            <w:r>
              <w:t>系统自动映射到标准字段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TC-D04</w:t>
            </w:r>
          </w:p>
        </w:tc>
        <w:tc>
          <w:tcPr>
            <w:tcW w:type="dxa" w:w="1728"/>
          </w:tcPr>
          <w:p>
            <w:r>
              <w:t>重复数据处理</w:t>
            </w:r>
          </w:p>
        </w:tc>
        <w:tc>
          <w:tcPr>
            <w:tcW w:type="dxa" w:w="1728"/>
          </w:tcPr>
          <w:p>
            <w:r>
              <w:t>上传含重复记录的文件</w:t>
            </w:r>
          </w:p>
        </w:tc>
        <w:tc>
          <w:tcPr>
            <w:tcW w:type="dxa" w:w="1728"/>
          </w:tcPr>
          <w:p>
            <w:r>
              <w:t>按所选策略处理（skip/overwrite/version）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TC-D05</w:t>
            </w:r>
          </w:p>
        </w:tc>
        <w:tc>
          <w:tcPr>
            <w:tcW w:type="dxa" w:w="1728"/>
          </w:tcPr>
          <w:p>
            <w:r>
              <w:t>非法数据格式</w:t>
            </w:r>
          </w:p>
        </w:tc>
        <w:tc>
          <w:tcPr>
            <w:tcW w:type="dxa" w:w="1728"/>
          </w:tcPr>
          <w:p>
            <w:r>
              <w:t>上传含非数值的浓度字段</w:t>
            </w:r>
          </w:p>
        </w:tc>
        <w:tc>
          <w:tcPr>
            <w:tcW w:type="dxa" w:w="1728"/>
          </w:tcPr>
          <w:p>
            <w:r>
              <w:t>错误行标记，其他正常导入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TC-D06</w:t>
            </w:r>
          </w:p>
        </w:tc>
        <w:tc>
          <w:tcPr>
            <w:tcW w:type="dxa" w:w="1728"/>
          </w:tcPr>
          <w:p>
            <w:r>
              <w:t>空文件上传</w:t>
            </w:r>
          </w:p>
        </w:tc>
        <w:tc>
          <w:tcPr>
            <w:tcW w:type="dxa" w:w="1728"/>
          </w:tcPr>
          <w:p>
            <w:r>
              <w:t>上传空文件</w:t>
            </w:r>
          </w:p>
        </w:tc>
        <w:tc>
          <w:tcPr>
            <w:tcW w:type="dxa" w:w="1728"/>
          </w:tcPr>
          <w:p>
            <w:r>
              <w:t>提示"文件为空或格式错误"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t>3.3 障碍因子诊断模块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用例编号</w:t>
            </w:r>
          </w:p>
        </w:tc>
        <w:tc>
          <w:tcPr>
            <w:tcW w:type="dxa" w:w="1728"/>
          </w:tcPr>
          <w:p>
            <w:r>
              <w:t>用例名称</w:t>
            </w:r>
          </w:p>
        </w:tc>
        <w:tc>
          <w:tcPr>
            <w:tcW w:type="dxa" w:w="1728"/>
          </w:tcPr>
          <w:p>
            <w:r>
              <w:t>操作步骤</w:t>
            </w:r>
          </w:p>
        </w:tc>
        <w:tc>
          <w:tcPr>
            <w:tcW w:type="dxa" w:w="1728"/>
          </w:tcPr>
          <w:p>
            <w:r>
              <w:t>预期结果</w:t>
            </w:r>
          </w:p>
        </w:tc>
        <w:tc>
          <w:tcPr>
            <w:tcW w:type="dxa" w:w="1728"/>
          </w:tcPr>
          <w:p>
            <w:r>
              <w:t>测试结果</w:t>
            </w:r>
          </w:p>
        </w:tc>
      </w:tr>
      <w:tr>
        <w:tc>
          <w:tcPr>
            <w:tcW w:type="dxa" w:w="1728"/>
          </w:tcPr>
          <w:p>
            <w:r>
              <w:t>TC-Diag01</w:t>
            </w:r>
          </w:p>
        </w:tc>
        <w:tc>
          <w:tcPr>
            <w:tcW w:type="dxa" w:w="1728"/>
          </w:tcPr>
          <w:p>
            <w:r>
              <w:t>生产轨诊断</w:t>
            </w:r>
          </w:p>
        </w:tc>
        <w:tc>
          <w:tcPr>
            <w:tcW w:type="dxa" w:w="1728"/>
          </w:tcPr>
          <w:p>
            <w:r>
              <w:t>选择生产轨，Top-N=10，执行诊断</w:t>
            </w:r>
          </w:p>
        </w:tc>
        <w:tc>
          <w:tcPr>
            <w:tcW w:type="dxa" w:w="1728"/>
          </w:tcPr>
          <w:p>
            <w:r>
              <w:t>输出Top-10障碍因子排名+KOS得分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TC-Diag02</w:t>
            </w:r>
          </w:p>
        </w:tc>
        <w:tc>
          <w:tcPr>
            <w:tcW w:type="dxa" w:w="1728"/>
          </w:tcPr>
          <w:p>
            <w:r>
              <w:t>生态轨诊断</w:t>
            </w:r>
          </w:p>
        </w:tc>
        <w:tc>
          <w:tcPr>
            <w:tcW w:type="dxa" w:w="1728"/>
          </w:tcPr>
          <w:p>
            <w:r>
              <w:t>选择生态轨，执行诊断</w:t>
            </w:r>
          </w:p>
        </w:tc>
        <w:tc>
          <w:tcPr>
            <w:tcW w:type="dxa" w:w="1728"/>
          </w:tcPr>
          <w:p>
            <w:r>
              <w:t>输出生态轨障碍因子排名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TC-Diag03</w:t>
            </w:r>
          </w:p>
        </w:tc>
        <w:tc>
          <w:tcPr>
            <w:tcW w:type="dxa" w:w="1728"/>
          </w:tcPr>
          <w:p>
            <w:r>
              <w:t>SHAP归因验证</w:t>
            </w:r>
          </w:p>
        </w:tc>
        <w:tc>
          <w:tcPr>
            <w:tcW w:type="dxa" w:w="1728"/>
          </w:tcPr>
          <w:p>
            <w:r>
              <w:t>查看SHAP可视化</w:t>
            </w:r>
          </w:p>
        </w:tc>
        <w:tc>
          <w:tcPr>
            <w:tcW w:type="dxa" w:w="1728"/>
          </w:tcPr>
          <w:p>
            <w:r>
              <w:t>显示条形图/力图，贡献方向正确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TC-Diag04</w:t>
            </w:r>
          </w:p>
        </w:tc>
        <w:tc>
          <w:tcPr>
            <w:tcW w:type="dxa" w:w="1728"/>
          </w:tcPr>
          <w:p>
            <w:r>
              <w:t>补测建议</w:t>
            </w:r>
          </w:p>
        </w:tc>
        <w:tc>
          <w:tcPr>
            <w:tcW w:type="dxa" w:w="1728"/>
          </w:tcPr>
          <w:p>
            <w:r>
              <w:t>数据不足时诊断</w:t>
            </w:r>
          </w:p>
        </w:tc>
        <w:tc>
          <w:tcPr>
            <w:tcW w:type="dxa" w:w="1728"/>
          </w:tcPr>
          <w:p>
            <w:r>
              <w:t>显示补测建议清单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TC-Diag05</w:t>
            </w:r>
          </w:p>
        </w:tc>
        <w:tc>
          <w:tcPr>
            <w:tcW w:type="dxa" w:w="1728"/>
          </w:tcPr>
          <w:p>
            <w:r>
              <w:t>模型完整性</w:t>
            </w:r>
          </w:p>
        </w:tc>
        <w:tc>
          <w:tcPr>
            <w:tcW w:type="dxa" w:w="1728"/>
          </w:tcPr>
          <w:p>
            <w:r>
              <w:t>删除模型文件后诊断</w:t>
            </w:r>
          </w:p>
        </w:tc>
        <w:tc>
          <w:tcPr>
            <w:tcW w:type="dxa" w:w="1728"/>
          </w:tcPr>
          <w:p>
            <w:r>
              <w:t>health接口报degraded，诊断阻断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t>3.4 全流程追溯模块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用例编号</w:t>
            </w:r>
          </w:p>
        </w:tc>
        <w:tc>
          <w:tcPr>
            <w:tcW w:type="dxa" w:w="1728"/>
          </w:tcPr>
          <w:p>
            <w:r>
              <w:t>用例名称</w:t>
            </w:r>
          </w:p>
        </w:tc>
        <w:tc>
          <w:tcPr>
            <w:tcW w:type="dxa" w:w="1728"/>
          </w:tcPr>
          <w:p>
            <w:r>
              <w:t>操作步骤</w:t>
            </w:r>
          </w:p>
        </w:tc>
        <w:tc>
          <w:tcPr>
            <w:tcW w:type="dxa" w:w="1728"/>
          </w:tcPr>
          <w:p>
            <w:r>
              <w:t>预期结果</w:t>
            </w:r>
          </w:p>
        </w:tc>
        <w:tc>
          <w:tcPr>
            <w:tcW w:type="dxa" w:w="1728"/>
          </w:tcPr>
          <w:p>
            <w:r>
              <w:t>测试结果</w:t>
            </w:r>
          </w:p>
        </w:tc>
      </w:tr>
      <w:tr>
        <w:tc>
          <w:tcPr>
            <w:tcW w:type="dxa" w:w="1728"/>
          </w:tcPr>
          <w:p>
            <w:r>
              <w:t>TC-T01</w:t>
            </w:r>
          </w:p>
        </w:tc>
        <w:tc>
          <w:tcPr>
            <w:tcW w:type="dxa" w:w="1728"/>
          </w:tcPr>
          <w:p>
            <w:r>
              <w:t>初始化追溯</w:t>
            </w:r>
          </w:p>
        </w:tc>
        <w:tc>
          <w:tcPr>
            <w:tcW w:type="dxa" w:w="1728"/>
          </w:tcPr>
          <w:p>
            <w:r>
              <w:t>点击初始化追溯流程</w:t>
            </w:r>
          </w:p>
        </w:tc>
        <w:tc>
          <w:tcPr>
            <w:tcW w:type="dxa" w:w="1728"/>
          </w:tcPr>
          <w:p>
            <w:r>
              <w:t>创建五阶段基础记录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TC-T02</w:t>
            </w:r>
          </w:p>
        </w:tc>
        <w:tc>
          <w:tcPr>
            <w:tcW w:type="dxa" w:w="1728"/>
          </w:tcPr>
          <w:p>
            <w:r>
              <w:t>阶段推进</w:t>
            </w:r>
          </w:p>
        </w:tc>
        <w:tc>
          <w:tcPr>
            <w:tcW w:type="dxa" w:w="1728"/>
          </w:tcPr>
          <w:p>
            <w:r>
              <w:t>完成当前阶段任务后推进</w:t>
            </w:r>
          </w:p>
        </w:tc>
        <w:tc>
          <w:tcPr>
            <w:tcW w:type="dxa" w:w="1728"/>
          </w:tcPr>
          <w:p>
            <w:r>
              <w:t>成功推进至下一阶段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TC-T03</w:t>
            </w:r>
          </w:p>
        </w:tc>
        <w:tc>
          <w:tcPr>
            <w:tcW w:type="dxa" w:w="1728"/>
          </w:tcPr>
          <w:p>
            <w:r>
              <w:t>依赖校验</w:t>
            </w:r>
          </w:p>
        </w:tc>
        <w:tc>
          <w:tcPr>
            <w:tcW w:type="dxa" w:w="1728"/>
          </w:tcPr>
          <w:p>
            <w:r>
              <w:t>未完成当前阶段直接推进</w:t>
            </w:r>
          </w:p>
        </w:tc>
        <w:tc>
          <w:tcPr>
            <w:tcW w:type="dxa" w:w="1728"/>
          </w:tcPr>
          <w:p>
            <w:r>
              <w:t>系统拦截，提示完成当前阶段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TC-T04</w:t>
            </w:r>
          </w:p>
        </w:tc>
        <w:tc>
          <w:tcPr>
            <w:tcW w:type="dxa" w:w="1728"/>
          </w:tcPr>
          <w:p>
            <w:r>
              <w:t>阶段回退</w:t>
            </w:r>
          </w:p>
        </w:tc>
        <w:tc>
          <w:tcPr>
            <w:tcW w:type="dxa" w:w="1728"/>
          </w:tcPr>
          <w:p>
            <w:r>
              <w:t>从已完成阶段回退</w:t>
            </w:r>
          </w:p>
        </w:tc>
        <w:tc>
          <w:tcPr>
            <w:tcW w:type="dxa" w:w="1728"/>
          </w:tcPr>
          <w:p>
            <w:r>
              <w:t>保留数据快照，成功回退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TC-T05</w:t>
            </w:r>
          </w:p>
        </w:tc>
        <w:tc>
          <w:tcPr>
            <w:tcW w:type="dxa" w:w="1728"/>
          </w:tcPr>
          <w:p>
            <w:r>
              <w:t>追溯报告</w:t>
            </w:r>
          </w:p>
        </w:tc>
        <w:tc>
          <w:tcPr>
            <w:tcW w:type="dxa" w:w="1728"/>
          </w:tcPr>
          <w:p>
            <w:r>
              <w:t>完成全部阶段后生成报告</w:t>
            </w:r>
          </w:p>
        </w:tc>
        <w:tc>
          <w:tcPr>
            <w:tcW w:type="dxa" w:w="1728"/>
          </w:tcPr>
          <w:p>
            <w:r>
              <w:t>生成PDF追溯报告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r>
        <w:br w:type="page"/>
      </w:r>
    </w:p>
    <w:p>
      <w:pPr>
        <w:pStyle w:val="Heading1"/>
      </w:pPr>
      <w:r>
        <w:t>第四章 测试结果</w:t>
      </w:r>
    </w:p>
    <w:p>
      <w:pPr>
        <w:pStyle w:val="Heading2"/>
      </w:pPr>
      <w:r>
        <w:t>4.1 自动化测试结果</w:t>
      </w:r>
    </w:p>
    <w:p>
      <w:r>
        <w:rPr>
          <w:rFonts w:ascii="宋体" w:hAnsi="宋体" w:eastAsia="宋体"/>
          <w:b w:val="0"/>
          <w:sz w:val="22"/>
        </w:rPr>
        <w:t>pytest 全量自动化测试结果：</w:t>
      </w:r>
    </w:p>
    <w:p>
      <w:r>
        <w:rPr>
          <w:rFonts w:ascii="宋体" w:hAnsi="宋体" w:eastAsia="宋体"/>
          <w:b/>
        </w:rPr>
        <w:t>● 测试用例总数：</w:t>
      </w:r>
      <w:r>
        <w:rPr>
          <w:rFonts w:ascii="宋体" w:hAnsi="宋体" w:eastAsia="宋体"/>
        </w:rPr>
        <w:t>465</w:t>
      </w:r>
    </w:p>
    <w:p>
      <w:r>
        <w:rPr>
          <w:rFonts w:ascii="宋体" w:hAnsi="宋体" w:eastAsia="宋体"/>
          <w:b/>
        </w:rPr>
        <w:t>● 通过(Passed)：</w:t>
      </w:r>
      <w:r>
        <w:rPr>
          <w:rFonts w:ascii="宋体" w:hAnsi="宋体" w:eastAsia="宋体"/>
        </w:rPr>
        <w:t>453</w:t>
      </w:r>
    </w:p>
    <w:p>
      <w:r>
        <w:rPr>
          <w:rFonts w:ascii="宋体" w:hAnsi="宋体" w:eastAsia="宋体"/>
          <w:b/>
        </w:rPr>
        <w:t>● 跳过(Skipped)：</w:t>
      </w:r>
      <w:r>
        <w:rPr>
          <w:rFonts w:ascii="宋体" w:hAnsi="宋体" w:eastAsia="宋体"/>
        </w:rPr>
        <w:t>12</w:t>
      </w:r>
    </w:p>
    <w:p>
      <w:r>
        <w:rPr>
          <w:rFonts w:ascii="宋体" w:hAnsi="宋体" w:eastAsia="宋体"/>
          <w:b/>
        </w:rPr>
        <w:t>● 失败(Failed)：</w:t>
      </w:r>
      <w:r>
        <w:rPr>
          <w:rFonts w:ascii="宋体" w:hAnsi="宋体" w:eastAsia="宋体"/>
        </w:rPr>
        <w:t>0</w:t>
      </w:r>
    </w:p>
    <w:p>
      <w:r>
        <w:rPr>
          <w:rFonts w:ascii="宋体" w:hAnsi="宋体" w:eastAsia="宋体"/>
          <w:b/>
        </w:rPr>
        <w:t>● 通过率：</w:t>
      </w:r>
      <w:r>
        <w:rPr>
          <w:rFonts w:ascii="宋体" w:hAnsi="宋体" w:eastAsia="宋体"/>
        </w:rPr>
        <w:t>97.4%（排除skip后100%）</w:t>
      </w:r>
    </w:p>
    <w:p>
      <w:r>
        <w:rPr>
          <w:rFonts w:ascii="宋体" w:hAnsi="宋体" w:eastAsia="宋体"/>
          <w:b/>
        </w:rPr>
        <w:t>● Release Gate：</w:t>
      </w:r>
      <w:r>
        <w:rPr>
          <w:rFonts w:ascii="宋体" w:hAnsi="宋体" w:eastAsia="宋体"/>
        </w:rPr>
        <w:t>10/10 全部通过</w:t>
      </w:r>
    </w:p>
    <w:p>
      <w:r>
        <w:rPr>
          <w:rFonts w:ascii="宋体" w:hAnsi="宋体" w:eastAsia="宋体"/>
          <w:b/>
        </w:rPr>
        <w:t>● GitHub Actions CI：</w:t>
      </w:r>
      <w:r>
        <w:rPr>
          <w:rFonts w:ascii="宋体" w:hAnsi="宋体" w:eastAsia="宋体"/>
        </w:rPr>
        <w:t>success</w:t>
      </w:r>
    </w:p>
    <w:p>
      <w:r>
        <w:rPr>
          <w:rFonts w:ascii="宋体" w:hAnsi="宋体" w:eastAsia="宋体"/>
          <w:b/>
        </w:rPr>
        <w:t>● 代码覆盖率：</w:t>
      </w:r>
      <w:r>
        <w:rPr>
          <w:rFonts w:ascii="宋体" w:hAnsi="宋体" w:eastAsia="宋体"/>
        </w:rPr>
        <w:t>&gt;80%</w:t>
      </w:r>
    </w:p>
    <w:p>
      <w:pPr>
        <w:pStyle w:val="Heading2"/>
      </w:pPr>
      <w:r>
        <w:t>4.2 模型性能指标</w:t>
      </w:r>
    </w:p>
    <w:p>
      <w:r>
        <w:rPr>
          <w:rFonts w:ascii="宋体" w:hAnsi="宋体" w:eastAsia="宋体"/>
          <w:b w:val="0"/>
          <w:sz w:val="22"/>
        </w:rPr>
        <w:t>机器学习模型（随机森林+SHAP）验证指标：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生态轨 Spearman 相关系数</w:t>
            </w:r>
          </w:p>
        </w:tc>
        <w:tc>
          <w:tcPr>
            <w:tcW w:type="dxa" w:w="4320"/>
          </w:tcPr>
          <w:p>
            <w:r>
              <w:t>0.965</w:t>
            </w:r>
          </w:p>
        </w:tc>
      </w:tr>
      <w:tr>
        <w:tc>
          <w:tcPr>
            <w:tcW w:type="dxa" w:w="4320"/>
          </w:tcPr>
          <w:p>
            <w:r>
              <w:t>生态轨 R²</w:t>
            </w:r>
          </w:p>
        </w:tc>
        <w:tc>
          <w:tcPr>
            <w:tcW w:type="dxa" w:w="4320"/>
          </w:tcPr>
          <w:p>
            <w:r>
              <w:t>0.778</w:t>
            </w:r>
          </w:p>
        </w:tc>
      </w:tr>
      <w:tr>
        <w:tc>
          <w:tcPr>
            <w:tcW w:type="dxa" w:w="4320"/>
          </w:tcPr>
          <w:p>
            <w:r>
              <w:t>生态轨 Top5 稳定性</w:t>
            </w:r>
          </w:p>
        </w:tc>
        <w:tc>
          <w:tcPr>
            <w:tcW w:type="dxa" w:w="4320"/>
          </w:tcPr>
          <w:p>
            <w:r>
              <w:t>0.953</w:t>
            </w:r>
          </w:p>
        </w:tc>
      </w:tr>
      <w:tr>
        <w:tc>
          <w:tcPr>
            <w:tcW w:type="dxa" w:w="4320"/>
          </w:tcPr>
          <w:p>
            <w:r>
              <w:t>生产轨 Spearman 相关系数</w:t>
            </w:r>
          </w:p>
        </w:tc>
        <w:tc>
          <w:tcPr>
            <w:tcW w:type="dxa" w:w="4320"/>
          </w:tcPr>
          <w:p>
            <w:r>
              <w:t>0.962</w:t>
            </w:r>
          </w:p>
        </w:tc>
      </w:tr>
      <w:tr>
        <w:tc>
          <w:tcPr>
            <w:tcW w:type="dxa" w:w="4320"/>
          </w:tcPr>
          <w:p>
            <w:r>
              <w:t>生产轨 R²</w:t>
            </w:r>
          </w:p>
        </w:tc>
        <w:tc>
          <w:tcPr>
            <w:tcW w:type="dxa" w:w="4320"/>
          </w:tcPr>
          <w:p>
            <w:r>
              <w:t>0.796</w:t>
            </w:r>
          </w:p>
        </w:tc>
      </w:tr>
      <w:tr>
        <w:tc>
          <w:tcPr>
            <w:tcW w:type="dxa" w:w="4320"/>
          </w:tcPr>
          <w:p>
            <w:r>
              <w:t>生产轨 Top5 稳定性</w:t>
            </w:r>
          </w:p>
        </w:tc>
        <w:tc>
          <w:tcPr>
            <w:tcW w:type="dxa" w:w="4320"/>
          </w:tcPr>
          <w:p>
            <w:r>
              <w:t>1.000</w:t>
            </w:r>
          </w:p>
        </w:tc>
      </w:tr>
    </w:tbl>
    <w:p>
      <w:pPr>
        <w:pStyle w:val="Heading2"/>
      </w:pPr>
      <w:r>
        <w:t>4.3 端到端测试结果</w:t>
      </w:r>
    </w:p>
    <w:p>
      <w:r>
        <w:rPr>
          <w:rFonts w:ascii="宋体" w:hAnsi="宋体" w:eastAsia="宋体"/>
          <w:b w:val="0"/>
          <w:sz w:val="22"/>
        </w:rPr>
        <w:t>Playwright E2E 测试覆盖以下完整业务流程：</w:t>
      </w:r>
    </w:p>
    <w:p>
      <w:r>
        <w:rPr>
          <w:rFonts w:ascii="宋体" w:hAnsi="宋体" w:eastAsia="宋体"/>
          <w:b/>
        </w:rPr>
        <w:t xml:space="preserve">● </w:t>
      </w:r>
      <w:r>
        <w:rPr>
          <w:rFonts w:ascii="宋体" w:hAnsi="宋体" w:eastAsia="宋体"/>
        </w:rPr>
        <w:t>管理员登录 -&gt; 创建企业用户 -&gt; 企业用户登录 -&gt; 导入数据 -&gt; 执行诊断 -&gt; 功能重构 -&gt; SSUI -&gt; 方案推荐 -&gt; 初始化追溯 -&gt; 生成报告</w:t>
      </w:r>
    </w:p>
    <w:p>
      <w:r>
        <w:rPr>
          <w:rFonts w:ascii="宋体" w:hAnsi="宋体" w:eastAsia="宋体"/>
          <w:b/>
        </w:rPr>
        <w:t xml:space="preserve">● </w:t>
      </w:r>
      <w:r>
        <w:rPr>
          <w:rFonts w:ascii="宋体" w:hAnsi="宋体" w:eastAsia="宋体"/>
        </w:rPr>
        <w:t>监管人员登录 -&gt; 查看数据概览 -&gt; 查看场地详情 -&gt; 审批修复方案 -&gt; 查看数字大屏</w:t>
      </w:r>
    </w:p>
    <w:p>
      <w:r>
        <w:rPr>
          <w:rFonts w:ascii="宋体" w:hAnsi="宋体" w:eastAsia="宋体"/>
          <w:b/>
        </w:rPr>
        <w:t xml:space="preserve">● </w:t>
      </w:r>
      <w:r>
        <w:rPr>
          <w:rFonts w:ascii="宋体" w:hAnsi="宋体" w:eastAsia="宋体"/>
        </w:rPr>
        <w:t>首启向导 -&gt; 初始化系统 -&gt; 创建管理员 -&gt; 配置标准阈值</w:t>
      </w:r>
    </w:p>
    <w:p>
      <w:r>
        <w:rPr>
          <w:rFonts w:ascii="宋体" w:hAnsi="宋体" w:eastAsia="宋体"/>
          <w:b w:val="0"/>
          <w:sz w:val="22"/>
        </w:rPr>
        <w:t>结果：全部E2E测试流程通过，浏览器视觉回归验证通过。</w:t>
      </w:r>
    </w:p>
    <w:p>
      <w:pPr>
        <w:pStyle w:val="Heading2"/>
      </w:pPr>
      <w:r>
        <w:t>4.4 性能测试结果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测试项</w:t>
            </w:r>
          </w:p>
        </w:tc>
        <w:tc>
          <w:tcPr>
            <w:tcW w:type="dxa" w:w="2160"/>
          </w:tcPr>
          <w:p>
            <w:r>
              <w:t>实测值</w:t>
            </w:r>
          </w:p>
        </w:tc>
        <w:tc>
          <w:tcPr>
            <w:tcW w:type="dxa" w:w="2160"/>
          </w:tcPr>
          <w:p>
            <w:r>
              <w:t>目标值</w:t>
            </w:r>
          </w:p>
        </w:tc>
        <w:tc>
          <w:tcPr>
            <w:tcW w:type="dxa" w:w="2160"/>
          </w:tcPr>
          <w:p>
            <w:r>
              <w:t>结论</w:t>
            </w:r>
          </w:p>
        </w:tc>
      </w:tr>
      <w:tr>
        <w:tc>
          <w:tcPr>
            <w:tcW w:type="dxa" w:w="2160"/>
          </w:tcPr>
          <w:p>
            <w:r>
              <w:t>单用户页面加载时间</w:t>
            </w:r>
          </w:p>
        </w:tc>
        <w:tc>
          <w:tcPr>
            <w:tcW w:type="dxa" w:w="2160"/>
          </w:tcPr>
          <w:p>
            <w:r>
              <w:t>&lt; 2秒</w:t>
            </w:r>
          </w:p>
        </w:tc>
        <w:tc>
          <w:tcPr>
            <w:tcW w:type="dxa" w:w="2160"/>
          </w:tcPr>
          <w:p>
            <w:r>
              <w:t>目标 &lt; 3秒</w:t>
            </w:r>
          </w:p>
        </w:tc>
        <w:tc>
          <w:tcPr>
            <w:tcW w:type="dxa" w:w="2160"/>
          </w:tcPr>
          <w:p>
            <w:r>
              <w:t>达标</w:t>
            </w:r>
          </w:p>
        </w:tc>
      </w:tr>
      <w:tr>
        <w:tc>
          <w:tcPr>
            <w:tcW w:type="dxa" w:w="2160"/>
          </w:tcPr>
          <w:p>
            <w:r>
              <w:t>数据导入（1000行）</w:t>
            </w:r>
          </w:p>
        </w:tc>
        <w:tc>
          <w:tcPr>
            <w:tcW w:type="dxa" w:w="2160"/>
          </w:tcPr>
          <w:p>
            <w:r>
              <w:t>&lt; 5秒</w:t>
            </w:r>
          </w:p>
        </w:tc>
        <w:tc>
          <w:tcPr>
            <w:tcW w:type="dxa" w:w="2160"/>
          </w:tcPr>
          <w:p>
            <w:r>
              <w:t>目标 &lt; 10秒</w:t>
            </w:r>
          </w:p>
        </w:tc>
        <w:tc>
          <w:tcPr>
            <w:tcW w:type="dxa" w:w="2160"/>
          </w:tcPr>
          <w:p>
            <w:r>
              <w:t>达标</w:t>
            </w:r>
          </w:p>
        </w:tc>
      </w:tr>
      <w:tr>
        <w:tc>
          <w:tcPr>
            <w:tcW w:type="dxa" w:w="2160"/>
          </w:tcPr>
          <w:p>
            <w:r>
              <w:t>障碍因子诊断（标准场地）</w:t>
            </w:r>
          </w:p>
        </w:tc>
        <w:tc>
          <w:tcPr>
            <w:tcW w:type="dxa" w:w="2160"/>
          </w:tcPr>
          <w:p>
            <w:r>
              <w:t>&lt; 8秒</w:t>
            </w:r>
          </w:p>
        </w:tc>
        <w:tc>
          <w:tcPr>
            <w:tcW w:type="dxa" w:w="2160"/>
          </w:tcPr>
          <w:p>
            <w:r>
              <w:t>目标 &lt; 15秒</w:t>
            </w:r>
          </w:p>
        </w:tc>
        <w:tc>
          <w:tcPr>
            <w:tcW w:type="dxa" w:w="2160"/>
          </w:tcPr>
          <w:p>
            <w:r>
              <w:t>达标</w:t>
            </w:r>
          </w:p>
        </w:tc>
      </w:tr>
      <w:tr>
        <w:tc>
          <w:tcPr>
            <w:tcW w:type="dxa" w:w="2160"/>
          </w:tcPr>
          <w:p>
            <w:r>
              <w:t>SSUI评价</w:t>
            </w:r>
          </w:p>
        </w:tc>
        <w:tc>
          <w:tcPr>
            <w:tcW w:type="dxa" w:w="2160"/>
          </w:tcPr>
          <w:p>
            <w:r>
              <w:t>&lt; 3秒</w:t>
            </w:r>
          </w:p>
        </w:tc>
        <w:tc>
          <w:tcPr>
            <w:tcW w:type="dxa" w:w="2160"/>
          </w:tcPr>
          <w:p>
            <w:r>
              <w:t>目标 &lt; 5秒</w:t>
            </w:r>
          </w:p>
        </w:tc>
        <w:tc>
          <w:tcPr>
            <w:tcW w:type="dxa" w:w="2160"/>
          </w:tcPr>
          <w:p>
            <w:r>
              <w:t>达标</w:t>
            </w:r>
          </w:p>
        </w:tc>
      </w:tr>
      <w:tr>
        <w:tc>
          <w:tcPr>
            <w:tcW w:type="dxa" w:w="2160"/>
          </w:tcPr>
          <w:p>
            <w:r>
              <w:t>报告生成（PDF）</w:t>
            </w:r>
          </w:p>
        </w:tc>
        <w:tc>
          <w:tcPr>
            <w:tcW w:type="dxa" w:w="2160"/>
          </w:tcPr>
          <w:p>
            <w:r>
              <w:t>&lt; 10秒</w:t>
            </w:r>
          </w:p>
        </w:tc>
        <w:tc>
          <w:tcPr>
            <w:tcW w:type="dxa" w:w="2160"/>
          </w:tcPr>
          <w:p>
            <w:r>
              <w:t>目标 &lt; 30秒</w:t>
            </w:r>
          </w:p>
        </w:tc>
        <w:tc>
          <w:tcPr>
            <w:tcW w:type="dxa" w:w="2160"/>
          </w:tcPr>
          <w:p>
            <w:r>
              <w:t>达标</w:t>
            </w:r>
          </w:p>
        </w:tc>
      </w:tr>
      <w:tr>
        <w:tc>
          <w:tcPr>
            <w:tcW w:type="dxa" w:w="2160"/>
          </w:tcPr>
          <w:p>
            <w:r>
              <w:t>并发10用户</w:t>
            </w:r>
          </w:p>
        </w:tc>
        <w:tc>
          <w:tcPr>
            <w:tcW w:type="dxa" w:w="2160"/>
          </w:tcPr>
          <w:p>
            <w:r>
              <w:t>响应时间增长 &lt; 50%</w:t>
            </w:r>
          </w:p>
        </w:tc>
        <w:tc>
          <w:tcPr>
            <w:tcW w:type="dxa" w:w="2160"/>
          </w:tcPr>
          <w:p>
            <w:r>
              <w:t>目标 &lt; 100%</w:t>
            </w:r>
          </w:p>
        </w:tc>
        <w:tc>
          <w:tcPr>
            <w:tcW w:type="dxa" w:w="2160"/>
          </w:tcPr>
          <w:p>
            <w:r>
              <w:t>达标</w:t>
            </w:r>
          </w:p>
        </w:tc>
      </w:tr>
    </w:tbl>
    <w:p>
      <w:r>
        <w:br w:type="page"/>
      </w:r>
    </w:p>
    <w:p>
      <w:pPr>
        <w:pStyle w:val="Heading1"/>
      </w:pPr>
      <w:r>
        <w:t>第五章 测试结论</w:t>
      </w:r>
    </w:p>
    <w:p>
      <w:pPr>
        <w:pStyle w:val="Heading2"/>
      </w:pPr>
      <w:r>
        <w:t>5.1 功能符合性</w:t>
      </w:r>
    </w:p>
    <w:p>
      <w:r>
        <w:rPr>
          <w:rFonts w:ascii="宋体" w:hAnsi="宋体" w:eastAsia="宋体"/>
          <w:b w:val="0"/>
          <w:sz w:val="22"/>
        </w:rPr>
        <w:t>系统85个功能点全部实现并通过测试。功能实现与需求规格说明书（SRS）定义一致，未发现功能缺失或实现偏差。</w:t>
      </w:r>
    </w:p>
    <w:p>
      <w:pPr>
        <w:pStyle w:val="Heading2"/>
      </w:pPr>
      <w:r>
        <w:t>5.2 质量评价</w:t>
      </w:r>
    </w:p>
    <w:p>
      <w:r>
        <w:rPr>
          <w:rFonts w:ascii="宋体" w:hAnsi="宋体" w:eastAsia="宋体"/>
          <w:b/>
        </w:rPr>
        <w:t>功能完整性</w:t>
      </w:r>
      <w:r>
        <w:rPr>
          <w:rFonts w:ascii="宋体" w:hAnsi="宋体" w:eastAsia="宋体"/>
        </w:rPr>
        <w:t>：85/85 功能点全部实现</w:t>
      </w:r>
    </w:p>
    <w:p>
      <w:r>
        <w:rPr>
          <w:rFonts w:ascii="宋体" w:hAnsi="宋体" w:eastAsia="宋体"/>
          <w:b/>
        </w:rPr>
        <w:t>测试通过率</w:t>
      </w:r>
      <w:r>
        <w:rPr>
          <w:rFonts w:ascii="宋体" w:hAnsi="宋体" w:eastAsia="宋体"/>
        </w:rPr>
        <w:t>：453/465 通过（97.4%），12项skip为环境限制</w:t>
      </w:r>
    </w:p>
    <w:p>
      <w:r>
        <w:rPr>
          <w:rFonts w:ascii="宋体" w:hAnsi="宋体" w:eastAsia="宋体"/>
          <w:b/>
        </w:rPr>
        <w:t>模型性能</w:t>
      </w:r>
      <w:r>
        <w:rPr>
          <w:rFonts w:ascii="宋体" w:hAnsi="宋体" w:eastAsia="宋体"/>
        </w:rPr>
        <w:t>：Spearman &gt; 0.96，Top5稳定性 &gt; 0.95，性能优异</w:t>
      </w:r>
    </w:p>
    <w:p>
      <w:r>
        <w:rPr>
          <w:rFonts w:ascii="宋体" w:hAnsi="宋体" w:eastAsia="宋体"/>
          <w:b/>
        </w:rPr>
        <w:t>响应性能</w:t>
      </w:r>
      <w:r>
        <w:rPr>
          <w:rFonts w:ascii="宋体" w:hAnsi="宋体" w:eastAsia="宋体"/>
        </w:rPr>
        <w:t>：全部性能指标达标，满足用户使用需求</w:t>
      </w:r>
    </w:p>
    <w:p>
      <w:r>
        <w:rPr>
          <w:rFonts w:ascii="宋体" w:hAnsi="宋体" w:eastAsia="宋体"/>
          <w:b/>
        </w:rPr>
        <w:t>安全机制</w:t>
      </w:r>
      <w:r>
        <w:rPr>
          <w:rFonts w:ascii="宋体" w:hAnsi="宋体" w:eastAsia="宋体"/>
        </w:rPr>
        <w:t>：认证、授权、加密、审计等安全机制全部通过验证</w:t>
      </w:r>
    </w:p>
    <w:p>
      <w:pPr>
        <w:pStyle w:val="Heading2"/>
      </w:pPr>
      <w:r>
        <w:t>5.3 遗留问题</w:t>
      </w:r>
    </w:p>
    <w:p>
      <w:r>
        <w:rPr>
          <w:rFonts w:ascii="宋体" w:hAnsi="宋体" w:eastAsia="宋体"/>
          <w:b w:val="0"/>
          <w:sz w:val="22"/>
        </w:rPr>
        <w:t>当前版本存在以下已知非关键问题（不影响核心功能）：</w:t>
      </w:r>
    </w:p>
    <w:p>
      <w:r>
        <w:rPr>
          <w:rFonts w:ascii="宋体" w:hAnsi="宋体" w:eastAsia="宋体"/>
          <w:b w:val="0"/>
          <w:sz w:val="22"/>
        </w:rPr>
        <w:t xml:space="preserve">  - 部分前端组件在低分辨率（1366x768）下布局略有压缩，不影响功能使用。</w:t>
      </w:r>
    </w:p>
    <w:p>
      <w:r>
        <w:rPr>
          <w:rFonts w:ascii="宋体" w:hAnsi="宋体" w:eastAsia="宋体"/>
          <w:b w:val="0"/>
          <w:sz w:val="22"/>
        </w:rPr>
        <w:t xml:space="preserve">  - 在线卫星影像加载受网络环境影响，弱网环境下可能延迟。系统已提供离线矢量底图作为备选。</w:t>
      </w:r>
    </w:p>
    <w:p>
      <w:r>
        <w:rPr>
          <w:rFonts w:ascii="宋体" w:hAnsi="宋体" w:eastAsia="宋体"/>
          <w:b w:val="0"/>
          <w:sz w:val="22"/>
        </w:rPr>
        <w:t xml:space="preserve">  - 大文件上传（&gt;50MB）在低配置服务器上可能较慢，建议分段上传或提高服务器配置。</w:t>
      </w:r>
    </w:p>
    <w:p>
      <w:pPr>
        <w:pStyle w:val="Heading2"/>
      </w:pPr>
      <w:r>
        <w:t>5.4 测试结论</w:t>
      </w:r>
    </w:p>
    <w:p>
      <w:r>
        <w:rPr>
          <w:rFonts w:ascii="宋体" w:hAnsi="宋体" w:eastAsia="宋体"/>
          <w:b w:val="0"/>
          <w:sz w:val="22"/>
        </w:rPr>
        <w:t>综上所述，污染场地土壤生态-生产功能重构监管系统 V1.0 已完成全部功能开发和测试验证。测试结果表明系统功能完整、性能达标、安全可靠，满足合同约定的交付要求，建议进入交付验收阶段。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3F7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3F7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3F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