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 w:eastAsia="黑体"/>
          <w:b/>
          <w:sz w:val="44"/>
        </w:rPr>
        <w:t>污染场地土壤生态-生产功能重构监管系统</w:t>
      </w:r>
    </w:p>
    <w:p>
      <w:pPr>
        <w:jc w:val="center"/>
      </w:pPr>
      <w:r>
        <w:rPr>
          <w:rFonts w:ascii="Arial" w:hAnsi="Arial" w:eastAsia="黑体"/>
          <w:b/>
          <w:sz w:val="40"/>
        </w:rPr>
        <w:t>管理员手册</w:t>
      </w:r>
    </w:p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版本 V1.0.1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2026年7月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生态环境部土壤与农业农村生态环境监管技术中心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sz w:val="36"/>
        </w:rPr>
        <w:t>第一章 系统管理概述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本手册面向系统管理员角色，详细说明用户管理、权限配置、系统配置、数据备份恢复及日志审计等管理功能的操作方法。系统管理员拥有全部 14 项权限，是系统最高权限角色。</w:t>
      </w:r>
    </w:p>
    <w:p>
      <w:pPr>
        <w:pStyle w:val="Heading1"/>
      </w:pPr>
      <w:r>
        <w:rPr>
          <w:rFonts w:ascii="Arial" w:hAnsi="Arial" w:eastAsia="黑体"/>
          <w:b/>
          <w:sz w:val="36"/>
        </w:rPr>
        <w:t>第二章 用户与账户管理</w:t>
      </w:r>
    </w:p>
    <w:p>
      <w:pPr>
        <w:pStyle w:val="Heading2"/>
      </w:pPr>
      <w:r>
        <w:rPr>
          <w:rFonts w:ascii="Arial" w:hAnsi="Arial" w:eastAsia="黑体"/>
          <w:b/>
          <w:sz w:val="32"/>
        </w:rPr>
        <w:t>2.1 用户注册审核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新用户通过注册页面提交注册申请后，账户状态为 pending（待审核）。系统管理员需在「系统管理 &gt; 用户管理」页面审核新注册账户。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• 批准注册：将账户状态从 pending 改为 active，用户即可登录系统。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• 拒绝注册：将账户状态改为 disabled，附拒绝理由。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• 批量审核：支持批量勾选多个账户统一批准或拒绝。</w:t>
      </w:r>
    </w:p>
    <w:p>
      <w:pPr>
        <w:pStyle w:val="Heading2"/>
      </w:pPr>
      <w:r>
        <w:rPr>
          <w:rFonts w:ascii="Arial" w:hAnsi="Arial" w:eastAsia="黑体"/>
          <w:b/>
          <w:sz w:val="32"/>
        </w:rPr>
        <w:t>2.2 用户信息管理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管理员可查看全部用户列表，支持按角色、组织、状态筛选。可编辑用户基本信息、重置密码（生成临时密码）、禁用/启用账户。</w:t>
      </w:r>
    </w:p>
    <w:p>
      <w:pPr>
        <w:pStyle w:val="Heading1"/>
      </w:pPr>
      <w:r>
        <w:rPr>
          <w:rFonts w:ascii="Arial" w:hAnsi="Arial" w:eastAsia="黑体"/>
          <w:b/>
          <w:sz w:val="36"/>
        </w:rPr>
        <w:t>第三章 角色与权限配置</w:t>
      </w:r>
    </w:p>
    <w:p>
      <w:pPr>
        <w:pStyle w:val="Heading2"/>
      </w:pPr>
      <w:r>
        <w:rPr>
          <w:rFonts w:ascii="Arial" w:hAnsi="Arial" w:eastAsia="黑体"/>
          <w:b/>
          <w:sz w:val="32"/>
        </w:rPr>
        <w:t>3.1 四类角色定义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角色</w:t>
            </w:r>
          </w:p>
        </w:tc>
        <w:tc>
          <w:tcPr>
            <w:tcW w:type="dxa" w:w="2767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权限数</w:t>
            </w:r>
          </w:p>
        </w:tc>
        <w:tc>
          <w:tcPr>
            <w:tcW w:type="dxa" w:w="2767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核心权限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系统管理员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14（全部）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全部模块的全部权限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企业用户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数据录入/查询/导出、场地管理、诊断分析、方案查看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第三方机构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数据上传、文件管理、审批参与、结果查看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监管人员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全局查看、审批操作、追溯查询、报告导出</w:t>
            </w:r>
          </w:p>
        </w:tc>
      </w:tr>
    </w:tbl>
    <w:p/>
    <w:p>
      <w:pPr>
        <w:pStyle w:val="Heading2"/>
      </w:pPr>
      <w:r>
        <w:rPr>
          <w:rFonts w:ascii="Arial" w:hAnsi="Arial" w:eastAsia="黑体"/>
          <w:b/>
          <w:sz w:val="32"/>
        </w:rPr>
        <w:t>3.2 权限矩阵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系统基于 RBAC 模型实现 14 项细粒度权限管控。管理员可在「系统管理 &gt; 角色权限」页面查看与修改各角色的权限集。权限变更即时生效。</w:t>
      </w:r>
    </w:p>
    <w:p>
      <w:pPr>
        <w:pStyle w:val="Heading1"/>
      </w:pPr>
      <w:r>
        <w:rPr>
          <w:rFonts w:ascii="Arial" w:hAnsi="Arial" w:eastAsia="黑体"/>
          <w:b/>
          <w:sz w:val="36"/>
        </w:rPr>
        <w:t>第四章 系统配置</w:t>
      </w:r>
    </w:p>
    <w:p>
      <w:pPr>
        <w:pStyle w:val="Heading2"/>
      </w:pPr>
      <w:r>
        <w:rPr>
          <w:rFonts w:ascii="Arial" w:hAnsi="Arial" w:eastAsia="黑体"/>
          <w:b/>
          <w:sz w:val="32"/>
        </w:rPr>
        <w:t>4.1 全局参数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配置项</w:t>
            </w:r>
          </w:p>
        </w:tc>
        <w:tc>
          <w:tcPr>
            <w:tcW w:type="dxa" w:w="2767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默认值</w:t>
            </w:r>
          </w:p>
        </w:tc>
        <w:tc>
          <w:tcPr>
            <w:tcW w:type="dxa" w:w="2767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会话超时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 小时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JWT 令牌有效期，过期后需重新登录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密码最小长度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 位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用户密码强度要求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文件上传限制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50 MB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单文件上传大小限制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地图默认中心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中国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GIS 地图初始中心点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备份时间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02:00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每日自动备份执行时间</w:t>
            </w:r>
          </w:p>
        </w:tc>
      </w:tr>
    </w:tbl>
    <w:p/>
    <w:p>
      <w:pPr>
        <w:pStyle w:val="Heading2"/>
      </w:pPr>
      <w:r>
        <w:rPr>
          <w:rFonts w:ascii="Arial" w:hAnsi="Arial" w:eastAsia="黑体"/>
          <w:b/>
          <w:sz w:val="32"/>
        </w:rPr>
        <w:t>4.2 阈值与知识库管理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管理员可维护标准阈值库（GB 15618 / GB 36600）和障碍因子知识库。阈值变更需记录变更原因与生效日期。</w:t>
      </w:r>
    </w:p>
    <w:p>
      <w:pPr>
        <w:pStyle w:val="Heading1"/>
      </w:pPr>
      <w:r>
        <w:rPr>
          <w:rFonts w:ascii="Arial" w:hAnsi="Arial" w:eastAsia="黑体"/>
          <w:b/>
          <w:sz w:val="36"/>
        </w:rPr>
        <w:t>第五章 数据备份与恢复</w:t>
      </w:r>
    </w:p>
    <w:p>
      <w:pPr>
        <w:pStyle w:val="Heading2"/>
      </w:pPr>
      <w:r>
        <w:rPr>
          <w:rFonts w:ascii="Arial" w:hAnsi="Arial" w:eastAsia="黑体"/>
          <w:b/>
          <w:sz w:val="32"/>
        </w:rPr>
        <w:t>5.1 自动备份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系统每日凌晨 2:00 自动执行数据库完整备份（pg_dump），备份文件采用 AES-256 加密存储于对象存储。</w:t>
      </w:r>
    </w:p>
    <w:p>
      <w:pPr>
        <w:pStyle w:val="Heading2"/>
      </w:pPr>
      <w:r>
        <w:rPr>
          <w:rFonts w:ascii="Arial" w:hAnsi="Arial" w:eastAsia="黑体"/>
          <w:b/>
          <w:sz w:val="32"/>
        </w:rPr>
        <w:t>5.2 手动备份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管理员可在「系统管理 &gt; 数据备份」页面手动触发即时备份。支持查看历史备份版本列表与一键恢复操作。恢复前自动创建当前状态快照。</w:t>
      </w:r>
    </w:p>
    <w:p>
      <w:pPr>
        <w:pStyle w:val="Heading1"/>
      </w:pPr>
      <w:r>
        <w:rPr>
          <w:rFonts w:ascii="Arial" w:hAnsi="Arial" w:eastAsia="黑体"/>
          <w:b/>
          <w:sz w:val="36"/>
        </w:rPr>
        <w:t>第六章 操作日志与审计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系统对所有写操作（登录、注册、数据导入、诊断、评价、方案、阶段更新、用户管理）自动记录审计日志。每条日志含操作人 ID、毫秒级时间戳、操作类型、变更前后数据快照、请求 IP。日志保留 3 年。管理员可按操作人、时间范围、操作类型多条件检索。</w:t>
      </w:r>
    </w:p>
    <w:p>
      <w:pPr>
        <w:pStyle w:val="Heading1"/>
      </w:pPr>
      <w:r>
        <w:rPr>
          <w:rFonts w:ascii="Arial" w:hAnsi="Arial" w:eastAsia="黑体"/>
          <w:b/>
          <w:sz w:val="36"/>
        </w:rPr>
        <w:t>第七章 安全管理</w:t>
      </w:r>
    </w:p>
    <w:p>
      <w:pPr>
        <w:pStyle w:val="Heading2"/>
      </w:pPr>
      <w:r>
        <w:rPr>
          <w:rFonts w:ascii="Arial" w:hAnsi="Arial" w:eastAsia="黑体"/>
          <w:b/>
          <w:sz w:val="32"/>
        </w:rPr>
        <w:t>7.1 安全机制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• 身份认证：JWT 无状态方案 + bcrypt 密码哈希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• 传输加密：全程 TLS 1.3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• 存储加密：敏感字段 AES-256 加密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• 权限管控：RBAC + PostgreSQL 行级安全策略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• 强制下线：Redis 黑名单机制</w:t>
      </w:r>
    </w:p>
    <w:p>
      <w:pPr>
        <w:pStyle w:val="Heading2"/>
      </w:pPr>
      <w:r>
        <w:rPr>
          <w:rFonts w:ascii="Arial" w:hAnsi="Arial" w:eastAsia="黑体"/>
          <w:b/>
          <w:sz w:val="32"/>
        </w:rPr>
        <w:t>7.2 安全巡检建议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• 定期检查审计日志中的异常登录（非工作时间、异地 IP）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• 定期检查用户权限是否与职责匹配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• 定期验证备份文件可恢复性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• 关注系统安全公告，及时更新依赖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