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污染场地障碍因子诊断报告</w:t>
        <w:br/>
        <w:t>(乡村建设用地复合污染场地 · 生产用途(复合))</w:t>
      </w:r>
    </w:p>
    <w:p>
      <w:pPr>
        <w:jc w:val="center"/>
      </w:pPr>
      <w:r>
        <w:rPr>
          <w:color w:val="666666"/>
          <w:sz w:val="18"/>
        </w:rPr>
        <w:t>生成时间: 2026-07-03 09:46  |  数据版本: Gold Dataset v0.8  |  模型: all_prod_Full_RandomForest</w:t>
      </w:r>
    </w:p>
    <w:p/>
    <w:p>
      <w:pPr>
        <w:pStyle w:val="Heading1"/>
      </w:pPr>
      <w:r>
        <w:t>一、场地基本信息</w:t>
      </w:r>
    </w:p>
    <w:p>
      <w:r>
        <w:t>场地名称: 乡村建设用地复合污染场地</w:t>
      </w:r>
    </w:p>
    <w:p>
      <w:r>
        <w:t>诊断轨道: 生产用途(复合)</w:t>
      </w:r>
    </w:p>
    <w:p>
      <w:r>
        <w:t>模型状态: approved_alpha</w:t>
      </w:r>
    </w:p>
    <w:p>
      <w:r>
        <w:t>阈值版本: GB15618(生产) / GB36600(生态) 简化版</w:t>
      </w:r>
    </w:p>
    <w:p>
      <w:pPr>
        <w:pStyle w:val="Heading1"/>
      </w:pPr>
      <w:r>
        <w:t>二、明确障碍因子(规则判定超标)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严重度R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8.53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</w:tbl>
    <w:p>
      <w:pPr>
        <w:pStyle w:val="Heading1"/>
      </w:pPr>
      <w:r>
        <w:t>三、关键障碍因子 Top-N(KOS 综合评分排序)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KOS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Cd_mgkg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0.4632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</w:tbl>
    <w:p>
      <w:r>
        <w:rPr>
          <w:sz w:val="18"/>
        </w:rPr>
        <w:t>KOS = B × (0.30×R严重度 + 0.25×W用途权重 + 0.15×M模型贡献度 + 0.20×S稳定性 + 0.10×E证据等级)。</w:t>
      </w:r>
    </w:p>
    <w:p>
      <w:pPr>
        <w:pStyle w:val="Heading1"/>
      </w:pPr>
      <w:r>
        <w:t>四、模型关注因子(需专家复核)</w:t>
      </w:r>
    </w:p>
    <w:p>
      <w:r>
        <w:t>无模型关注因子。</w:t>
      </w:r>
    </w:p>
    <w:p>
      <w:pPr>
        <w:pStyle w:val="Heading1"/>
      </w:pPr>
      <w:r>
        <w:t>五、族群预警与未知物提示</w:t>
      </w:r>
    </w:p>
    <w:p>
      <w:r>
        <w:t>无族群预警或未知物。</w:t>
      </w:r>
    </w:p>
    <w:p>
      <w:pPr>
        <w:pStyle w:val="Heading1"/>
      </w:pPr>
      <w:r>
        <w:t>六、建议补测因子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Hg_mgkg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SumHCHs_ngg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SumDDTs_ngg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BaP_ngg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</w:tbl>
    <w:p>
      <w:pPr>
        <w:pStyle w:val="Heading1"/>
      </w:pPr>
      <w:r>
        <w:t>七、模型贡献度(因子对障碍指数的解释贡献)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贡献份额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0.3149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0.1354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0.1113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OC_pct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0.0731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Hg_mgkg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0.0327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</w:tbl>
    <w:p>
      <w:r>
        <w:rPr>
          <w:sz w:val="18"/>
        </w:rPr>
        <w:t>注:模型贡献度表示该因子对障碍指数的模型解释贡献,非因果,非障碍高度。</w:t>
      </w:r>
    </w:p>
    <w:p>
      <w:pPr>
        <w:pStyle w:val="Heading1"/>
      </w:pPr>
      <w:r>
        <w:t>八、数据质量与复核提示</w:t>
      </w:r>
    </w:p>
    <w:p>
      <w:pPr>
        <w:pStyle w:val="ListBullet"/>
      </w:pPr>
      <w:r>
        <w:t>⚠ 检测到 1 个族群未收录物质,11 个完全未知物质</w:t>
      </w:r>
    </w:p>
    <w:p>
      <w:r>
        <w:t>需人工复核: 是</w:t>
      </w:r>
    </w:p>
    <w:p>
      <w:r>
        <w:t>局限性: source-level 验证(非 site-level);SHAP 含缺失指示器需经 KOS 清洗;Spearman 含地理混淆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