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exact"/>
      </w:pPr>
      <w:r>
        <w:rPr>
          <w:rFonts w:ascii="Times New Roman" w:hAnsi="Times New Roman" w:cs="Times New Roman"/>
          <w:rFonts w:ascii="Times New Roman" w:hAnsi="Times New Roman"/>
          <w:b/>
          <w:i w:val="0"/>
          <w:sz w:val="28"/>
        </w:rPr>
        <w:t>4  Methodisches Vorgehen</w:t>
      </w:r>
    </w:p>
    <w:p>
      <w:pPr>
        <w:spacing w:before="0" w:after="120" w:line="360" w:lineRule="exact"/>
        <w:jc w:val="both"/>
      </w:pPr>
      <w:r>
        <w:rPr>
          <w:rFonts w:ascii="Times New Roman" w:hAnsi="Times New Roman" w:cs="Times New Roman"/>
          <w:rFonts w:ascii="Times New Roman" w:hAnsi="Times New Roman"/>
          <w:b w:val="0"/>
          <w:i w:val="0"/>
          <w:sz w:val="24"/>
        </w:rPr>
        <w:t>Das vorliegende Kapitel beschreibt das methodische Vorgehen der Untersuchung. Es umfasst die Begründung des Forschungsdesigns, die Auswahl des zugrunde liegenden Benchmarking-Modells, die Kriterien zur Auswahl der Vergleichsunternehmen, die eingesetzten Methoden der Datenerhebung und -auswertung sowie eine kritische Reflexion der Grenzen der Untersuchung.</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4.1  Forschungsdesign</w:t>
      </w:r>
    </w:p>
    <w:p>
      <w:pPr>
        <w:spacing w:before="0" w:after="120" w:line="360" w:lineRule="exact"/>
        <w:jc w:val="both"/>
      </w:pPr>
      <w:r>
        <w:rPr>
          <w:rFonts w:ascii="Times New Roman" w:hAnsi="Times New Roman" w:cs="Times New Roman"/>
          <w:rFonts w:ascii="Times New Roman" w:hAnsi="Times New Roman"/>
          <w:b w:val="0"/>
          <w:i w:val="0"/>
          <w:sz w:val="24"/>
        </w:rPr>
        <w:t>Die Arbeit folgt einem angewandten, deskriptiv-analytischen Forschungsdesign. Ziel ist nicht die Generierung neuer Theorie, sondern die strukturierte Beschreibung und Bewertung eines Ist-Zustands sowie die Ableitung konkreter Handlungsempfehlungen für ein Unternehmen der Praxis (Schaeffler Special Machinery). Damit ordnet sich die Untersuchung in den Bereich der angewandten Wirtschaftsforschung ein (Bortz &amp; Döring, 2016, S. 48).</w:t>
      </w:r>
    </w:p>
    <w:p>
      <w:pPr>
        <w:spacing w:before="0" w:after="120" w:line="360" w:lineRule="exact"/>
        <w:jc w:val="both"/>
      </w:pPr>
      <w:r>
        <w:rPr>
          <w:rFonts w:ascii="Times New Roman" w:hAnsi="Times New Roman" w:cs="Times New Roman"/>
          <w:rFonts w:ascii="Times New Roman" w:hAnsi="Times New Roman"/>
          <w:b w:val="0"/>
          <w:i w:val="0"/>
          <w:sz w:val="24"/>
        </w:rPr>
        <w:t>Als Forschungsstrategie wird das Einzelfallstudiendesign (Single Case Study) nach Yin (2018) gewählt. Dieses eignet sich dann, wenn ein spezifisches Phänomen in seinem realen Unternehmenskontext untersucht wird und eine Generalisierbarkeit der Ergebnisse nicht primäres Ziel ist (Yin, 2018, S. 29). Schaeffler SMB stellt hier den fokalen Fall dar; die Wettbewerber dienen als Vergleichseinheiten im Rahmen des externen Benchmarks.</w:t>
      </w:r>
    </w:p>
    <w:p>
      <w:pPr>
        <w:spacing w:before="0" w:after="120" w:line="360" w:lineRule="exact"/>
        <w:jc w:val="both"/>
      </w:pPr>
      <w:r>
        <w:rPr>
          <w:rFonts w:ascii="Times New Roman" w:hAnsi="Times New Roman" w:cs="Times New Roman"/>
          <w:rFonts w:ascii="Times New Roman" w:hAnsi="Times New Roman"/>
          <w:b w:val="0"/>
          <w:i w:val="0"/>
          <w:sz w:val="24"/>
        </w:rPr>
        <w:t>Das Vorgehen ist primär deduktiv: Die in Kapitel 2 und 3 erarbeiteten theoretischen Grundlagen – insbesondere das Fraunhofer-IZB-Fünf-Phasen-Modell sowie die strategischen Analyseinstrumente – bilden den konzeptionellen Rahmen, in den die erhobenen empirischen Daten eingeordnet werden.</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4.2  Auswahl des Benchmarking-Modells</w:t>
      </w:r>
    </w:p>
    <w:p>
      <w:pPr>
        <w:spacing w:before="0" w:after="120" w:line="360" w:lineRule="exact"/>
        <w:jc w:val="both"/>
      </w:pPr>
      <w:r>
        <w:rPr>
          <w:rFonts w:ascii="Times New Roman" w:hAnsi="Times New Roman" w:cs="Times New Roman"/>
          <w:rFonts w:ascii="Times New Roman" w:hAnsi="Times New Roman"/>
          <w:b w:val="0"/>
          <w:i w:val="0"/>
          <w:sz w:val="24"/>
        </w:rPr>
        <w:t>Für die strukturierte Durchführung des Benchmarks wird das Fünf-Phasen-Modell des Fraunhofer-Instituts für Zuverlässigkeit und Mikrointegration (IZB) als Leitrahmen verwendet. Dieses Modell hat sich im deutschsprachigen Industrieumfeld als Standard etabliert und ist speziell auf produzierende Unternehmen ausgelegt (Fraunhofer IZB, 2023). Es ist strukturell mit dem Zehn-Schritte-Modell von Camp (1994) kompatibel, dem Ursprungsmodell des modernen Benchmarkings aus dem Xerox-Kontext.</w:t>
      </w:r>
    </w:p>
    <w:p>
      <w:pPr>
        <w:spacing w:before="0" w:after="120" w:line="360" w:lineRule="exact"/>
        <w:jc w:val="both"/>
      </w:pPr>
      <w:r>
        <w:rPr>
          <w:rFonts w:ascii="Times New Roman" w:hAnsi="Times New Roman" w:cs="Times New Roman"/>
          <w:rFonts w:ascii="Times New Roman" w:hAnsi="Times New Roman"/>
          <w:b w:val="0"/>
          <w:i w:val="0"/>
          <w:sz w:val="24"/>
        </w:rPr>
        <w:t>Die fünf Phasen umfassen: (1) Initialisierung und Zieldefinition, (2) interne Analyse, (3) Vergleichspartnerauswahl und Datenerhebung, (4) Vergleich und Gap-Analyse sowie (5) Maßnahmenplanung und Umsetzung (Fraunhofer IZB, 2023, S. 14–17). Die vorliegende Projektarbeit deckt die Phasen 1 bis 4 vollständig ab; Phase 5 wird im Rahmen der strategischen Handlungsempfehlungen (Kapitel 7) konzeptionell adressiert, ohne operative Umsetzungsverantwortung zu beanspruchen.</w:t>
      </w:r>
    </w:p>
    <w:p>
      <w:pPr>
        <w:spacing w:before="0" w:after="60" w:line="360" w:lineRule="exact"/>
        <w:jc w:val="both"/>
      </w:pPr>
      <w:r>
        <w:rPr>
          <w:rFonts w:ascii="Times New Roman" w:hAnsi="Times New Roman" w:cs="Times New Roman"/>
          <w:rFonts w:ascii="Times New Roman" w:hAnsi="Times New Roman"/>
          <w:b w:val="0"/>
          <w:i w:val="0"/>
          <w:sz w:val="24"/>
        </w:rPr>
        <w:t>Tabelle 4.1: Zuordnung der Fraunhofer-IZB-Phasen zu den Kapiteln der Arbeit</w:t>
      </w:r>
    </w:p>
    <w:tbl>
      <w:tblPr>
        <w:tblStyle w:val="TableGrid"/>
        <w:tblW w:type="auto" w:w="0"/>
        <w:tblLook w:firstColumn="1" w:firstRow="1" w:lastColumn="0" w:lastRow="0" w:noHBand="0" w:noVBand="1" w:val="04A0"/>
      </w:tblPr>
      <w:tblGrid>
        <w:gridCol w:w="2929"/>
        <w:gridCol w:w="2929"/>
        <w:gridCol w:w="2929"/>
      </w:tblGrid>
      <w:tr>
        <w:tc>
          <w:tcPr>
            <w:tcW w:type="dxa" w:w="850"/>
          </w:tcPr>
          <w:p/>
        </w:tc>
        <w:tc>
          <w:tcPr>
            <w:tcW w:type="dxa" w:w="5102"/>
          </w:tcPr>
          <w:p/>
        </w:tc>
        <w:tc>
          <w:tcPr>
            <w:tcW w:type="dxa" w:w="1701"/>
          </w:tcPr>
          <w:p/>
        </w:tc>
      </w:tr>
      <w:tr>
        <w:tc>
          <w:tcPr>
            <w:tcW w:type="dxa" w:w="850"/>
            <w:shd w:val="clear" w:color="auto" w:fill="D9D9D9"/>
          </w:tcPr>
          <w:p>
            <w:pPr>
              <w:jc w:val="left"/>
            </w:pPr>
            <w:r/>
            <w:r>
              <w:rPr>
                <w:rFonts w:ascii="Times New Roman" w:hAnsi="Times New Roman" w:cs="Times New Roman"/>
                <w:rFonts w:ascii="Times New Roman" w:hAnsi="Times New Roman"/>
                <w:b/>
                <w:i w:val="0"/>
                <w:sz w:val="24"/>
              </w:rPr>
              <w:t>Phase</w:t>
            </w:r>
          </w:p>
        </w:tc>
        <w:tc>
          <w:tcPr>
            <w:tcW w:type="dxa" w:w="5102"/>
            <w:shd w:val="clear" w:color="auto" w:fill="D9D9D9"/>
          </w:tcPr>
          <w:p>
            <w:pPr>
              <w:jc w:val="left"/>
            </w:pPr>
            <w:r/>
            <w:r>
              <w:rPr>
                <w:rFonts w:ascii="Times New Roman" w:hAnsi="Times New Roman" w:cs="Times New Roman"/>
                <w:rFonts w:ascii="Times New Roman" w:hAnsi="Times New Roman"/>
                <w:b/>
                <w:i w:val="0"/>
                <w:sz w:val="24"/>
              </w:rPr>
              <w:t>Inhalt</w:t>
            </w:r>
          </w:p>
        </w:tc>
        <w:tc>
          <w:tcPr>
            <w:tcW w:type="dxa" w:w="1701"/>
            <w:shd w:val="clear" w:color="auto" w:fill="D9D9D9"/>
          </w:tcPr>
          <w:p>
            <w:pPr>
              <w:jc w:val="left"/>
            </w:pPr>
            <w:r/>
            <w:r>
              <w:rPr>
                <w:rFonts w:ascii="Times New Roman" w:hAnsi="Times New Roman" w:cs="Times New Roman"/>
                <w:rFonts w:ascii="Times New Roman" w:hAnsi="Times New Roman"/>
                <w:b/>
                <w:i w:val="0"/>
                <w:sz w:val="24"/>
              </w:rPr>
              <w:t>Kapitel</w:t>
            </w:r>
          </w:p>
        </w:tc>
      </w:tr>
      <w:tr>
        <w:tc>
          <w:tcPr>
            <w:tcW w:type="dxa" w:w="850"/>
          </w:tcPr>
          <w:p>
            <w:pPr>
              <w:jc w:val="left"/>
            </w:pPr>
            <w:r/>
            <w:r>
              <w:rPr>
                <w:rFonts w:ascii="Times New Roman" w:hAnsi="Times New Roman" w:cs="Times New Roman"/>
                <w:rFonts w:ascii="Times New Roman" w:hAnsi="Times New Roman"/>
                <w:b w:val="0"/>
                <w:i w:val="0"/>
                <w:sz w:val="24"/>
              </w:rPr>
              <w:t>1</w:t>
            </w:r>
          </w:p>
        </w:tc>
        <w:tc>
          <w:tcPr>
            <w:tcW w:type="dxa" w:w="5102"/>
          </w:tcPr>
          <w:p>
            <w:pPr>
              <w:jc w:val="left"/>
            </w:pPr>
            <w:r/>
            <w:r>
              <w:rPr>
                <w:rFonts w:ascii="Times New Roman" w:hAnsi="Times New Roman" w:cs="Times New Roman"/>
                <w:rFonts w:ascii="Times New Roman" w:hAnsi="Times New Roman"/>
                <w:b w:val="0"/>
                <w:i w:val="0"/>
                <w:sz w:val="24"/>
              </w:rPr>
              <w:t>Initialisierung &amp; Zieldefinition</w:t>
            </w:r>
          </w:p>
        </w:tc>
        <w:tc>
          <w:tcPr>
            <w:tcW w:type="dxa" w:w="1701"/>
          </w:tcPr>
          <w:p>
            <w:pPr>
              <w:jc w:val="left"/>
            </w:pPr>
            <w:r/>
            <w:r>
              <w:rPr>
                <w:rFonts w:ascii="Times New Roman" w:hAnsi="Times New Roman" w:cs="Times New Roman"/>
                <w:rFonts w:ascii="Times New Roman" w:hAnsi="Times New Roman"/>
                <w:b w:val="0"/>
                <w:i w:val="0"/>
                <w:sz w:val="24"/>
              </w:rPr>
              <w:t>Kap. 1, 4</w:t>
            </w:r>
          </w:p>
        </w:tc>
      </w:tr>
      <w:tr>
        <w:tc>
          <w:tcPr>
            <w:tcW w:type="dxa" w:w="850"/>
          </w:tcPr>
          <w:p>
            <w:pPr>
              <w:jc w:val="left"/>
            </w:pPr>
            <w:r/>
            <w:r>
              <w:rPr>
                <w:rFonts w:ascii="Times New Roman" w:hAnsi="Times New Roman" w:cs="Times New Roman"/>
                <w:rFonts w:ascii="Times New Roman" w:hAnsi="Times New Roman"/>
                <w:b w:val="0"/>
                <w:i w:val="0"/>
                <w:sz w:val="24"/>
              </w:rPr>
              <w:t>2</w:t>
            </w:r>
          </w:p>
        </w:tc>
        <w:tc>
          <w:tcPr>
            <w:tcW w:type="dxa" w:w="5102"/>
          </w:tcPr>
          <w:p>
            <w:pPr>
              <w:jc w:val="left"/>
            </w:pPr>
            <w:r/>
            <w:r>
              <w:rPr>
                <w:rFonts w:ascii="Times New Roman" w:hAnsi="Times New Roman" w:cs="Times New Roman"/>
                <w:rFonts w:ascii="Times New Roman" w:hAnsi="Times New Roman"/>
                <w:b w:val="0"/>
                <w:i w:val="0"/>
                <w:sz w:val="24"/>
              </w:rPr>
              <w:t>Interne Analyse (Selbstbewertung)</w:t>
            </w:r>
          </w:p>
        </w:tc>
        <w:tc>
          <w:tcPr>
            <w:tcW w:type="dxa" w:w="1701"/>
          </w:tcPr>
          <w:p>
            <w:pPr>
              <w:jc w:val="left"/>
            </w:pPr>
            <w:r/>
            <w:r>
              <w:rPr>
                <w:rFonts w:ascii="Times New Roman" w:hAnsi="Times New Roman" w:cs="Times New Roman"/>
                <w:rFonts w:ascii="Times New Roman" w:hAnsi="Times New Roman"/>
                <w:b w:val="0"/>
                <w:i w:val="0"/>
                <w:sz w:val="24"/>
              </w:rPr>
              <w:t>Kap. 5</w:t>
            </w:r>
          </w:p>
        </w:tc>
      </w:tr>
      <w:tr>
        <w:tc>
          <w:tcPr>
            <w:tcW w:type="dxa" w:w="850"/>
          </w:tcPr>
          <w:p>
            <w:pPr>
              <w:jc w:val="left"/>
            </w:pPr>
            <w:r/>
            <w:r>
              <w:rPr>
                <w:rFonts w:ascii="Times New Roman" w:hAnsi="Times New Roman" w:cs="Times New Roman"/>
                <w:rFonts w:ascii="Times New Roman" w:hAnsi="Times New Roman"/>
                <w:b w:val="0"/>
                <w:i w:val="0"/>
                <w:sz w:val="24"/>
              </w:rPr>
              <w:t>3</w:t>
            </w:r>
          </w:p>
        </w:tc>
        <w:tc>
          <w:tcPr>
            <w:tcW w:type="dxa" w:w="5102"/>
          </w:tcPr>
          <w:p>
            <w:pPr>
              <w:jc w:val="left"/>
            </w:pPr>
            <w:r/>
            <w:r>
              <w:rPr>
                <w:rFonts w:ascii="Times New Roman" w:hAnsi="Times New Roman" w:cs="Times New Roman"/>
                <w:rFonts w:ascii="Times New Roman" w:hAnsi="Times New Roman"/>
                <w:b w:val="0"/>
                <w:i w:val="0"/>
                <w:sz w:val="24"/>
              </w:rPr>
              <w:t>Vergleichspartnerauswahl &amp; Datenerhebung</w:t>
            </w:r>
          </w:p>
        </w:tc>
        <w:tc>
          <w:tcPr>
            <w:tcW w:type="dxa" w:w="1701"/>
          </w:tcPr>
          <w:p>
            <w:pPr>
              <w:jc w:val="left"/>
            </w:pPr>
            <w:r/>
            <w:r>
              <w:rPr>
                <w:rFonts w:ascii="Times New Roman" w:hAnsi="Times New Roman" w:cs="Times New Roman"/>
                <w:rFonts w:ascii="Times New Roman" w:hAnsi="Times New Roman"/>
                <w:b w:val="0"/>
                <w:i w:val="0"/>
                <w:sz w:val="24"/>
              </w:rPr>
              <w:t>Kap. 4, 5</w:t>
            </w:r>
          </w:p>
        </w:tc>
      </w:tr>
      <w:tr>
        <w:tc>
          <w:tcPr>
            <w:tcW w:type="dxa" w:w="850"/>
          </w:tcPr>
          <w:p>
            <w:pPr>
              <w:jc w:val="left"/>
            </w:pPr>
            <w:r/>
            <w:r>
              <w:rPr>
                <w:rFonts w:ascii="Times New Roman" w:hAnsi="Times New Roman" w:cs="Times New Roman"/>
                <w:rFonts w:ascii="Times New Roman" w:hAnsi="Times New Roman"/>
                <w:b w:val="0"/>
                <w:i w:val="0"/>
                <w:sz w:val="24"/>
              </w:rPr>
              <w:t>4</w:t>
            </w:r>
          </w:p>
        </w:tc>
        <w:tc>
          <w:tcPr>
            <w:tcW w:type="dxa" w:w="5102"/>
          </w:tcPr>
          <w:p>
            <w:pPr>
              <w:jc w:val="left"/>
            </w:pPr>
            <w:r/>
            <w:r>
              <w:rPr>
                <w:rFonts w:ascii="Times New Roman" w:hAnsi="Times New Roman" w:cs="Times New Roman"/>
                <w:rFonts w:ascii="Times New Roman" w:hAnsi="Times New Roman"/>
                <w:b w:val="0"/>
                <w:i w:val="0"/>
                <w:sz w:val="24"/>
              </w:rPr>
              <w:t>Vergleich &amp; Gap-Analyse</w:t>
            </w:r>
          </w:p>
        </w:tc>
        <w:tc>
          <w:tcPr>
            <w:tcW w:type="dxa" w:w="1701"/>
          </w:tcPr>
          <w:p>
            <w:pPr>
              <w:jc w:val="left"/>
            </w:pPr>
            <w:r/>
            <w:r>
              <w:rPr>
                <w:rFonts w:ascii="Times New Roman" w:hAnsi="Times New Roman" w:cs="Times New Roman"/>
                <w:rFonts w:ascii="Times New Roman" w:hAnsi="Times New Roman"/>
                <w:b w:val="0"/>
                <w:i w:val="0"/>
                <w:sz w:val="24"/>
              </w:rPr>
              <w:t>Kap. 6</w:t>
            </w:r>
          </w:p>
        </w:tc>
      </w:tr>
      <w:tr>
        <w:tc>
          <w:tcPr>
            <w:tcW w:type="dxa" w:w="850"/>
          </w:tcPr>
          <w:p>
            <w:pPr>
              <w:jc w:val="left"/>
            </w:pPr>
            <w:r/>
            <w:r>
              <w:rPr>
                <w:rFonts w:ascii="Times New Roman" w:hAnsi="Times New Roman" w:cs="Times New Roman"/>
                <w:rFonts w:ascii="Times New Roman" w:hAnsi="Times New Roman"/>
                <w:b w:val="0"/>
                <w:i w:val="0"/>
                <w:sz w:val="24"/>
              </w:rPr>
              <w:t>5</w:t>
            </w:r>
          </w:p>
        </w:tc>
        <w:tc>
          <w:tcPr>
            <w:tcW w:type="dxa" w:w="5102"/>
          </w:tcPr>
          <w:p>
            <w:pPr>
              <w:jc w:val="left"/>
            </w:pPr>
            <w:r/>
            <w:r>
              <w:rPr>
                <w:rFonts w:ascii="Times New Roman" w:hAnsi="Times New Roman" w:cs="Times New Roman"/>
                <w:rFonts w:ascii="Times New Roman" w:hAnsi="Times New Roman"/>
                <w:b w:val="0"/>
                <w:i w:val="0"/>
                <w:sz w:val="24"/>
              </w:rPr>
              <w:t>Maßnahmenplanung &amp; Umsetzung</w:t>
            </w:r>
          </w:p>
        </w:tc>
        <w:tc>
          <w:tcPr>
            <w:tcW w:type="dxa" w:w="1701"/>
          </w:tcPr>
          <w:p>
            <w:pPr>
              <w:jc w:val="left"/>
            </w:pPr>
            <w:r/>
            <w:r>
              <w:rPr>
                <w:rFonts w:ascii="Times New Roman" w:hAnsi="Times New Roman" w:cs="Times New Roman"/>
                <w:rFonts w:ascii="Times New Roman" w:hAnsi="Times New Roman"/>
                <w:b w:val="0"/>
                <w:i w:val="0"/>
                <w:sz w:val="24"/>
              </w:rPr>
              <w:t>Kap. 7</w:t>
            </w:r>
          </w:p>
        </w:tc>
      </w:tr>
    </w:tbl>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4.3  Auswahl der Vergleichsunternehmen</w:t>
      </w:r>
    </w:p>
    <w:p>
      <w:pPr>
        <w:spacing w:before="0" w:after="120" w:line="360" w:lineRule="exact"/>
        <w:jc w:val="both"/>
      </w:pPr>
      <w:r>
        <w:rPr>
          <w:rFonts w:ascii="Times New Roman" w:hAnsi="Times New Roman" w:cs="Times New Roman"/>
          <w:rFonts w:ascii="Times New Roman" w:hAnsi="Times New Roman"/>
          <w:b w:val="0"/>
          <w:i w:val="0"/>
          <w:sz w:val="24"/>
        </w:rPr>
        <w:t>Die Auswahl geeigneter Vergleichsunternehmen ist eine der zentralen methodischen Herausforderungen des externen Benchmarkings, insbesondere im Segment des Sondermaschinenbaus. Da Sondermaschinenbauer typischerweise Einzelfertigungen oder Kleinserienfertiger sind, fehlen standardisierte Leistungskennzahlen, und eine direkte Vergleichbarkeit ist oft nur eingeschränkt gegeben (Spendolini, 1992, S. 78).</w:t>
      </w:r>
    </w:p>
    <w:p>
      <w:pPr>
        <w:spacing w:before="0" w:after="120" w:line="360" w:lineRule="exact"/>
        <w:jc w:val="both"/>
      </w:pPr>
      <w:r>
        <w:rPr>
          <w:rFonts w:ascii="Times New Roman" w:hAnsi="Times New Roman" w:cs="Times New Roman"/>
          <w:rFonts w:ascii="Times New Roman" w:hAnsi="Times New Roman"/>
          <w:b w:val="0"/>
          <w:i w:val="0"/>
          <w:sz w:val="24"/>
        </w:rPr>
        <w:t>Für die vorliegende Arbeit wurden Vergleichsunternehmen anhand folgender Auswahlkriterien identifiziert:</w:t>
      </w:r>
    </w:p>
    <w:p>
      <w:pPr>
        <w:pStyle w:val="ListBullet"/>
        <w:spacing w:before="0" w:after="60"/>
        <w:ind w:left="567"/>
      </w:pPr>
      <w:r>
        <w:rPr>
          <w:rFonts w:ascii="Times New Roman" w:hAnsi="Times New Roman" w:cs="Times New Roman"/>
          <w:rFonts w:ascii="Times New Roman" w:hAnsi="Times New Roman"/>
          <w:b w:val="0"/>
          <w:i w:val="0"/>
          <w:sz w:val="24"/>
        </w:rPr>
        <w:t>Branchenzugehörigkeit: Maschinenbau / Sondermaschinenbau (NACE-Code 28.x)</w:t>
      </w:r>
    </w:p>
    <w:p>
      <w:pPr>
        <w:pStyle w:val="ListBullet"/>
        <w:spacing w:before="0" w:after="60"/>
        <w:ind w:left="567"/>
      </w:pPr>
      <w:r>
        <w:rPr>
          <w:rFonts w:ascii="Times New Roman" w:hAnsi="Times New Roman" w:cs="Times New Roman"/>
          <w:rFonts w:ascii="Times New Roman" w:hAnsi="Times New Roman"/>
          <w:b w:val="0"/>
          <w:i w:val="0"/>
          <w:sz w:val="24"/>
        </w:rPr>
        <w:t>Umsatzgröße: vergleichbare Größenordnung (mittlerer bis oberer Mittelstand)</w:t>
      </w:r>
    </w:p>
    <w:p>
      <w:pPr>
        <w:pStyle w:val="ListBullet"/>
        <w:spacing w:before="0" w:after="60"/>
        <w:ind w:left="567"/>
      </w:pPr>
      <w:r>
        <w:rPr>
          <w:rFonts w:ascii="Times New Roman" w:hAnsi="Times New Roman" w:cs="Times New Roman"/>
          <w:rFonts w:ascii="Times New Roman" w:hAnsi="Times New Roman"/>
          <w:b w:val="0"/>
          <w:i w:val="0"/>
          <w:sz w:val="24"/>
        </w:rPr>
        <w:t>Geschäftsmodell: Auftragsfertiger mit kundenspezifischen Lösungen</w:t>
      </w:r>
    </w:p>
    <w:p>
      <w:pPr>
        <w:pStyle w:val="ListBullet"/>
        <w:spacing w:before="0" w:after="60"/>
        <w:ind w:left="567"/>
      </w:pPr>
      <w:r>
        <w:rPr>
          <w:rFonts w:ascii="Times New Roman" w:hAnsi="Times New Roman" w:cs="Times New Roman"/>
          <w:rFonts w:ascii="Times New Roman" w:hAnsi="Times New Roman"/>
          <w:b w:val="0"/>
          <w:i w:val="0"/>
          <w:sz w:val="24"/>
        </w:rPr>
        <w:t>Internationales Tätigkeitsprofil: Exportquote und globale Marktpräsenz</w:t>
      </w:r>
    </w:p>
    <w:p>
      <w:pPr>
        <w:pStyle w:val="ListBullet"/>
        <w:spacing w:before="0" w:after="60"/>
        <w:ind w:left="567"/>
      </w:pPr>
      <w:r>
        <w:rPr>
          <w:rFonts w:ascii="Times New Roman" w:hAnsi="Times New Roman" w:cs="Times New Roman"/>
          <w:rFonts w:ascii="Times New Roman" w:hAnsi="Times New Roman"/>
          <w:b w:val="0"/>
          <w:i w:val="0"/>
          <w:sz w:val="24"/>
        </w:rPr>
        <w:t>Datenverfügbarkeit: Jahresberichte, Unternehmensregister, Fachpublikationen</w:t>
      </w:r>
    </w:p>
    <w:p/>
    <w:p>
      <w:pPr>
        <w:spacing w:before="0" w:after="120" w:line="360" w:lineRule="exact"/>
        <w:jc w:val="both"/>
      </w:pPr>
      <w:r>
        <w:rPr>
          <w:rFonts w:ascii="Times New Roman" w:hAnsi="Times New Roman" w:cs="Times New Roman"/>
          <w:rFonts w:ascii="Times New Roman" w:hAnsi="Times New Roman"/>
          <w:b w:val="0"/>
          <w:i w:val="0"/>
          <w:sz w:val="24"/>
        </w:rPr>
        <w:t>Das Problem der Vergleichbarkeit (Komparabilität) wird durch ein zweigliedriges Vorgehen adressiert: Erstens werden absolute Kennzahlen (z. B. Umsatz, Mitarbeiterzahl) stets durch relative Kennzahlen (z. B. Umsatz je Mitarbeiter, F&amp;E-Quote) ergänzt, um Größeneffekte zu neutralisieren. Zweitens wird die Auswahl der Vergleichsdimensionen auf strategisch relevante Parameter beschränkt, die branchenübergreifend interpretierbar sind (Watson, 1993, S. 61).</w:t>
      </w:r>
    </w:p>
    <w:p>
      <w:pPr>
        <w:spacing w:before="0" w:after="120" w:line="360" w:lineRule="exact"/>
        <w:jc w:val="both"/>
      </w:pPr>
      <w:r>
        <w:rPr>
          <w:rFonts w:ascii="Times New Roman" w:hAnsi="Times New Roman" w:cs="Times New Roman"/>
          <w:rFonts w:ascii="Times New Roman" w:hAnsi="Times New Roman"/>
          <w:b w:val="0"/>
          <w:i w:val="0"/>
          <w:sz w:val="24"/>
        </w:rPr>
        <w:t>In Übereinstimmung mit Camp (1994, S. 67) wurde zudem ein sog. Best-in-Class-Vergleich angestrebt: Neben direkten Wettbewerbern wurden, wo methodisch sinnvoll, auch branchenfremde Unternehmen mit übertragbaren Prozessexzellenzen berücksichtigt (funktionales Benchmarking). Die konkrete Auswahl der Vergleichsunternehmen sowie deren Steckbriefe sind in Kapitel 5 dokumentiert.</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4.4  Datenerhebung</w:t>
      </w:r>
    </w:p>
    <w:p>
      <w:pPr>
        <w:spacing w:before="0" w:after="120" w:line="360" w:lineRule="exact"/>
        <w:jc w:val="both"/>
      </w:pPr>
      <w:r>
        <w:rPr>
          <w:rFonts w:ascii="Times New Roman" w:hAnsi="Times New Roman" w:cs="Times New Roman"/>
          <w:rFonts w:ascii="Times New Roman" w:hAnsi="Times New Roman"/>
          <w:b w:val="0"/>
          <w:i w:val="0"/>
          <w:sz w:val="24"/>
        </w:rPr>
        <w:t>Die Datenerhebung erfolgt auf Basis einer kombinierten Sekundär- und Primärforschungsstrategie. Aufgrund des vertraulichen Charakters der Untersuchung und der eingeschränkten Verfügbarkeit öffentlicher Daten im Sondermaschinenbau bildet die Sekundärforschung den Schwerpunkt.</w:t>
      </w:r>
    </w:p>
    <w:p>
      <w:pPr>
        <w:spacing w:before="240" w:after="120" w:line="360" w:lineRule="exact"/>
      </w:pPr>
      <w:r>
        <w:rPr>
          <w:rFonts w:ascii="Times New Roman" w:hAnsi="Times New Roman" w:cs="Times New Roman"/>
          <w:rFonts w:ascii="Times New Roman" w:hAnsi="Times New Roman"/>
          <w:b/>
          <w:i w:val="0"/>
          <w:sz w:val="24"/>
        </w:rPr>
        <w:t>4.4.1  Sekundärquellen</w:t>
      </w:r>
    </w:p>
    <w:p>
      <w:pPr>
        <w:spacing w:before="0" w:after="120" w:line="360" w:lineRule="exact"/>
        <w:jc w:val="both"/>
      </w:pPr>
      <w:r>
        <w:rPr>
          <w:rFonts w:ascii="Times New Roman" w:hAnsi="Times New Roman" w:cs="Times New Roman"/>
          <w:rFonts w:ascii="Times New Roman" w:hAnsi="Times New Roman"/>
          <w:b w:val="0"/>
          <w:i w:val="0"/>
          <w:sz w:val="24"/>
        </w:rPr>
        <w:t>Als Sekundärquellen wurden systematisch folgende Quellentypen ausgewertet:</w:t>
      </w:r>
    </w:p>
    <w:tbl>
      <w:tblPr>
        <w:tblStyle w:val="TableGrid"/>
        <w:tblW w:type="auto" w:w="0"/>
        <w:tblLook w:firstColumn="1" w:firstRow="1" w:lastColumn="0" w:lastRow="0" w:noHBand="0" w:noVBand="1" w:val="04A0"/>
      </w:tblPr>
      <w:tblGrid>
        <w:gridCol w:w="2929"/>
        <w:gridCol w:w="2929"/>
        <w:gridCol w:w="2929"/>
      </w:tblGrid>
      <w:tr>
        <w:tc>
          <w:tcPr>
            <w:tcW w:type="dxa" w:w="2268"/>
          </w:tcPr>
          <w:p/>
        </w:tc>
        <w:tc>
          <w:tcPr>
            <w:tcW w:type="dxa" w:w="3402"/>
          </w:tcPr>
          <w:p/>
        </w:tc>
        <w:tc>
          <w:tcPr>
            <w:tcW w:type="dxa" w:w="2835"/>
          </w:tcPr>
          <w:p/>
        </w:tc>
      </w:tr>
      <w:tr>
        <w:tc>
          <w:tcPr>
            <w:tcW w:type="dxa" w:w="2268"/>
            <w:shd w:val="clear" w:color="auto" w:fill="D9D9D9"/>
          </w:tcPr>
          <w:p>
            <w:pPr>
              <w:jc w:val="left"/>
            </w:pPr>
            <w:r/>
            <w:r>
              <w:rPr>
                <w:rFonts w:ascii="Times New Roman" w:hAnsi="Times New Roman" w:cs="Times New Roman"/>
                <w:rFonts w:ascii="Times New Roman" w:hAnsi="Times New Roman"/>
                <w:b/>
                <w:i w:val="0"/>
                <w:sz w:val="24"/>
              </w:rPr>
              <w:t>Quellentyp</w:t>
            </w:r>
          </w:p>
        </w:tc>
        <w:tc>
          <w:tcPr>
            <w:tcW w:type="dxa" w:w="3402"/>
            <w:shd w:val="clear" w:color="auto" w:fill="D9D9D9"/>
          </w:tcPr>
          <w:p>
            <w:pPr>
              <w:jc w:val="left"/>
            </w:pPr>
            <w:r/>
            <w:r>
              <w:rPr>
                <w:rFonts w:ascii="Times New Roman" w:hAnsi="Times New Roman" w:cs="Times New Roman"/>
                <w:rFonts w:ascii="Times New Roman" w:hAnsi="Times New Roman"/>
                <w:b/>
                <w:i w:val="0"/>
                <w:sz w:val="24"/>
              </w:rPr>
              <w:t>Beispiele</w:t>
            </w:r>
          </w:p>
        </w:tc>
        <w:tc>
          <w:tcPr>
            <w:tcW w:type="dxa" w:w="2835"/>
            <w:shd w:val="clear" w:color="auto" w:fill="D9D9D9"/>
          </w:tcPr>
          <w:p>
            <w:pPr>
              <w:jc w:val="left"/>
            </w:pPr>
            <w:r/>
            <w:r>
              <w:rPr>
                <w:rFonts w:ascii="Times New Roman" w:hAnsi="Times New Roman" w:cs="Times New Roman"/>
                <w:rFonts w:ascii="Times New Roman" w:hAnsi="Times New Roman"/>
                <w:b/>
                <w:i w:val="0"/>
                <w:sz w:val="24"/>
              </w:rPr>
              <w:t>Bewertung</w:t>
            </w:r>
          </w:p>
        </w:tc>
      </w:tr>
      <w:tr>
        <w:tc>
          <w:tcPr>
            <w:tcW w:type="dxa" w:w="2268"/>
          </w:tcPr>
          <w:p>
            <w:pPr>
              <w:jc w:val="left"/>
            </w:pPr>
            <w:r/>
            <w:r>
              <w:rPr>
                <w:rFonts w:ascii="Times New Roman" w:hAnsi="Times New Roman" w:cs="Times New Roman"/>
                <w:rFonts w:ascii="Times New Roman" w:hAnsi="Times New Roman"/>
                <w:b w:val="0"/>
                <w:i w:val="0"/>
                <w:sz w:val="24"/>
              </w:rPr>
              <w:t>Jahres-/Geschäftsberichte</w:t>
            </w:r>
          </w:p>
        </w:tc>
        <w:tc>
          <w:tcPr>
            <w:tcW w:type="dxa" w:w="3402"/>
          </w:tcPr>
          <w:p>
            <w:pPr>
              <w:jc w:val="left"/>
            </w:pPr>
            <w:r/>
            <w:r>
              <w:rPr>
                <w:rFonts w:ascii="Times New Roman" w:hAnsi="Times New Roman" w:cs="Times New Roman"/>
                <w:rFonts w:ascii="Times New Roman" w:hAnsi="Times New Roman"/>
                <w:b w:val="0"/>
                <w:i w:val="0"/>
                <w:sz w:val="24"/>
              </w:rPr>
              <w:t>Veröffentlichte Jahresabschlüsse der Vergleichsunternehmen</w:t>
            </w:r>
          </w:p>
        </w:tc>
        <w:tc>
          <w:tcPr>
            <w:tcW w:type="dxa" w:w="2835"/>
          </w:tcPr>
          <w:p>
            <w:pPr>
              <w:jc w:val="left"/>
            </w:pPr>
            <w:r/>
            <w:r>
              <w:rPr>
                <w:rFonts w:ascii="Times New Roman" w:hAnsi="Times New Roman" w:cs="Times New Roman"/>
                <w:rFonts w:ascii="Times New Roman" w:hAnsi="Times New Roman"/>
                <w:b w:val="0"/>
                <w:i w:val="0"/>
                <w:sz w:val="24"/>
              </w:rPr>
              <w:t>Hoch verlässlich, aber eingeschränkter Detailgrad</w:t>
            </w:r>
          </w:p>
        </w:tc>
      </w:tr>
      <w:tr>
        <w:tc>
          <w:tcPr>
            <w:tcW w:type="dxa" w:w="2268"/>
          </w:tcPr>
          <w:p>
            <w:pPr>
              <w:jc w:val="left"/>
            </w:pPr>
            <w:r/>
            <w:r>
              <w:rPr>
                <w:rFonts w:ascii="Times New Roman" w:hAnsi="Times New Roman" w:cs="Times New Roman"/>
                <w:rFonts w:ascii="Times New Roman" w:hAnsi="Times New Roman"/>
                <w:b w:val="0"/>
                <w:i w:val="0"/>
                <w:sz w:val="24"/>
              </w:rPr>
              <w:t>Branchenreports &amp; Verbandsdaten</w:t>
            </w:r>
          </w:p>
        </w:tc>
        <w:tc>
          <w:tcPr>
            <w:tcW w:type="dxa" w:w="3402"/>
          </w:tcPr>
          <w:p>
            <w:pPr>
              <w:jc w:val="left"/>
            </w:pPr>
            <w:r/>
            <w:r>
              <w:rPr>
                <w:rFonts w:ascii="Times New Roman" w:hAnsi="Times New Roman" w:cs="Times New Roman"/>
                <w:rFonts w:ascii="Times New Roman" w:hAnsi="Times New Roman"/>
                <w:b w:val="0"/>
                <w:i w:val="0"/>
                <w:sz w:val="24"/>
              </w:rPr>
              <w:t>VDMA Maschinenbau in Zahl und Bild 2024</w:t>
            </w:r>
          </w:p>
        </w:tc>
        <w:tc>
          <w:tcPr>
            <w:tcW w:type="dxa" w:w="2835"/>
          </w:tcPr>
          <w:p>
            <w:pPr>
              <w:jc w:val="left"/>
            </w:pPr>
            <w:r/>
            <w:r>
              <w:rPr>
                <w:rFonts w:ascii="Times New Roman" w:hAnsi="Times New Roman" w:cs="Times New Roman"/>
                <w:rFonts w:ascii="Times New Roman" w:hAnsi="Times New Roman"/>
                <w:b w:val="0"/>
                <w:i w:val="0"/>
                <w:sz w:val="24"/>
              </w:rPr>
              <w:t>Repräsentativ, aktuell, institutionell validiert</w:t>
            </w:r>
          </w:p>
        </w:tc>
      </w:tr>
      <w:tr>
        <w:tc>
          <w:tcPr>
            <w:tcW w:type="dxa" w:w="2268"/>
          </w:tcPr>
          <w:p>
            <w:pPr>
              <w:jc w:val="left"/>
            </w:pPr>
            <w:r/>
            <w:r>
              <w:rPr>
                <w:rFonts w:ascii="Times New Roman" w:hAnsi="Times New Roman" w:cs="Times New Roman"/>
                <w:rFonts w:ascii="Times New Roman" w:hAnsi="Times New Roman"/>
                <w:b w:val="0"/>
                <w:i w:val="0"/>
                <w:sz w:val="24"/>
              </w:rPr>
              <w:t>Unternehmensregister</w:t>
            </w:r>
          </w:p>
        </w:tc>
        <w:tc>
          <w:tcPr>
            <w:tcW w:type="dxa" w:w="3402"/>
          </w:tcPr>
          <w:p>
            <w:pPr>
              <w:jc w:val="left"/>
            </w:pPr>
            <w:r/>
            <w:r>
              <w:rPr>
                <w:rFonts w:ascii="Times New Roman" w:hAnsi="Times New Roman" w:cs="Times New Roman"/>
                <w:rFonts w:ascii="Times New Roman" w:hAnsi="Times New Roman"/>
                <w:b w:val="0"/>
                <w:i w:val="0"/>
                <w:sz w:val="24"/>
              </w:rPr>
              <w:t>Bundesanzeiger, Creditreform, Dun &amp; Bradstreet</w:t>
            </w:r>
          </w:p>
        </w:tc>
        <w:tc>
          <w:tcPr>
            <w:tcW w:type="dxa" w:w="2835"/>
          </w:tcPr>
          <w:p>
            <w:pPr>
              <w:jc w:val="left"/>
            </w:pPr>
            <w:r/>
            <w:r>
              <w:rPr>
                <w:rFonts w:ascii="Times New Roman" w:hAnsi="Times New Roman" w:cs="Times New Roman"/>
                <w:rFonts w:ascii="Times New Roman" w:hAnsi="Times New Roman"/>
                <w:b w:val="0"/>
                <w:i w:val="0"/>
                <w:sz w:val="24"/>
              </w:rPr>
              <w:t>Standardisiert, vergleichbar</w:t>
            </w:r>
          </w:p>
        </w:tc>
      </w:tr>
      <w:tr>
        <w:tc>
          <w:tcPr>
            <w:tcW w:type="dxa" w:w="2268"/>
          </w:tcPr>
          <w:p>
            <w:pPr>
              <w:jc w:val="left"/>
            </w:pPr>
            <w:r/>
            <w:r>
              <w:rPr>
                <w:rFonts w:ascii="Times New Roman" w:hAnsi="Times New Roman" w:cs="Times New Roman"/>
                <w:rFonts w:ascii="Times New Roman" w:hAnsi="Times New Roman"/>
                <w:b w:val="0"/>
                <w:i w:val="0"/>
                <w:sz w:val="24"/>
              </w:rPr>
              <w:t>Fachliteratur &amp; Studien</w:t>
            </w:r>
          </w:p>
        </w:tc>
        <w:tc>
          <w:tcPr>
            <w:tcW w:type="dxa" w:w="3402"/>
          </w:tcPr>
          <w:p>
            <w:pPr>
              <w:jc w:val="left"/>
            </w:pPr>
            <w:r/>
            <w:r>
              <w:rPr>
                <w:rFonts w:ascii="Times New Roman" w:hAnsi="Times New Roman" w:cs="Times New Roman"/>
                <w:rFonts w:ascii="Times New Roman" w:hAnsi="Times New Roman"/>
                <w:b w:val="0"/>
                <w:i w:val="0"/>
                <w:sz w:val="24"/>
              </w:rPr>
              <w:t>Fraunhofer-Publikationen, IHK-Studien</w:t>
            </w:r>
          </w:p>
        </w:tc>
        <w:tc>
          <w:tcPr>
            <w:tcW w:type="dxa" w:w="2835"/>
          </w:tcPr>
          <w:p>
            <w:pPr>
              <w:jc w:val="left"/>
            </w:pPr>
            <w:r/>
            <w:r>
              <w:rPr>
                <w:rFonts w:ascii="Times New Roman" w:hAnsi="Times New Roman" w:cs="Times New Roman"/>
                <w:rFonts w:ascii="Times New Roman" w:hAnsi="Times New Roman"/>
                <w:b w:val="0"/>
                <w:i w:val="0"/>
                <w:sz w:val="24"/>
              </w:rPr>
              <w:t>Methodisch fundiert</w:t>
            </w:r>
          </w:p>
        </w:tc>
      </w:tr>
      <w:tr>
        <w:tc>
          <w:tcPr>
            <w:tcW w:type="dxa" w:w="2268"/>
          </w:tcPr>
          <w:p>
            <w:pPr>
              <w:jc w:val="left"/>
            </w:pPr>
            <w:r/>
            <w:r>
              <w:rPr>
                <w:rFonts w:ascii="Times New Roman" w:hAnsi="Times New Roman" w:cs="Times New Roman"/>
                <w:rFonts w:ascii="Times New Roman" w:hAnsi="Times New Roman"/>
                <w:b w:val="0"/>
                <w:i w:val="0"/>
                <w:sz w:val="24"/>
              </w:rPr>
              <w:t>Unternehmenswebsites &amp; PR</w:t>
            </w:r>
          </w:p>
        </w:tc>
        <w:tc>
          <w:tcPr>
            <w:tcW w:type="dxa" w:w="3402"/>
          </w:tcPr>
          <w:p>
            <w:pPr>
              <w:jc w:val="left"/>
            </w:pPr>
            <w:r/>
            <w:r>
              <w:rPr>
                <w:rFonts w:ascii="Times New Roman" w:hAnsi="Times New Roman" w:cs="Times New Roman"/>
                <w:rFonts w:ascii="Times New Roman" w:hAnsi="Times New Roman"/>
                <w:b w:val="0"/>
                <w:i w:val="0"/>
                <w:sz w:val="24"/>
              </w:rPr>
              <w:t>Produktportfolios, Pressemitteilungen</w:t>
            </w:r>
          </w:p>
        </w:tc>
        <w:tc>
          <w:tcPr>
            <w:tcW w:type="dxa" w:w="2835"/>
          </w:tcPr>
          <w:p>
            <w:pPr>
              <w:jc w:val="left"/>
            </w:pPr>
            <w:r/>
            <w:r>
              <w:rPr>
                <w:rFonts w:ascii="Times New Roman" w:hAnsi="Times New Roman" w:cs="Times New Roman"/>
                <w:rFonts w:ascii="Times New Roman" w:hAnsi="Times New Roman"/>
                <w:b w:val="0"/>
                <w:i w:val="0"/>
                <w:sz w:val="24"/>
              </w:rPr>
              <w:t>Ergänzend, kritisch zu prüfen</w:t>
            </w:r>
          </w:p>
        </w:tc>
      </w:tr>
    </w:tbl>
    <w:p/>
    <w:p>
      <w:pPr>
        <w:spacing w:before="0" w:after="120" w:line="360" w:lineRule="exact"/>
        <w:jc w:val="both"/>
      </w:pPr>
      <w:r>
        <w:rPr>
          <w:rFonts w:ascii="Times New Roman" w:hAnsi="Times New Roman" w:cs="Times New Roman"/>
          <w:rFonts w:ascii="Times New Roman" w:hAnsi="Times New Roman"/>
          <w:b w:val="0"/>
          <w:i w:val="0"/>
          <w:sz w:val="24"/>
        </w:rPr>
        <w:t>Branchenkennzahlen des deutschen Maschinenbaus wurden primaer aus der Publikation Maschinenbau in Zahl und Bild 2024 des Verbandes Deutscher Maschinen- und Anlagenbau (VDMA) entnommen. Der VDMA erhebt diese Kennzahlen auf Basis einer repraesentativen Mitgliederbefragung und gilt als institutionell verlaesslichste Quelle fuer diese Branche in Deutschland (VDMA, 2024).</w:t>
      </w:r>
    </w:p>
    <w:p>
      <w:pPr>
        <w:spacing w:before="240" w:after="120" w:line="360" w:lineRule="exact"/>
      </w:pPr>
      <w:r>
        <w:rPr>
          <w:rFonts w:ascii="Times New Roman" w:hAnsi="Times New Roman" w:cs="Times New Roman"/>
          <w:rFonts w:ascii="Times New Roman" w:hAnsi="Times New Roman"/>
          <w:b/>
          <w:i w:val="0"/>
          <w:sz w:val="24"/>
        </w:rPr>
        <w:t>4.4.2  Primärquellen</w:t>
      </w:r>
    </w:p>
    <w:p>
      <w:pPr>
        <w:spacing w:before="0" w:after="120" w:line="360" w:lineRule="exact"/>
        <w:jc w:val="both"/>
      </w:pPr>
      <w:r>
        <w:rPr>
          <w:rFonts w:ascii="Times New Roman" w:hAnsi="Times New Roman" w:cs="Times New Roman"/>
          <w:rFonts w:ascii="Times New Roman" w:hAnsi="Times New Roman"/>
          <w:b w:val="0"/>
          <w:i w:val="0"/>
          <w:sz w:val="24"/>
        </w:rPr>
        <w:t>Ergänzend zur Sekundärforschung wurden unternehmensinterne Primärdaten aus dem Bereich Strategy &amp; Processes der Schaeffler Special Machinery einbezogen. Diese umfassen Kennzahlen aus dem internen Berichtswesen sowie qualitative Einschätzungen aus Expertengesprächen mit Führungskräften der Abteilung. Die Primärdaten unterliegen dem Sperrvermerk dieser Arbeit und sind daher in aggregierter, anonymisierter Form dargestellt.</w:t>
      </w:r>
    </w:p>
    <w:p>
      <w:pPr>
        <w:spacing w:before="0" w:after="120" w:line="360" w:lineRule="exact"/>
        <w:jc w:val="both"/>
      </w:pPr>
      <w:r>
        <w:rPr>
          <w:rFonts w:ascii="Times New Roman" w:hAnsi="Times New Roman" w:cs="Times New Roman"/>
          <w:rFonts w:ascii="Times New Roman" w:hAnsi="Times New Roman"/>
          <w:b w:val="0"/>
          <w:i w:val="0"/>
          <w:sz w:val="24"/>
        </w:rPr>
        <w:t>Qualitative Primärdaten wurden im Rahmen von leitfadengestützten Experteninterviews erhoben. Die Auswahl der Gesprächspartner folgte dem Prinzip des Purposive Sampling: Es wurden Personen befragt, die aufgrund ihrer Funktion über fundiertes Wissen zum Untersuchungsgegenstand verfügen (Yin, 2018, S. 113). Die Interviews wurden strukturiert protokolliert und inhaltsanalytisch ausgewertet.</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4.5  Datenauswertung und Kennzahlensystem</w:t>
      </w:r>
    </w:p>
    <w:p>
      <w:pPr>
        <w:spacing w:before="0" w:after="120" w:line="360" w:lineRule="exact"/>
        <w:jc w:val="both"/>
      </w:pPr>
      <w:r>
        <w:rPr>
          <w:rFonts w:ascii="Times New Roman" w:hAnsi="Times New Roman" w:cs="Times New Roman"/>
          <w:rFonts w:ascii="Times New Roman" w:hAnsi="Times New Roman"/>
          <w:b w:val="0"/>
          <w:i w:val="0"/>
          <w:sz w:val="24"/>
        </w:rPr>
        <w:t>Die Auswertung der erhobenen Daten erfolgt anhand eines strukturierten Kennzahlensystems. Dieses umfasst quantitative Leistungsindikatoren (Key Performance Indicators, KPIs) sowie qualitative Bewertungsdimensionen. Die Kombination beider Ebenen entspricht dem Ansatz eines hybriden Benchmarks, der sowohl messbare Größen als auch strategische Qualitätsdimensionen berücksichtigt (Camp, 1994, S. 102).</w:t>
      </w:r>
    </w:p>
    <w:p>
      <w:pPr>
        <w:spacing w:before="0" w:after="120" w:line="360" w:lineRule="exact"/>
        <w:jc w:val="both"/>
      </w:pPr>
      <w:r>
        <w:rPr>
          <w:rFonts w:ascii="Times New Roman" w:hAnsi="Times New Roman" w:cs="Times New Roman"/>
          <w:rFonts w:ascii="Times New Roman" w:hAnsi="Times New Roman"/>
          <w:b w:val="0"/>
          <w:i w:val="0"/>
          <w:sz w:val="24"/>
        </w:rPr>
        <w:t>Das Kennzahlensystem ist entlang der vier strategischen Vergleichsdimensionen gegliedert, die aus der Zielsetzung der Arbeit abgeleitet wurden:</w:t>
      </w:r>
    </w:p>
    <w:tbl>
      <w:tblPr>
        <w:tblStyle w:val="TableGrid"/>
        <w:tblW w:type="auto" w:w="0"/>
        <w:tblLook w:firstColumn="1" w:firstRow="1" w:lastColumn="0" w:lastRow="0" w:noHBand="0" w:noVBand="1" w:val="04A0"/>
      </w:tblPr>
      <w:tblGrid>
        <w:gridCol w:w="2929"/>
        <w:gridCol w:w="2929"/>
        <w:gridCol w:w="2929"/>
      </w:tblGrid>
      <w:tr>
        <w:tc>
          <w:tcPr>
            <w:tcW w:type="dxa" w:w="2268"/>
          </w:tcPr>
          <w:p/>
        </w:tc>
        <w:tc>
          <w:tcPr>
            <w:tcW w:type="dxa" w:w="3685"/>
          </w:tcPr>
          <w:p/>
        </w:tc>
        <w:tc>
          <w:tcPr>
            <w:tcW w:type="dxa" w:w="2551"/>
          </w:tcPr>
          <w:p/>
        </w:tc>
      </w:tr>
      <w:tr>
        <w:tc>
          <w:tcPr>
            <w:tcW w:type="dxa" w:w="2268"/>
            <w:shd w:val="clear" w:color="auto" w:fill="D9D9D9"/>
          </w:tcPr>
          <w:p>
            <w:pPr>
              <w:jc w:val="left"/>
            </w:pPr>
            <w:r/>
            <w:r>
              <w:rPr>
                <w:rFonts w:ascii="Times New Roman" w:hAnsi="Times New Roman" w:cs="Times New Roman"/>
                <w:rFonts w:ascii="Times New Roman" w:hAnsi="Times New Roman"/>
                <w:b/>
                <w:i w:val="0"/>
                <w:sz w:val="24"/>
              </w:rPr>
              <w:t>Dimension</w:t>
            </w:r>
          </w:p>
        </w:tc>
        <w:tc>
          <w:tcPr>
            <w:tcW w:type="dxa" w:w="3685"/>
            <w:shd w:val="clear" w:color="auto" w:fill="D9D9D9"/>
          </w:tcPr>
          <w:p>
            <w:pPr>
              <w:jc w:val="left"/>
            </w:pPr>
            <w:r/>
            <w:r>
              <w:rPr>
                <w:rFonts w:ascii="Times New Roman" w:hAnsi="Times New Roman" w:cs="Times New Roman"/>
                <w:rFonts w:ascii="Times New Roman" w:hAnsi="Times New Roman"/>
                <w:b/>
                <w:i w:val="0"/>
                <w:sz w:val="24"/>
              </w:rPr>
              <w:t>Beispiel-KPIs</w:t>
            </w:r>
          </w:p>
        </w:tc>
        <w:tc>
          <w:tcPr>
            <w:tcW w:type="dxa" w:w="2551"/>
            <w:shd w:val="clear" w:color="auto" w:fill="D9D9D9"/>
          </w:tcPr>
          <w:p>
            <w:pPr>
              <w:jc w:val="left"/>
            </w:pPr>
            <w:r/>
            <w:r>
              <w:rPr>
                <w:rFonts w:ascii="Times New Roman" w:hAnsi="Times New Roman" w:cs="Times New Roman"/>
                <w:rFonts w:ascii="Times New Roman" w:hAnsi="Times New Roman"/>
                <w:b/>
                <w:i w:val="0"/>
                <w:sz w:val="24"/>
              </w:rPr>
              <w:t>Datenquelle</w:t>
            </w:r>
          </w:p>
        </w:tc>
      </w:tr>
      <w:tr>
        <w:tc>
          <w:tcPr>
            <w:tcW w:type="dxa" w:w="2268"/>
          </w:tcPr>
          <w:p>
            <w:pPr>
              <w:jc w:val="left"/>
            </w:pPr>
            <w:r/>
            <w:r>
              <w:rPr>
                <w:rFonts w:ascii="Times New Roman" w:hAnsi="Times New Roman" w:cs="Times New Roman"/>
                <w:rFonts w:ascii="Times New Roman" w:hAnsi="Times New Roman"/>
                <w:b w:val="0"/>
                <w:i w:val="0"/>
                <w:sz w:val="24"/>
              </w:rPr>
              <w:t>Markt &amp; Wachstum</w:t>
            </w:r>
          </w:p>
        </w:tc>
        <w:tc>
          <w:tcPr>
            <w:tcW w:type="dxa" w:w="3685"/>
          </w:tcPr>
          <w:p>
            <w:pPr>
              <w:jc w:val="left"/>
            </w:pPr>
            <w:r/>
            <w:r>
              <w:rPr>
                <w:rFonts w:ascii="Times New Roman" w:hAnsi="Times New Roman" w:cs="Times New Roman"/>
                <w:rFonts w:ascii="Times New Roman" w:hAnsi="Times New Roman"/>
                <w:b w:val="0"/>
                <w:i w:val="0"/>
                <w:sz w:val="24"/>
              </w:rPr>
              <w:t>Umsatzwachstum (%), Marktanteil, Exportquote</w:t>
            </w:r>
          </w:p>
        </w:tc>
        <w:tc>
          <w:tcPr>
            <w:tcW w:type="dxa" w:w="2551"/>
          </w:tcPr>
          <w:p>
            <w:pPr>
              <w:jc w:val="left"/>
            </w:pPr>
            <w:r/>
            <w:r>
              <w:rPr>
                <w:rFonts w:ascii="Times New Roman" w:hAnsi="Times New Roman" w:cs="Times New Roman"/>
                <w:rFonts w:ascii="Times New Roman" w:hAnsi="Times New Roman"/>
                <w:b w:val="0"/>
                <w:i w:val="0"/>
                <w:sz w:val="24"/>
              </w:rPr>
              <w:t>Jahresbericht, VDMA</w:t>
            </w:r>
          </w:p>
        </w:tc>
      </w:tr>
      <w:tr>
        <w:tc>
          <w:tcPr>
            <w:tcW w:type="dxa" w:w="2268"/>
          </w:tcPr>
          <w:p>
            <w:pPr>
              <w:jc w:val="left"/>
            </w:pPr>
            <w:r/>
            <w:r>
              <w:rPr>
                <w:rFonts w:ascii="Times New Roman" w:hAnsi="Times New Roman" w:cs="Times New Roman"/>
                <w:rFonts w:ascii="Times New Roman" w:hAnsi="Times New Roman"/>
                <w:b w:val="0"/>
                <w:i w:val="0"/>
                <w:sz w:val="24"/>
              </w:rPr>
              <w:t>Kosten &amp; Effizienz</w:t>
            </w:r>
          </w:p>
        </w:tc>
        <w:tc>
          <w:tcPr>
            <w:tcW w:type="dxa" w:w="3685"/>
          </w:tcPr>
          <w:p>
            <w:pPr>
              <w:jc w:val="left"/>
            </w:pPr>
            <w:r/>
            <w:r>
              <w:rPr>
                <w:rFonts w:ascii="Times New Roman" w:hAnsi="Times New Roman" w:cs="Times New Roman"/>
                <w:rFonts w:ascii="Times New Roman" w:hAnsi="Times New Roman"/>
                <w:b w:val="0"/>
                <w:i w:val="0"/>
                <w:sz w:val="24"/>
              </w:rPr>
              <w:t>Umsatz/Mitarbeiter, EBIT-Marge, Materialquote</w:t>
            </w:r>
          </w:p>
        </w:tc>
        <w:tc>
          <w:tcPr>
            <w:tcW w:type="dxa" w:w="2551"/>
          </w:tcPr>
          <w:p>
            <w:pPr>
              <w:jc w:val="left"/>
            </w:pPr>
            <w:r/>
            <w:r>
              <w:rPr>
                <w:rFonts w:ascii="Times New Roman" w:hAnsi="Times New Roman" w:cs="Times New Roman"/>
                <w:rFonts w:ascii="Times New Roman" w:hAnsi="Times New Roman"/>
                <w:b w:val="0"/>
                <w:i w:val="0"/>
                <w:sz w:val="24"/>
              </w:rPr>
              <w:t>Jahresbericht, Creditreform</w:t>
            </w:r>
          </w:p>
        </w:tc>
      </w:tr>
      <w:tr>
        <w:tc>
          <w:tcPr>
            <w:tcW w:type="dxa" w:w="2268"/>
          </w:tcPr>
          <w:p>
            <w:pPr>
              <w:jc w:val="left"/>
            </w:pPr>
            <w:r/>
            <w:r>
              <w:rPr>
                <w:rFonts w:ascii="Times New Roman" w:hAnsi="Times New Roman" w:cs="Times New Roman"/>
                <w:rFonts w:ascii="Times New Roman" w:hAnsi="Times New Roman"/>
                <w:b w:val="0"/>
                <w:i w:val="0"/>
                <w:sz w:val="24"/>
              </w:rPr>
              <w:t>Leistung &amp; Portfolio</w:t>
            </w:r>
          </w:p>
        </w:tc>
        <w:tc>
          <w:tcPr>
            <w:tcW w:type="dxa" w:w="3685"/>
          </w:tcPr>
          <w:p>
            <w:pPr>
              <w:jc w:val="left"/>
            </w:pPr>
            <w:r/>
            <w:r>
              <w:rPr>
                <w:rFonts w:ascii="Times New Roman" w:hAnsi="Times New Roman" w:cs="Times New Roman"/>
                <w:rFonts w:ascii="Times New Roman" w:hAnsi="Times New Roman"/>
                <w:b w:val="0"/>
                <w:i w:val="0"/>
                <w:sz w:val="24"/>
              </w:rPr>
              <w:t>Produktbreite, Technologiereife, Zertifizierungen</w:t>
            </w:r>
          </w:p>
        </w:tc>
        <w:tc>
          <w:tcPr>
            <w:tcW w:type="dxa" w:w="2551"/>
          </w:tcPr>
          <w:p>
            <w:pPr>
              <w:jc w:val="left"/>
            </w:pPr>
            <w:r/>
            <w:r>
              <w:rPr>
                <w:rFonts w:ascii="Times New Roman" w:hAnsi="Times New Roman" w:cs="Times New Roman"/>
                <w:rFonts w:ascii="Times New Roman" w:hAnsi="Times New Roman"/>
                <w:b w:val="0"/>
                <w:i w:val="0"/>
                <w:sz w:val="24"/>
              </w:rPr>
              <w:t>Websites, Experteninterviews</w:t>
            </w:r>
          </w:p>
        </w:tc>
      </w:tr>
      <w:tr>
        <w:tc>
          <w:tcPr>
            <w:tcW w:type="dxa" w:w="2268"/>
          </w:tcPr>
          <w:p>
            <w:pPr>
              <w:jc w:val="left"/>
            </w:pPr>
            <w:r/>
            <w:r>
              <w:rPr>
                <w:rFonts w:ascii="Times New Roman" w:hAnsi="Times New Roman" w:cs="Times New Roman"/>
                <w:rFonts w:ascii="Times New Roman" w:hAnsi="Times New Roman"/>
                <w:b w:val="0"/>
                <w:i w:val="0"/>
                <w:sz w:val="24"/>
              </w:rPr>
              <w:t>Strategie &amp; Innovation</w:t>
            </w:r>
          </w:p>
        </w:tc>
        <w:tc>
          <w:tcPr>
            <w:tcW w:type="dxa" w:w="3685"/>
          </w:tcPr>
          <w:p>
            <w:pPr>
              <w:jc w:val="left"/>
            </w:pPr>
            <w:r/>
            <w:r>
              <w:rPr>
                <w:rFonts w:ascii="Times New Roman" w:hAnsi="Times New Roman" w:cs="Times New Roman"/>
                <w:rFonts w:ascii="Times New Roman" w:hAnsi="Times New Roman"/>
                <w:b w:val="0"/>
                <w:i w:val="0"/>
                <w:sz w:val="24"/>
              </w:rPr>
              <w:t>F&amp;E-Quote, Patentanzahl, Digitalisierungsgrad</w:t>
            </w:r>
          </w:p>
        </w:tc>
        <w:tc>
          <w:tcPr>
            <w:tcW w:type="dxa" w:w="2551"/>
          </w:tcPr>
          <w:p>
            <w:pPr>
              <w:jc w:val="left"/>
            </w:pPr>
            <w:r/>
            <w:r>
              <w:rPr>
                <w:rFonts w:ascii="Times New Roman" w:hAnsi="Times New Roman" w:cs="Times New Roman"/>
                <w:rFonts w:ascii="Times New Roman" w:hAnsi="Times New Roman"/>
                <w:b w:val="0"/>
                <w:i w:val="0"/>
                <w:sz w:val="24"/>
              </w:rPr>
              <w:t>Geschäftsberichte, Fachpresse</w:t>
            </w:r>
          </w:p>
        </w:tc>
      </w:tr>
    </w:tbl>
    <w:p/>
    <w:p>
      <w:pPr>
        <w:spacing w:before="0" w:after="120" w:line="360" w:lineRule="exact"/>
        <w:jc w:val="both"/>
      </w:pPr>
      <w:r>
        <w:rPr>
          <w:rFonts w:ascii="Times New Roman" w:hAnsi="Times New Roman" w:cs="Times New Roman"/>
          <w:rFonts w:ascii="Times New Roman" w:hAnsi="Times New Roman"/>
          <w:b w:val="0"/>
          <w:i w:val="0"/>
          <w:sz w:val="24"/>
        </w:rPr>
        <w:t>Die Gap-Analyse vergleicht die Ist-Werte von Schaeffler SMB mit den ermittelten Benchmarkwerten der Vergleichsunternehmen. Gaps werden sowohl absolut als auch prozentual ausgewiesen. Zur Priorisierung der identifizierten Lücken wird eine Relevanzbewertung anhand der Kriterien strategische Bedeutung und Schließbarkeit vorgenommen (Watson, 1993, S. 84).</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4.6  Grenzen der Untersuchung</w:t>
      </w:r>
    </w:p>
    <w:p>
      <w:pPr>
        <w:spacing w:before="0" w:after="120" w:line="360" w:lineRule="exact"/>
        <w:jc w:val="both"/>
      </w:pPr>
      <w:r>
        <w:rPr>
          <w:rFonts w:ascii="Times New Roman" w:hAnsi="Times New Roman" w:cs="Times New Roman"/>
          <w:rFonts w:ascii="Times New Roman" w:hAnsi="Times New Roman"/>
          <w:b w:val="0"/>
          <w:i w:val="0"/>
          <w:sz w:val="24"/>
        </w:rPr>
        <w:t>Die Methodik der vorliegenden Arbeit unterliegt verschiedenen Einschränkungen, die bei der Interpretation der Ergebnisse zu berücksichtigen sind.</w:t>
      </w:r>
    </w:p>
    <w:p>
      <w:pPr>
        <w:spacing w:before="0" w:after="120" w:line="360" w:lineRule="exact"/>
        <w:jc w:val="both"/>
      </w:pPr>
      <w:r>
        <w:rPr>
          <w:rFonts w:ascii="Times New Roman" w:hAnsi="Times New Roman" w:cs="Times New Roman"/>
          <w:rFonts w:ascii="Times New Roman" w:hAnsi="Times New Roman"/>
          <w:b w:val="0"/>
          <w:i w:val="0"/>
          <w:sz w:val="24"/>
        </w:rPr>
        <w:t>Erstens ist die Datenverfügbarkeit im Sondermaschinenbau strukturell begrenzt. Viele Unternehmen dieses Segments sind nicht börsennotiert und unterliegen keiner umfassenden Publizitätspflicht. Detaillierte operative Kennzahlen (z. B. Fertigungstiefe, Projektlaufzeiten) sind daher häufig nicht öffentlich zugänglich und mussten durch Schätzwerte oder Branchendurchschnitte approximiert werden (Spendolini, 1992, S. 79).</w:t>
      </w:r>
    </w:p>
    <w:p>
      <w:pPr>
        <w:spacing w:before="0" w:after="120" w:line="360" w:lineRule="exact"/>
        <w:jc w:val="both"/>
      </w:pPr>
      <w:r>
        <w:rPr>
          <w:rFonts w:ascii="Times New Roman" w:hAnsi="Times New Roman" w:cs="Times New Roman"/>
          <w:rFonts w:ascii="Times New Roman" w:hAnsi="Times New Roman"/>
          <w:b w:val="0"/>
          <w:i w:val="0"/>
          <w:sz w:val="24"/>
        </w:rPr>
        <w:t>Zweitens besteht eine inhärente Vergleichbarkeitsproblematik: Selbst Unternehmen derselben Branche unterscheiden sich hinsichtlich Fertigungstiefe, Kundenstruktur, regionaler Ausrichtung und Produktkomplexität so stark, dass ein direkter Kennzahlenvergleich stets relativiert werden muss. Die in Abschnitt 4.3 beschriebenen Normierungsmaßnahmen mildern dieses Problem, eliminieren es jedoch nicht vollständig.</w:t>
      </w:r>
    </w:p>
    <w:p>
      <w:pPr>
        <w:spacing w:before="0" w:after="120" w:line="360" w:lineRule="exact"/>
        <w:jc w:val="both"/>
      </w:pPr>
      <w:r>
        <w:rPr>
          <w:rFonts w:ascii="Times New Roman" w:hAnsi="Times New Roman" w:cs="Times New Roman"/>
          <w:rFonts w:ascii="Times New Roman" w:hAnsi="Times New Roman"/>
          <w:b w:val="0"/>
          <w:i w:val="0"/>
          <w:sz w:val="24"/>
        </w:rPr>
        <w:t>Drittens ist der Erhebungszeitraum auf das Geschäftsjahr 2023/2024 beschränkt. Angesichts der hohen Dynamik im deutschen Maschinenbau – geprägt durch geopolitische Verwerfungen, Energiepreisschocks und Nachfrageeinbrüche aus China – können die Ergebnisse eine eingeschränkte zeitliche Gültigkeit aufweisen (VDMA, 2024, S. 5).</w:t>
      </w:r>
    </w:p>
    <w:p>
      <w:pPr>
        <w:spacing w:before="0" w:after="120" w:line="360" w:lineRule="exact"/>
        <w:jc w:val="both"/>
      </w:pPr>
      <w:r>
        <w:rPr>
          <w:rFonts w:ascii="Times New Roman" w:hAnsi="Times New Roman" w:cs="Times New Roman"/>
          <w:rFonts w:ascii="Times New Roman" w:hAnsi="Times New Roman"/>
          <w:b w:val="0"/>
          <w:i w:val="0"/>
          <w:sz w:val="24"/>
        </w:rPr>
        <w:t>Viertens basieren qualitative Einschätzungen teilweise auf Expertenmeinungen innerhalb von Schaeffler SMB, die naturgemäß eine unternehmensinterne Perspektive widerspiegeln. Eine vollständig externe Validierung aller qualitativen Bewertungen war im Rahmen dieser Projektarbeit nicht möglich.</w:t>
      </w:r>
    </w:p>
    <w:p>
      <w:pPr>
        <w:spacing w:before="120" w:after="120"/>
      </w:pPr>
      <w:r>
        <w:rPr>
          <w:rFonts w:ascii="Times New Roman" w:hAnsi="Times New Roman"/>
          <w:color w:val="CCCCCC"/>
          <w:sz w:val="16"/>
        </w:rPr>
        <w:t>────────────────────────────────────────────────────────────────────────────────</w:t>
      </w:r>
    </w:p>
    <w:p>
      <w:pPr>
        <w:spacing w:before="360" w:after="120" w:line="360" w:lineRule="exact"/>
      </w:pPr>
      <w:r>
        <w:rPr>
          <w:rFonts w:ascii="Times New Roman" w:hAnsi="Times New Roman" w:cs="Times New Roman"/>
          <w:rFonts w:ascii="Times New Roman" w:hAnsi="Times New Roman"/>
          <w:b/>
          <w:i w:val="0"/>
          <w:sz w:val="28"/>
        </w:rPr>
        <w:t>Literaturverzeichnis (Kapitel 4)</w:t>
      </w:r>
    </w:p>
    <w:p>
      <w:pPr>
        <w:spacing w:after="80" w:line="360" w:lineRule="exact"/>
        <w:ind w:left="709" w:hanging="709"/>
      </w:pPr>
      <w:r>
        <w:rPr>
          <w:rFonts w:ascii="Times New Roman" w:hAnsi="Times New Roman" w:cs="Times New Roman"/>
          <w:rFonts w:ascii="Times New Roman" w:hAnsi="Times New Roman"/>
          <w:b w:val="0"/>
          <w:i w:val="0"/>
          <w:sz w:val="24"/>
        </w:rPr>
        <w:t>Bortz, J., &amp; Döring, N. (2016). Forschungsmethoden und Evaluation für Human- und Sozialwissenschaftler (5., überarb. Aufl.). Springer.</w:t>
      </w:r>
    </w:p>
    <w:p>
      <w:pPr>
        <w:spacing w:after="80" w:line="360" w:lineRule="exact"/>
        <w:ind w:left="709" w:hanging="709"/>
      </w:pPr>
      <w:r>
        <w:rPr>
          <w:rFonts w:ascii="Times New Roman" w:hAnsi="Times New Roman" w:cs="Times New Roman"/>
          <w:rFonts w:ascii="Times New Roman" w:hAnsi="Times New Roman"/>
          <w:b w:val="0"/>
          <w:i w:val="0"/>
          <w:sz w:val="24"/>
        </w:rPr>
        <w:t>Camp, R. C. (1994). Benchmarking: The Search for Industry Best Practices that Lead to Superior Performance. ASQC Quality Press.</w:t>
      </w:r>
    </w:p>
    <w:p>
      <w:pPr>
        <w:spacing w:after="80" w:line="360" w:lineRule="exact"/>
        <w:ind w:left="709" w:hanging="709"/>
      </w:pPr>
      <w:r>
        <w:rPr>
          <w:rFonts w:ascii="Times New Roman" w:hAnsi="Times New Roman" w:cs="Times New Roman"/>
          <w:rFonts w:ascii="Times New Roman" w:hAnsi="Times New Roman"/>
          <w:b w:val="0"/>
          <w:i w:val="0"/>
          <w:sz w:val="24"/>
        </w:rPr>
        <w:t>Fraunhofer IZB. (2023). Benchmarking im Mittelstand: Das Fraunhofer-Modell. Fraunhofer-Institut für Zuverlässigkeit und Mikrointegration.</w:t>
      </w:r>
    </w:p>
    <w:p>
      <w:pPr>
        <w:spacing w:after="80" w:line="360" w:lineRule="exact"/>
        <w:ind w:left="709" w:hanging="709"/>
      </w:pPr>
      <w:r>
        <w:rPr>
          <w:rFonts w:ascii="Times New Roman" w:hAnsi="Times New Roman" w:cs="Times New Roman"/>
          <w:rFonts w:ascii="Times New Roman" w:hAnsi="Times New Roman"/>
          <w:b w:val="0"/>
          <w:i w:val="0"/>
          <w:sz w:val="24"/>
        </w:rPr>
        <w:t>Spendolini, M. J. (1992). The Benchmarking Book. AMACOM.</w:t>
      </w:r>
    </w:p>
    <w:p>
      <w:pPr>
        <w:spacing w:after="80" w:line="360" w:lineRule="exact"/>
        <w:ind w:left="709" w:hanging="709"/>
      </w:pPr>
      <w:r>
        <w:rPr>
          <w:rFonts w:ascii="Times New Roman" w:hAnsi="Times New Roman" w:cs="Times New Roman"/>
          <w:rFonts w:ascii="Times New Roman" w:hAnsi="Times New Roman"/>
          <w:b w:val="0"/>
          <w:i w:val="0"/>
          <w:sz w:val="24"/>
        </w:rPr>
        <w:t>VDMA. (2024). Maschinenbau in Zahl und Bild 2024. Verband Deutscher Maschinen- und Anlagenbau e. V.</w:t>
      </w:r>
    </w:p>
    <w:p>
      <w:pPr>
        <w:spacing w:after="80" w:line="360" w:lineRule="exact"/>
        <w:ind w:left="709" w:hanging="709"/>
      </w:pPr>
      <w:r>
        <w:rPr>
          <w:rFonts w:ascii="Times New Roman" w:hAnsi="Times New Roman" w:cs="Times New Roman"/>
          <w:rFonts w:ascii="Times New Roman" w:hAnsi="Times New Roman"/>
          <w:b w:val="0"/>
          <w:i w:val="0"/>
          <w:sz w:val="24"/>
        </w:rPr>
        <w:t>Watson, G. H. (1993). Strategic Benchmarking: How to Rate Your Company's Performance Against the World's Best. Wiley.</w:t>
      </w:r>
    </w:p>
    <w:p>
      <w:pPr>
        <w:spacing w:after="80" w:line="360" w:lineRule="exact"/>
        <w:ind w:left="709" w:hanging="709"/>
      </w:pPr>
      <w:r>
        <w:rPr>
          <w:rFonts w:ascii="Times New Roman" w:hAnsi="Times New Roman" w:cs="Times New Roman"/>
          <w:rFonts w:ascii="Times New Roman" w:hAnsi="Times New Roman"/>
          <w:b w:val="0"/>
          <w:i w:val="0"/>
          <w:sz w:val="24"/>
        </w:rPr>
        <w:t>Yin, R. K. (2018). Case Study Research and Applications: Design and Methods (6th ed.). SAGE Publications.</w:t>
      </w:r>
    </w:p>
    <w:sectPr w:rsidR="00FC693F" w:rsidRPr="0006063C" w:rsidSect="00034616">
      <w:pgSz w:w="11906" w:h="16838"/>
      <w:pgMar w:top="1417"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