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00" w:after="160"/>
      </w:pPr>
      <w:r>
        <w:rPr>
          <w:rFonts w:ascii="Times New Roman" w:hAnsi="Times New Roman"/>
          <w:b/>
          <w:color w:val="000000"/>
          <w:sz w:val="28"/>
        </w:rPr>
        <w:t>Theoretische Grundlagen der Analysemethoden – Kapitel 3</w:t>
      </w:r>
    </w:p>
    <w:p>
      <w:pPr>
        <w:spacing w:after="120"/>
        <w:jc w:val="both"/>
      </w:pPr>
      <w:r>
        <w:rPr>
          <w:rFonts w:ascii="Times New Roman" w:hAnsi="Times New Roman"/>
          <w:sz w:val="24"/>
        </w:rPr>
        <w:t>Das vorliegende Kapitel legt die methodisch-theoretische Basis für die in Kapitel 3 eingesetzten Analyseinstrumente. Für jedes Instrument werden Herkunft, konzeptionelle Grundlage und Auswertungslogik erläutert, um die spätere Anwendung auf das Unternehmen und seine Branche intersubjektiv nachvollziehbar zu machen.</w:t>
      </w:r>
    </w:p>
    <w:p>
      <w:pPr>
        <w:spacing w:before="280" w:after="280"/>
        <w:jc w:val="center"/>
      </w:pPr>
      <w:r>
        <w:rPr>
          <w:rFonts w:ascii="Times New Roman" w:hAnsi="Times New Roman"/>
          <w:color w:val="969696"/>
          <w:sz w:val="16"/>
        </w:rPr>
        <w:t>────────────────────────────────────────────────────────────────────────────────</w:t>
      </w:r>
    </w:p>
    <w:p>
      <w:pPr>
        <w:pStyle w:val="Heading2"/>
        <w:spacing w:before="320" w:after="120"/>
      </w:pPr>
      <w:r>
        <w:rPr>
          <w:rFonts w:ascii="Times New Roman" w:hAnsi="Times New Roman"/>
          <w:b/>
          <w:color w:val="000000"/>
          <w:sz w:val="26"/>
        </w:rPr>
        <w:t>PESTEL-Analyse</w:t>
      </w:r>
    </w:p>
    <w:p>
      <w:pPr>
        <w:spacing w:after="120"/>
        <w:jc w:val="both"/>
      </w:pPr>
      <w:r>
        <w:rPr>
          <w:rFonts w:ascii="Times New Roman" w:hAnsi="Times New Roman"/>
          <w:sz w:val="24"/>
        </w:rPr>
        <w:t>Die PESTEL-Analyse ist ein Framework zur strukturierten Erfassung der makroökonomischen Umwelt, in der ein Unternehmen oder eine Branche operiert. Ihr Ursprung liegt in der Arbeit von Francis Aguilar, der 1967 in „Scanning the Business Environment“ erstmals eine systematische Kategorisierung externer Einflussfaktoren vorschlug (ETPS: Economic, Technical, Political, Social). Das Akronym wurde in der Folge zu PEST umgestellt und schrittweise um die Kategorien Environmental (Ö) und Legal (L) ergänzt, um wachsenden ökologischen Regulierungsdruck und rechtliche Rahmenbedingungen eigenständig abzubilden (Whittington et al., 2024, [S. X]).</w:t>
      </w:r>
    </w:p>
    <w:p>
      <w:pPr>
        <w:spacing w:after="120"/>
        <w:jc w:val="both"/>
      </w:pPr>
      <w:r>
        <w:rPr>
          <w:rFonts w:ascii="Times New Roman" w:hAnsi="Times New Roman"/>
          <w:sz w:val="24"/>
        </w:rPr>
        <w:t>Der konzeptionelle Kern des Instruments liegt in der Unterscheidung zwischen der Mikroumwelt – dem direkt beeinflussbaren Wettbewerbs- und Marktumfeld – und der Makroumwelt, auf die das Unternehmen keinen unmittelbaren Einfluss hat, deren Kräfte jedoch seine strategischen Handlungsspielräume grundlegend bestimmen. PESTEL operiert ausschließlich auf der Makroebene und liefert damit den Kontext, in dem Branchenanalysen wie die Five Forces oder unternehmensinterne Analysen erst sinnvoll interpretiert werden können (Whittington et al., 2024, [S. X]).</w:t>
      </w:r>
    </w:p>
    <w:p>
      <w:pPr>
        <w:pStyle w:val="Heading3"/>
        <w:spacing w:before="200" w:after="80"/>
      </w:pPr>
      <w:r>
        <w:rPr>
          <w:rFonts w:ascii="Times New Roman" w:hAnsi="Times New Roman"/>
          <w:b/>
          <w:color w:val="000000"/>
          <w:sz w:val="24"/>
        </w:rPr>
        <w:t>Aufbau und Auswertungslogik</w:t>
      </w:r>
    </w:p>
    <w:p>
      <w:pPr>
        <w:spacing w:after="120"/>
        <w:jc w:val="both"/>
      </w:pPr>
      <w:r>
        <w:rPr>
          <w:rFonts w:ascii="Times New Roman" w:hAnsi="Times New Roman"/>
          <w:sz w:val="24"/>
        </w:rPr>
        <w:t>Die Analyse folgt keinem starren Schema, sondern einer inhaltlichen Prüflogik: Für jede der sechs Dimensionen werden diejenigen Faktoren identifiziert, die für das konkrete Unternehmen oder die Branche tatsächlich entscheidungsrelevant sind. Whittington et al. (2024, [S. X]) warnen ausdrücklich vor einer vollständigen Enumeration aller denkbaren Faktoren, da dies die strategische Aussagekraft des Instruments verwässert. Stattdessen sollte jeder identifizierte Faktor hinsichtlich seiner Relevanz und seiner absehbaren Entwicklungsrichtung bewertet werden.</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0"/>
              </w:rPr>
              <w:t>Dimension</w:t>
            </w:r>
          </w:p>
        </w:tc>
        <w:tc>
          <w:tcPr>
            <w:tcW w:type="dxa" w:w="2929"/>
          </w:tcPr>
          <w:p>
            <w:pPr>
              <w:jc w:val="center"/>
            </w:pPr>
            <w:r>
              <w:rPr>
                <w:rFonts w:ascii="Times New Roman" w:hAnsi="Times New Roman"/>
                <w:b/>
                <w:sz w:val="20"/>
              </w:rPr>
              <w:t>Gegenstand</w:t>
            </w:r>
          </w:p>
        </w:tc>
        <w:tc>
          <w:tcPr>
            <w:tcW w:type="dxa" w:w="2929"/>
          </w:tcPr>
          <w:p>
            <w:pPr>
              <w:jc w:val="center"/>
            </w:pPr>
            <w:r>
              <w:rPr>
                <w:rFonts w:ascii="Times New Roman" w:hAnsi="Times New Roman"/>
                <w:b/>
                <w:sz w:val="20"/>
              </w:rPr>
              <w:t>Typische Analysefragen</w:t>
            </w:r>
          </w:p>
        </w:tc>
      </w:tr>
      <w:tr>
        <w:tc>
          <w:tcPr>
            <w:tcW w:type="dxa" w:w="2929"/>
          </w:tcPr>
          <w:p>
            <w:r>
              <w:rPr>
                <w:rFonts w:ascii="Times New Roman" w:hAnsi="Times New Roman"/>
                <w:sz w:val="20"/>
              </w:rPr>
              <w:t>Politisch (P)</w:t>
            </w:r>
          </w:p>
        </w:tc>
        <w:tc>
          <w:tcPr>
            <w:tcW w:type="dxa" w:w="2929"/>
          </w:tcPr>
          <w:p>
            <w:r>
              <w:rPr>
                <w:rFonts w:ascii="Times New Roman" w:hAnsi="Times New Roman"/>
                <w:sz w:val="20"/>
              </w:rPr>
              <w:t>Staatliche und überstaatliche Eingriffe, Handelspolitik, Subventionen</w:t>
            </w:r>
          </w:p>
        </w:tc>
        <w:tc>
          <w:tcPr>
            <w:tcW w:type="dxa" w:w="2929"/>
          </w:tcPr>
          <w:p>
            <w:r>
              <w:rPr>
                <w:rFonts w:ascii="Times New Roman" w:hAnsi="Times New Roman"/>
                <w:sz w:val="20"/>
              </w:rPr>
              <w:t>Welche Regulierungen oder politischen Entscheidungen beeinflussen die Branche? Gibt es Exportbeschränkungen?</w:t>
            </w:r>
          </w:p>
        </w:tc>
      </w:tr>
      <w:tr>
        <w:tc>
          <w:tcPr>
            <w:tcW w:type="dxa" w:w="2929"/>
          </w:tcPr>
          <w:p>
            <w:r>
              <w:rPr>
                <w:rFonts w:ascii="Times New Roman" w:hAnsi="Times New Roman"/>
                <w:sz w:val="20"/>
              </w:rPr>
              <w:t>Ökonomisch (E)</w:t>
            </w:r>
          </w:p>
        </w:tc>
        <w:tc>
          <w:tcPr>
            <w:tcW w:type="dxa" w:w="2929"/>
          </w:tcPr>
          <w:p>
            <w:r>
              <w:rPr>
                <w:rFonts w:ascii="Times New Roman" w:hAnsi="Times New Roman"/>
                <w:sz w:val="20"/>
              </w:rPr>
              <w:t>Konjunktur, Zinsen, Wechselkurse, Investitionsklima</w:t>
            </w:r>
          </w:p>
        </w:tc>
        <w:tc>
          <w:tcPr>
            <w:tcW w:type="dxa" w:w="2929"/>
          </w:tcPr>
          <w:p>
            <w:r>
              <w:rPr>
                <w:rFonts w:ascii="Times New Roman" w:hAnsi="Times New Roman"/>
                <w:sz w:val="20"/>
              </w:rPr>
              <w:t>In welchem Konjunkturzyklus befindet sich die Branche? Wie reagiert die Nachfrage auf Zinsschwankungen?</w:t>
            </w:r>
          </w:p>
        </w:tc>
      </w:tr>
      <w:tr>
        <w:tc>
          <w:tcPr>
            <w:tcW w:type="dxa" w:w="2929"/>
          </w:tcPr>
          <w:p>
            <w:r>
              <w:rPr>
                <w:rFonts w:ascii="Times New Roman" w:hAnsi="Times New Roman"/>
                <w:sz w:val="20"/>
              </w:rPr>
              <w:t>Sozio-kulturell (S)</w:t>
            </w:r>
          </w:p>
        </w:tc>
        <w:tc>
          <w:tcPr>
            <w:tcW w:type="dxa" w:w="2929"/>
          </w:tcPr>
          <w:p>
            <w:r>
              <w:rPr>
                <w:rFonts w:ascii="Times New Roman" w:hAnsi="Times New Roman"/>
                <w:sz w:val="20"/>
              </w:rPr>
              <w:t>Demografischer Wandel, Wertewandel, Arbeitskräfteangebot</w:t>
            </w:r>
          </w:p>
        </w:tc>
        <w:tc>
          <w:tcPr>
            <w:tcW w:type="dxa" w:w="2929"/>
          </w:tcPr>
          <w:p>
            <w:r>
              <w:rPr>
                <w:rFonts w:ascii="Times New Roman" w:hAnsi="Times New Roman"/>
                <w:sz w:val="20"/>
              </w:rPr>
              <w:t>Verändert sich die Verfügbarkeit qualifizierter Arbeitskräfte? Wie wandeln sich Kundenpräferenzen?</w:t>
            </w:r>
          </w:p>
        </w:tc>
      </w:tr>
      <w:tr>
        <w:tc>
          <w:tcPr>
            <w:tcW w:type="dxa" w:w="2929"/>
          </w:tcPr>
          <w:p>
            <w:r>
              <w:rPr>
                <w:rFonts w:ascii="Times New Roman" w:hAnsi="Times New Roman"/>
                <w:sz w:val="20"/>
              </w:rPr>
              <w:t>Technologisch (T)</w:t>
            </w:r>
          </w:p>
        </w:tc>
        <w:tc>
          <w:tcPr>
            <w:tcW w:type="dxa" w:w="2929"/>
          </w:tcPr>
          <w:p>
            <w:r>
              <w:rPr>
                <w:rFonts w:ascii="Times New Roman" w:hAnsi="Times New Roman"/>
                <w:sz w:val="20"/>
              </w:rPr>
              <w:t>Innovationsgeschwindigkeit, Digitalisierung, neue Produktionstechnologien</w:t>
            </w:r>
          </w:p>
        </w:tc>
        <w:tc>
          <w:tcPr>
            <w:tcW w:type="dxa" w:w="2929"/>
          </w:tcPr>
          <w:p>
            <w:r>
              <w:rPr>
                <w:rFonts w:ascii="Times New Roman" w:hAnsi="Times New Roman"/>
                <w:sz w:val="20"/>
              </w:rPr>
              <w:t>Welche Technologien könnten bestehende Geschäftsmodelle verdrängen oder neue ermöglichen?</w:t>
            </w:r>
          </w:p>
        </w:tc>
      </w:tr>
      <w:tr>
        <w:tc>
          <w:tcPr>
            <w:tcW w:type="dxa" w:w="2929"/>
          </w:tcPr>
          <w:p>
            <w:r>
              <w:rPr>
                <w:rFonts w:ascii="Times New Roman" w:hAnsi="Times New Roman"/>
                <w:sz w:val="20"/>
              </w:rPr>
              <w:t>Ökologisch (E)</w:t>
            </w:r>
          </w:p>
        </w:tc>
        <w:tc>
          <w:tcPr>
            <w:tcW w:type="dxa" w:w="2929"/>
          </w:tcPr>
          <w:p>
            <w:r>
              <w:rPr>
                <w:rFonts w:ascii="Times New Roman" w:hAnsi="Times New Roman"/>
                <w:sz w:val="20"/>
              </w:rPr>
              <w:t>Klimaregulierung, Ressourcenverfügbarkeit, Nachhaltigkeitsanforderungen</w:t>
            </w:r>
          </w:p>
        </w:tc>
        <w:tc>
          <w:tcPr>
            <w:tcW w:type="dxa" w:w="2929"/>
          </w:tcPr>
          <w:p>
            <w:r>
              <w:rPr>
                <w:rFonts w:ascii="Times New Roman" w:hAnsi="Times New Roman"/>
                <w:sz w:val="20"/>
              </w:rPr>
              <w:t>Welche Umweltauflagen gelten? Wie verändert sich der regulatorische Druck auf Energieverbrauch?</w:t>
            </w:r>
          </w:p>
        </w:tc>
      </w:tr>
      <w:tr>
        <w:tc>
          <w:tcPr>
            <w:tcW w:type="dxa" w:w="2929"/>
          </w:tcPr>
          <w:p>
            <w:r>
              <w:rPr>
                <w:rFonts w:ascii="Times New Roman" w:hAnsi="Times New Roman"/>
                <w:sz w:val="20"/>
              </w:rPr>
              <w:t>Legal (L)</w:t>
            </w:r>
          </w:p>
        </w:tc>
        <w:tc>
          <w:tcPr>
            <w:tcW w:type="dxa" w:w="2929"/>
          </w:tcPr>
          <w:p>
            <w:r>
              <w:rPr>
                <w:rFonts w:ascii="Times New Roman" w:hAnsi="Times New Roman"/>
                <w:sz w:val="20"/>
              </w:rPr>
              <w:t>Gesetzgebung, Normen, Haftungsrecht, Compliance</w:t>
            </w:r>
          </w:p>
        </w:tc>
        <w:tc>
          <w:tcPr>
            <w:tcW w:type="dxa" w:w="2929"/>
          </w:tcPr>
          <w:p>
            <w:r>
              <w:rPr>
                <w:rFonts w:ascii="Times New Roman" w:hAnsi="Times New Roman"/>
                <w:sz w:val="20"/>
              </w:rPr>
              <w:t>Welche Gesetze und Normen sind für Produkt, Vertrieb und Betrieb relevant?</w:t>
            </w:r>
          </w:p>
        </w:tc>
      </w:tr>
    </w:tbl>
    <w:p>
      <w:pPr>
        <w:spacing w:before="40" w:after="200"/>
        <w:jc w:val="left"/>
      </w:pPr>
      <w:r>
        <w:rPr>
          <w:rFonts w:ascii="Times New Roman" w:hAnsi="Times New Roman"/>
          <w:i/>
          <w:sz w:val="20"/>
        </w:rPr>
        <w:t>Tabelle T.1: PESTEL-Dimensionen und Analysefragen. Quelle: Eigene Darstellung in Anlehnung an Whittington et al. (2024, [S. X]).</w:t>
      </w:r>
    </w:p>
    <w:p>
      <w:pPr>
        <w:spacing w:after="120"/>
        <w:jc w:val="both"/>
      </w:pPr>
      <w:r>
        <w:rPr>
          <w:rFonts w:ascii="Times New Roman" w:hAnsi="Times New Roman"/>
          <w:sz w:val="24"/>
        </w:rPr>
        <w:t>Die Ergebnisse der PESTEL-Analyse werden üblicherweise als externe Eingangsgröße in die SWOT-Analyse überführt: Makrofaktoren mit positivem Einfluss auf das Unternehmen gehen als Chancen (O), solche mit negativem Einfluss als Risiken (T) in die SWOT-Matrix ein.</w:t>
      </w:r>
    </w:p>
    <w:p>
      <w:pPr>
        <w:spacing w:before="280" w:after="280"/>
        <w:jc w:val="center"/>
      </w:pPr>
      <w:r>
        <w:rPr>
          <w:rFonts w:ascii="Times New Roman" w:hAnsi="Times New Roman"/>
          <w:color w:val="969696"/>
          <w:sz w:val="16"/>
        </w:rPr>
        <w:t>────────────────────────────────────────────────────────────────────────────────</w:t>
      </w:r>
    </w:p>
    <w:p>
      <w:pPr>
        <w:pStyle w:val="Heading2"/>
        <w:spacing w:before="320" w:after="120"/>
      </w:pPr>
      <w:r>
        <w:rPr>
          <w:rFonts w:ascii="Times New Roman" w:hAnsi="Times New Roman"/>
          <w:b/>
          <w:color w:val="000000"/>
          <w:sz w:val="26"/>
        </w:rPr>
        <w:t>Branchenstrukturanalyse nach Porter – Five Forces</w:t>
      </w:r>
    </w:p>
    <w:p>
      <w:pPr>
        <w:spacing w:after="120"/>
        <w:jc w:val="both"/>
      </w:pPr>
      <w:r>
        <w:rPr>
          <w:rFonts w:ascii="Times New Roman" w:hAnsi="Times New Roman"/>
          <w:sz w:val="24"/>
        </w:rPr>
        <w:t>Michael E. Porter entwickelte das Fünf-Kräfte-Modell 1980 in „Competitive Strategy: Techniques for Analyzing Industries and Competitors“. Theoretisch fußt es auf dem Structure-Conduct-Performance-Paradigma der Harvard Industrial Organization: Die Struktur einer Branche bestimmt das Verhalten der Unternehmen darin, das wiederum deren Performance determiniert (Porter, 1980, [S. X]). Porter übertrug diesen industrieökonomischen Ansatz auf das strategische Management und machte ihn damit zum zentralen Instrument der Branchenanalyse. 2008 aktualisierte er das Modell in einem Grundlagenbeitrag im Harvard Business Review (Porter, 2008, S. 78).</w:t>
      </w:r>
    </w:p>
    <w:p>
      <w:pPr>
        <w:spacing w:after="120"/>
        <w:jc w:val="both"/>
      </w:pPr>
      <w:r>
        <w:rPr>
          <w:rFonts w:ascii="Times New Roman" w:hAnsi="Times New Roman"/>
          <w:sz w:val="24"/>
        </w:rPr>
        <w:t>Die Kernthese lautet: Die langfristige Rentabilität einer Branche wird nicht durch kurzfristige Marktentwicklungen bestimmt, sondern durch fünf strukturelle Kräfte, die gemeinsam den Wettbewerbsdruck und damit das Gewinnpotenzial der Branchenanbieter determinieren (Porter, 2008, S. 79). Das Modell beantwortet damit die Frage, warum manche Branchen dauerhaft profitabler sind als andere – unabhängig von der Leistung einzelner Unternehmen.</w:t>
      </w:r>
    </w:p>
    <w:p>
      <w:pPr>
        <w:pStyle w:val="Heading3"/>
        <w:spacing w:before="200" w:after="80"/>
      </w:pPr>
      <w:r>
        <w:rPr>
          <w:rFonts w:ascii="Times New Roman" w:hAnsi="Times New Roman"/>
          <w:b/>
          <w:color w:val="000000"/>
          <w:sz w:val="24"/>
        </w:rPr>
        <w:t>Die fünf Kräfte</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0"/>
              </w:rPr>
              <w:t>Kraft</w:t>
            </w:r>
          </w:p>
        </w:tc>
        <w:tc>
          <w:tcPr>
            <w:tcW w:type="dxa" w:w="2929"/>
          </w:tcPr>
          <w:p>
            <w:pPr>
              <w:jc w:val="center"/>
            </w:pPr>
            <w:r>
              <w:rPr>
                <w:rFonts w:ascii="Times New Roman" w:hAnsi="Times New Roman"/>
                <w:b/>
                <w:sz w:val="20"/>
              </w:rPr>
              <w:t>Definition</w:t>
            </w:r>
          </w:p>
        </w:tc>
        <w:tc>
          <w:tcPr>
            <w:tcW w:type="dxa" w:w="2929"/>
          </w:tcPr>
          <w:p>
            <w:pPr>
              <w:jc w:val="center"/>
            </w:pPr>
            <w:r>
              <w:rPr>
                <w:rFonts w:ascii="Times New Roman" w:hAnsi="Times New Roman"/>
                <w:b/>
                <w:sz w:val="20"/>
              </w:rPr>
              <w:t>Einflussfaktoren</w:t>
            </w:r>
          </w:p>
        </w:tc>
      </w:tr>
      <w:tr>
        <w:tc>
          <w:tcPr>
            <w:tcW w:type="dxa" w:w="2929"/>
          </w:tcPr>
          <w:p>
            <w:r>
              <w:rPr>
                <w:rFonts w:ascii="Times New Roman" w:hAnsi="Times New Roman"/>
                <w:sz w:val="20"/>
              </w:rPr>
              <w:t>Rivalität der</w:t>
              <w:br/>
              <w:t>bestehenden</w:t>
              <w:br/>
              <w:t>Wettbewerber</w:t>
            </w:r>
          </w:p>
        </w:tc>
        <w:tc>
          <w:tcPr>
            <w:tcW w:type="dxa" w:w="2929"/>
          </w:tcPr>
          <w:p>
            <w:r>
              <w:rPr>
                <w:rFonts w:ascii="Times New Roman" w:hAnsi="Times New Roman"/>
                <w:sz w:val="20"/>
              </w:rPr>
              <w:t>Intensität des direkten Wettbewerbs unter den etablierten Anbietern</w:t>
            </w:r>
          </w:p>
        </w:tc>
        <w:tc>
          <w:tcPr>
            <w:tcW w:type="dxa" w:w="2929"/>
          </w:tcPr>
          <w:p>
            <w:r>
              <w:rPr>
                <w:rFonts w:ascii="Times New Roman" w:hAnsi="Times New Roman"/>
                <w:sz w:val="20"/>
              </w:rPr>
              <w:t>Anzahl und Größe der Wettbewerber, Marktwachstum, Produktdifferenzierung, Wechselkosten, Austrittsbarrieren</w:t>
            </w:r>
          </w:p>
        </w:tc>
      </w:tr>
      <w:tr>
        <w:tc>
          <w:tcPr>
            <w:tcW w:type="dxa" w:w="2929"/>
          </w:tcPr>
          <w:p>
            <w:r>
              <w:rPr>
                <w:rFonts w:ascii="Times New Roman" w:hAnsi="Times New Roman"/>
                <w:sz w:val="20"/>
              </w:rPr>
              <w:t>Verhandlungsmacht</w:t>
              <w:br/>
              <w:t>der Lieferanten</w:t>
            </w:r>
          </w:p>
        </w:tc>
        <w:tc>
          <w:tcPr>
            <w:tcW w:type="dxa" w:w="2929"/>
          </w:tcPr>
          <w:p>
            <w:r>
              <w:rPr>
                <w:rFonts w:ascii="Times New Roman" w:hAnsi="Times New Roman"/>
                <w:sz w:val="20"/>
              </w:rPr>
              <w:t>Fähigkeit der Lieferanten, Preise zu erhöhen oder Qualität zu senken</w:t>
            </w:r>
          </w:p>
        </w:tc>
        <w:tc>
          <w:tcPr>
            <w:tcW w:type="dxa" w:w="2929"/>
          </w:tcPr>
          <w:p>
            <w:r>
              <w:rPr>
                <w:rFonts w:ascii="Times New Roman" w:hAnsi="Times New Roman"/>
                <w:sz w:val="20"/>
              </w:rPr>
              <w:t>Konzentration der Lieferanten, Verfügbarkeit von Alternativen, Bedeutung des Abnehmers für den Lieferanten, Wechselkosten</w:t>
            </w:r>
          </w:p>
        </w:tc>
      </w:tr>
      <w:tr>
        <w:tc>
          <w:tcPr>
            <w:tcW w:type="dxa" w:w="2929"/>
          </w:tcPr>
          <w:p>
            <w:r>
              <w:rPr>
                <w:rFonts w:ascii="Times New Roman" w:hAnsi="Times New Roman"/>
                <w:sz w:val="20"/>
              </w:rPr>
              <w:t>Verhandlungsmacht</w:t>
              <w:br/>
              <w:t>der Kunden</w:t>
            </w:r>
          </w:p>
        </w:tc>
        <w:tc>
          <w:tcPr>
            <w:tcW w:type="dxa" w:w="2929"/>
          </w:tcPr>
          <w:p>
            <w:r>
              <w:rPr>
                <w:rFonts w:ascii="Times New Roman" w:hAnsi="Times New Roman"/>
                <w:sz w:val="20"/>
              </w:rPr>
              <w:t>Fähigkeit der Kunden, Preise zu drücken oder Mehrleistungen zu fordern</w:t>
            </w:r>
          </w:p>
        </w:tc>
        <w:tc>
          <w:tcPr>
            <w:tcW w:type="dxa" w:w="2929"/>
          </w:tcPr>
          <w:p>
            <w:r>
              <w:rPr>
                <w:rFonts w:ascii="Times New Roman" w:hAnsi="Times New Roman"/>
                <w:sz w:val="20"/>
              </w:rPr>
              <w:t>Konzentration der Kunden, Volumen, Produktstandardisierung, Wechselkosten, Rückwärtsintegrationspotenzial</w:t>
            </w:r>
          </w:p>
        </w:tc>
      </w:tr>
      <w:tr>
        <w:tc>
          <w:tcPr>
            <w:tcW w:type="dxa" w:w="2929"/>
          </w:tcPr>
          <w:p>
            <w:r>
              <w:rPr>
                <w:rFonts w:ascii="Times New Roman" w:hAnsi="Times New Roman"/>
                <w:sz w:val="20"/>
              </w:rPr>
              <w:t>Bedrohung durch</w:t>
              <w:br/>
              <w:t>Substitute</w:t>
            </w:r>
          </w:p>
        </w:tc>
        <w:tc>
          <w:tcPr>
            <w:tcW w:type="dxa" w:w="2929"/>
          </w:tcPr>
          <w:p>
            <w:r>
              <w:rPr>
                <w:rFonts w:ascii="Times New Roman" w:hAnsi="Times New Roman"/>
                <w:sz w:val="20"/>
              </w:rPr>
              <w:t>Gefahr, dass alternative Produkte oder Lösungen die Branchenleistung ersetzen</w:t>
            </w:r>
          </w:p>
        </w:tc>
        <w:tc>
          <w:tcPr>
            <w:tcW w:type="dxa" w:w="2929"/>
          </w:tcPr>
          <w:p>
            <w:r>
              <w:rPr>
                <w:rFonts w:ascii="Times New Roman" w:hAnsi="Times New Roman"/>
                <w:sz w:val="20"/>
              </w:rPr>
              <w:t>Preis-Leistungs-Verhältnis der Substitute, Wechselbereitschaft der Kunden, Technologiedynamik</w:t>
            </w:r>
          </w:p>
        </w:tc>
      </w:tr>
      <w:tr>
        <w:tc>
          <w:tcPr>
            <w:tcW w:type="dxa" w:w="2929"/>
          </w:tcPr>
          <w:p>
            <w:r>
              <w:rPr>
                <w:rFonts w:ascii="Times New Roman" w:hAnsi="Times New Roman"/>
                <w:sz w:val="20"/>
              </w:rPr>
              <w:t>Bedrohung durch</w:t>
              <w:br/>
              <w:t>Neueintreter</w:t>
            </w:r>
          </w:p>
        </w:tc>
        <w:tc>
          <w:tcPr>
            <w:tcW w:type="dxa" w:w="2929"/>
          </w:tcPr>
          <w:p>
            <w:r>
              <w:rPr>
                <w:rFonts w:ascii="Times New Roman" w:hAnsi="Times New Roman"/>
                <w:sz w:val="20"/>
              </w:rPr>
              <w:t>Gefahr, dass neue Anbieter in die Branche eintreten und Marktanteile gewinnen</w:t>
            </w:r>
          </w:p>
        </w:tc>
        <w:tc>
          <w:tcPr>
            <w:tcW w:type="dxa" w:w="2929"/>
          </w:tcPr>
          <w:p>
            <w:r>
              <w:rPr>
                <w:rFonts w:ascii="Times New Roman" w:hAnsi="Times New Roman"/>
                <w:sz w:val="20"/>
              </w:rPr>
              <w:t>Eintrittsbarrieren (Kapital, Know-how, Regulierung, Skaleneffekte, Markenidentität), Reaktion der Etablierten</w:t>
            </w:r>
          </w:p>
        </w:tc>
      </w:tr>
    </w:tbl>
    <w:p>
      <w:pPr>
        <w:spacing w:before="40" w:after="200"/>
        <w:jc w:val="left"/>
      </w:pPr>
      <w:r>
        <w:rPr>
          <w:rFonts w:ascii="Times New Roman" w:hAnsi="Times New Roman"/>
          <w:i/>
          <w:sz w:val="20"/>
        </w:rPr>
        <w:t>Tabelle T.2: Die fünf Wettbewerbskräfte nach Porter. Quelle: Eigene Darstellung in Anlehnung an Porter (1980, [S. X]); Porter (2008, S. 79–86).</w:t>
      </w:r>
    </w:p>
    <w:p>
      <w:pPr>
        <w:pStyle w:val="Heading3"/>
        <w:spacing w:before="200" w:after="80"/>
      </w:pPr>
      <w:r>
        <w:rPr>
          <w:rFonts w:ascii="Times New Roman" w:hAnsi="Times New Roman"/>
          <w:b/>
          <w:color w:val="000000"/>
          <w:sz w:val="24"/>
        </w:rPr>
        <w:t>Auswertungslogik</w:t>
      </w:r>
    </w:p>
    <w:p>
      <w:pPr>
        <w:spacing w:after="120"/>
        <w:jc w:val="both"/>
      </w:pPr>
      <w:r>
        <w:rPr>
          <w:rFonts w:ascii="Times New Roman" w:hAnsi="Times New Roman"/>
          <w:sz w:val="24"/>
        </w:rPr>
        <w:t>Jede der fünf Kräfte wird anhand branchenspezifischer Indikatoren auf einer qualitativen Skala (niedrig – mittel – hoch) bewertet. Abschließend werden die Einzelbewertungen zu einem Gesamturteil über die Branchenattraktivität synthetisiert: Je stärker die Kräfte insgesamt wirken, desto geringer ist das strukturelle Gewinnpotenzial der Branche (Porter, 2008, S. 93). Porter (1980, [S. X]) betont, dass die Analyse auf die Branchenebene und nicht auf das Einzelunternehmen zielt – sie ist damit Voraussetzung, aber nicht Ersatz für die Wettbewerbsanalyse auf Unternehmensebene.</w:t>
      </w:r>
    </w:p>
    <w:p>
      <w:pPr>
        <w:spacing w:before="280" w:after="280"/>
        <w:jc w:val="center"/>
      </w:pPr>
      <w:r>
        <w:rPr>
          <w:rFonts w:ascii="Times New Roman" w:hAnsi="Times New Roman"/>
          <w:color w:val="969696"/>
          <w:sz w:val="16"/>
        </w:rPr>
        <w:t>────────────────────────────────────────────────────────────────────────────────</w:t>
      </w:r>
    </w:p>
    <w:p>
      <w:pPr>
        <w:pStyle w:val="Heading2"/>
        <w:spacing w:before="320" w:after="120"/>
      </w:pPr>
      <w:r>
        <w:rPr>
          <w:rFonts w:ascii="Times New Roman" w:hAnsi="Times New Roman"/>
          <w:b/>
          <w:color w:val="000000"/>
          <w:sz w:val="26"/>
        </w:rPr>
        <w:t>Konzept der Strategischen Gruppen</w:t>
      </w:r>
    </w:p>
    <w:p>
      <w:pPr>
        <w:spacing w:after="120"/>
        <w:jc w:val="both"/>
      </w:pPr>
      <w:r>
        <w:rPr>
          <w:rFonts w:ascii="Times New Roman" w:hAnsi="Times New Roman"/>
          <w:sz w:val="24"/>
        </w:rPr>
        <w:t>Das Konzept der strategischen Gruppen wurde von Michael E. Porter (1980) in „Competitive Strategy“ eingeführt und basiert auf frühen industrieökonomischen Arbeiten von Hunt (1972), der Strukturheterogenität innerhalb von Branchen empirisch beobachtet hatte. Porter stellte fest, dass Unternehmen innerhalb einer Branche selten homogen konkurrieren, sondern sich in Clustern ähnlicher strategischer Ausrichtung zusammenfinden. Diese Cluster bezeichnet er als strategische Gruppen (Porter, 1980, [S. X]).</w:t>
      </w:r>
    </w:p>
    <w:p>
      <w:pPr>
        <w:spacing w:after="120"/>
        <w:jc w:val="both"/>
      </w:pPr>
      <w:r>
        <w:rPr>
          <w:rFonts w:ascii="Times New Roman" w:hAnsi="Times New Roman"/>
          <w:sz w:val="24"/>
        </w:rPr>
        <w:t>Eine strategische Gruppe ist definiert als eine Menge von Unternehmen, die innerhalb einer Branche dieselbe oder eine ähnliche Strategie entlang strategischer Dimensionen verfolgen (Porter, 1980, [S. X]). Der analytische Nutzen liegt darin, dass der Wettbewerb innerhalb einer strategischen Gruppe in der Regel intensiver ist als zwischen verschiedenen Gruppen, da die Unternehmen um dieselben Kunden mit ähnlichen Mitteln konkurrieren. Gleichzeitig werden durch die Kartierung strategische Lücken – unbesetzte Positionen im Wettbewerbsraum – sichtbar (Grant, 2024, [S. X]).</w:t>
      </w:r>
    </w:p>
    <w:p>
      <w:pPr>
        <w:pStyle w:val="Heading3"/>
        <w:spacing w:before="200" w:after="80"/>
      </w:pPr>
      <w:r>
        <w:rPr>
          <w:rFonts w:ascii="Times New Roman" w:hAnsi="Times New Roman"/>
          <w:b/>
          <w:color w:val="000000"/>
          <w:sz w:val="24"/>
        </w:rPr>
        <w:t>Strategic-Group-Map: Methodik</w:t>
      </w:r>
    </w:p>
    <w:p>
      <w:pPr>
        <w:spacing w:after="120"/>
        <w:jc w:val="both"/>
      </w:pPr>
      <w:r>
        <w:rPr>
          <w:rFonts w:ascii="Times New Roman" w:hAnsi="Times New Roman"/>
          <w:sz w:val="24"/>
        </w:rPr>
        <w:t>In einer Strategic-Group-Map werden Unternehmen anhand zweier strategisch relevanter Dimensionen in einem zweidimensionalen Raum verortet. Die Auswahl der Achsen ist entscheidend für die Aussagekraft der Karte: Sie sollte auf denjenigen Merkmalen basieren, die in der jeweiligen Branche die bedeutsamsten Differenzierungslinien darstellen – etwa Preisniveau und Produktbreite, geografische Reichweite und Spezialisierungsgrad oder Fertigungstiefe und Markenorientierung (Porter, 1980, [S. X]). Unternehmen, die in beiden Dimensionen ähnliche Positionen einnehmen, werden zu einer strategischen Gruppe zusammengefasst, die üblicherweise durch einen Kreis visualisiert wird, dessen Größe den relativen Marktanteil der Gruppe widerspiegelt.</w:t>
      </w:r>
    </w:p>
    <w:p>
      <w:pPr>
        <w:spacing w:before="280" w:after="280"/>
        <w:jc w:val="center"/>
      </w:pPr>
      <w:r>
        <w:rPr>
          <w:rFonts w:ascii="Times New Roman" w:hAnsi="Times New Roman"/>
          <w:color w:val="969696"/>
          <w:sz w:val="16"/>
        </w:rPr>
        <w:t>────────────────────────────────────────────────────────────────────────────────</w:t>
      </w:r>
    </w:p>
    <w:p>
      <w:pPr>
        <w:pStyle w:val="Heading2"/>
        <w:spacing w:before="320" w:after="120"/>
      </w:pPr>
      <w:r>
        <w:rPr>
          <w:rFonts w:ascii="Times New Roman" w:hAnsi="Times New Roman"/>
          <w:b/>
          <w:color w:val="000000"/>
          <w:sz w:val="26"/>
        </w:rPr>
        <w:t>Generische Wettbewerbsstrategien und Differenzierung nach Porter</w:t>
      </w:r>
    </w:p>
    <w:p>
      <w:pPr>
        <w:spacing w:after="120"/>
        <w:jc w:val="both"/>
      </w:pPr>
      <w:r>
        <w:rPr>
          <w:rFonts w:ascii="Times New Roman" w:hAnsi="Times New Roman"/>
          <w:sz w:val="24"/>
        </w:rPr>
        <w:t>Aufbauend auf der Branchenstrukturanalyse entwickelte Porter (1985) in „Competitive Advantage“ das Konzept der generischen Wettbewerbs-strategien. Es beantwortet die Frage, wie ein einzelnes Unternehmen innerhalb einer gegebenen Branchenstruktur eine überlegene Wettbewerbsposition aufbauen und verteidigen kann (Porter, 1985, [S. X]).</w:t>
      </w:r>
    </w:p>
    <w:p>
      <w:pPr>
        <w:spacing w:after="120"/>
        <w:jc w:val="both"/>
      </w:pPr>
      <w:r>
        <w:rPr>
          <w:rFonts w:ascii="Times New Roman" w:hAnsi="Times New Roman"/>
          <w:sz w:val="24"/>
        </w:rPr>
        <w:t>Porter unterscheidet grundlegend zwei Quellen von Wettbewerbsvorteilen: niedrigere Kosten als die Konkurrenz (Kostenführerschaft) oder einen wahrnehmbaren Mehrwert für den Kunden, für den dieser bereit ist, einen Aufpreis zu zahlen (Differenzierung). In Kombination mit dem angestrebten Marktumfang – breiter Massenmarkt oder fokussiertes Nischensegment – ergeben sich drei generische Strategien: Kostenführerschaft, Differenzierung und Fokus (Porter, 1985, [S. X]).</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0"/>
              </w:rPr>
              <w:t>Strategie</w:t>
            </w:r>
          </w:p>
        </w:tc>
        <w:tc>
          <w:tcPr>
            <w:tcW w:type="dxa" w:w="2929"/>
          </w:tcPr>
          <w:p>
            <w:pPr>
              <w:jc w:val="center"/>
            </w:pPr>
            <w:r>
              <w:rPr>
                <w:rFonts w:ascii="Times New Roman" w:hAnsi="Times New Roman"/>
                <w:b/>
                <w:sz w:val="20"/>
              </w:rPr>
              <w:t>Grundprinzip</w:t>
            </w:r>
          </w:p>
        </w:tc>
        <w:tc>
          <w:tcPr>
            <w:tcW w:type="dxa" w:w="2929"/>
          </w:tcPr>
          <w:p>
            <w:pPr>
              <w:jc w:val="center"/>
            </w:pPr>
            <w:r>
              <w:rPr>
                <w:rFonts w:ascii="Times New Roman" w:hAnsi="Times New Roman"/>
                <w:b/>
                <w:sz w:val="20"/>
              </w:rPr>
              <w:t>Voraussetzungen</w:t>
            </w:r>
          </w:p>
        </w:tc>
      </w:tr>
      <w:tr>
        <w:tc>
          <w:tcPr>
            <w:tcW w:type="dxa" w:w="2929"/>
          </w:tcPr>
          <w:p>
            <w:r>
              <w:rPr>
                <w:rFonts w:ascii="Times New Roman" w:hAnsi="Times New Roman"/>
                <w:sz w:val="20"/>
              </w:rPr>
              <w:t>Kostenführerschaft</w:t>
            </w:r>
          </w:p>
        </w:tc>
        <w:tc>
          <w:tcPr>
            <w:tcW w:type="dxa" w:w="2929"/>
          </w:tcPr>
          <w:p>
            <w:r>
              <w:rPr>
                <w:rFonts w:ascii="Times New Roman" w:hAnsi="Times New Roman"/>
                <w:sz w:val="20"/>
              </w:rPr>
              <w:t>Günstigster Anbieter in der Branche durch Skaleneffekte, Prozessoptimierung oder Einkaufsmacht</w:t>
            </w:r>
          </w:p>
        </w:tc>
        <w:tc>
          <w:tcPr>
            <w:tcW w:type="dxa" w:w="2929"/>
          </w:tcPr>
          <w:p>
            <w:r>
              <w:rPr>
                <w:rFonts w:ascii="Times New Roman" w:hAnsi="Times New Roman"/>
                <w:sz w:val="20"/>
              </w:rPr>
              <w:t>Hohe Automatisierung, Standardisierung, Kostenkontrolle, hohe Absatzmengen</w:t>
            </w:r>
          </w:p>
        </w:tc>
      </w:tr>
      <w:tr>
        <w:tc>
          <w:tcPr>
            <w:tcW w:type="dxa" w:w="2929"/>
          </w:tcPr>
          <w:p>
            <w:r>
              <w:rPr>
                <w:rFonts w:ascii="Times New Roman" w:hAnsi="Times New Roman"/>
                <w:sz w:val="20"/>
              </w:rPr>
              <w:t>Differenzierung</w:t>
            </w:r>
          </w:p>
        </w:tc>
        <w:tc>
          <w:tcPr>
            <w:tcW w:type="dxa" w:w="2929"/>
          </w:tcPr>
          <w:p>
            <w:r>
              <w:rPr>
                <w:rFonts w:ascii="Times New Roman" w:hAnsi="Times New Roman"/>
                <w:sz w:val="20"/>
              </w:rPr>
              <w:t>Einzigartiges Leistungsangebot, für das Kunden einen Preis-Aufschlag zahlen</w:t>
            </w:r>
          </w:p>
        </w:tc>
        <w:tc>
          <w:tcPr>
            <w:tcW w:type="dxa" w:w="2929"/>
          </w:tcPr>
          <w:p>
            <w:r>
              <w:rPr>
                <w:rFonts w:ascii="Times New Roman" w:hAnsi="Times New Roman"/>
                <w:sz w:val="20"/>
              </w:rPr>
              <w:t>Starke F&amp;E, Markenkompetenz, Innovationsfähigkeit, Qualitätsmanagement</w:t>
            </w:r>
          </w:p>
        </w:tc>
      </w:tr>
      <w:tr>
        <w:tc>
          <w:tcPr>
            <w:tcW w:type="dxa" w:w="2929"/>
          </w:tcPr>
          <w:p>
            <w:r>
              <w:rPr>
                <w:rFonts w:ascii="Times New Roman" w:hAnsi="Times New Roman"/>
                <w:sz w:val="20"/>
              </w:rPr>
              <w:t>Fokus (Nische)</w:t>
            </w:r>
          </w:p>
        </w:tc>
        <w:tc>
          <w:tcPr>
            <w:tcW w:type="dxa" w:w="2929"/>
          </w:tcPr>
          <w:p>
            <w:r>
              <w:rPr>
                <w:rFonts w:ascii="Times New Roman" w:hAnsi="Times New Roman"/>
                <w:sz w:val="20"/>
              </w:rPr>
              <w:t>Konzentration auf ein Segment mit entweder Kosten- oder Differenzierungsvorteil</w:t>
            </w:r>
          </w:p>
        </w:tc>
        <w:tc>
          <w:tcPr>
            <w:tcW w:type="dxa" w:w="2929"/>
          </w:tcPr>
          <w:p>
            <w:r>
              <w:rPr>
                <w:rFonts w:ascii="Times New Roman" w:hAnsi="Times New Roman"/>
                <w:sz w:val="20"/>
              </w:rPr>
              <w:t>Tiefes Segmentwissen, spezifische Kundennähe, begrenzte Ressourcen effizient eingesetzt</w:t>
            </w:r>
          </w:p>
        </w:tc>
      </w:tr>
    </w:tbl>
    <w:p>
      <w:pPr>
        <w:spacing w:before="40" w:after="200"/>
        <w:jc w:val="left"/>
      </w:pPr>
      <w:r>
        <w:rPr>
          <w:rFonts w:ascii="Times New Roman" w:hAnsi="Times New Roman"/>
          <w:i/>
          <w:sz w:val="20"/>
        </w:rPr>
        <w:t>Tabelle T.3: Generische Wettbewerbsstrategien nach Porter. Quelle: Eigene Darstellung in Anlehnung an Porter (1985, [S. X]).</w:t>
      </w:r>
    </w:p>
    <w:p>
      <w:pPr>
        <w:spacing w:after="120"/>
        <w:jc w:val="both"/>
      </w:pPr>
      <w:r>
        <w:rPr>
          <w:rFonts w:ascii="Times New Roman" w:hAnsi="Times New Roman"/>
          <w:sz w:val="24"/>
        </w:rPr>
        <w:t>Die Analyse von Wettbewerbsintensität und Differenzierungsmerkmalen (Abschnitt 3.3.4) baut auf diesem Framework auf: Sie fragt, welche generische Strategie das Unternehmen verfolgt, wie klar diese positioniert ist und wo gegenüber den Wettbewerbern tatsächlich überlegene Merkmale bestehen.</w:t>
      </w:r>
    </w:p>
    <w:p>
      <w:pPr>
        <w:spacing w:before="280" w:after="280"/>
        <w:jc w:val="center"/>
      </w:pPr>
      <w:r>
        <w:rPr>
          <w:rFonts w:ascii="Times New Roman" w:hAnsi="Times New Roman"/>
          <w:color w:val="969696"/>
          <w:sz w:val="16"/>
        </w:rPr>
        <w:t>────────────────────────────────────────────────────────────────────────────────</w:t>
      </w:r>
    </w:p>
    <w:p>
      <w:pPr>
        <w:pStyle w:val="Heading2"/>
        <w:spacing w:before="320" w:after="120"/>
      </w:pPr>
      <w:r>
        <w:rPr>
          <w:rFonts w:ascii="Times New Roman" w:hAnsi="Times New Roman"/>
          <w:b/>
          <w:color w:val="000000"/>
          <w:sz w:val="26"/>
        </w:rPr>
        <w:t>Resource-Based View (RBV) und Kernkompetenzen</w:t>
      </w:r>
    </w:p>
    <w:p>
      <w:pPr>
        <w:spacing w:after="120"/>
        <w:jc w:val="both"/>
      </w:pPr>
      <w:r>
        <w:rPr>
          <w:rFonts w:ascii="Times New Roman" w:hAnsi="Times New Roman"/>
          <w:sz w:val="24"/>
        </w:rPr>
        <w:t>Der Resource-Based View (RBV) stellt das Gegenstück zu Porters marktorientiertem Ansatz dar: Während Porter Wettbewerbsvorteile primär aus der Branchenstruktur ableitet, erklärt der RBV sie durch die einzigartigen Ressourcen und Fähigkeiten des einzelnen Unternehmens.</w:t>
      </w:r>
    </w:p>
    <w:p>
      <w:pPr>
        <w:pStyle w:val="Heading3"/>
        <w:spacing w:before="200" w:after="80"/>
      </w:pPr>
      <w:r>
        <w:rPr>
          <w:rFonts w:ascii="Times New Roman" w:hAnsi="Times New Roman"/>
          <w:b/>
          <w:color w:val="000000"/>
          <w:sz w:val="24"/>
        </w:rPr>
        <w:t>Herkunft und theoretische Entwicklung</w:t>
      </w:r>
    </w:p>
    <w:p>
      <w:pPr>
        <w:spacing w:after="120"/>
        <w:jc w:val="both"/>
      </w:pPr>
      <w:r>
        <w:rPr>
          <w:rFonts w:ascii="Times New Roman" w:hAnsi="Times New Roman"/>
          <w:sz w:val="24"/>
        </w:rPr>
        <w:t>Die intellektuellen Wurzeln des RBV liegen in Edith Penroses Werk „The Theory of the Growth of the Firm“ (1959), in dem sie das Unternehmen erstmals als Bündel produktiver Ressourcen konzipierte, nicht als bloße Produktionseinheit. Birger Wernerfelt formalisierte diesen Ansatz 1984 unter dem Begriff Resource-Based View. Die für das strategische Management entscheidende Ausformulierung stammt von Jay Barney, der 1991 im „Journal of Management“ die präzisen Bedingungen definierte, unter denen Ressourcen nachhaltige Wettbewerbsvorteile begründen können (Barney, 1991, S. 99–100). Die Kernthese: Unternehmen derselben Branche unterscheiden sich systematisch in ihrer Ressourcenausstattung, und diese Heterogenität ist die eigentliche Quelle von Leistungsunterschieden – nicht allein die Marktstruktur (Barney, 1991, S. 101).</w:t>
      </w:r>
    </w:p>
    <w:p>
      <w:pPr>
        <w:pStyle w:val="Heading3"/>
        <w:spacing w:before="200" w:after="80"/>
      </w:pPr>
      <w:r>
        <w:rPr>
          <w:rFonts w:ascii="Times New Roman" w:hAnsi="Times New Roman"/>
          <w:b/>
          <w:color w:val="000000"/>
          <w:sz w:val="24"/>
        </w:rPr>
        <w:t>Das VRIN-Framework</w:t>
      </w:r>
    </w:p>
    <w:p>
      <w:pPr>
        <w:spacing w:after="120"/>
        <w:jc w:val="both"/>
      </w:pPr>
      <w:r>
        <w:rPr>
          <w:rFonts w:ascii="Times New Roman" w:hAnsi="Times New Roman"/>
          <w:sz w:val="24"/>
        </w:rPr>
        <w:t>Barney (1991, S. 105–112) operationalisiert die Bedingung des nachhaltigen Wettbewerbsvorteils durch vier Kriterien, die eine Ressource kumulativ erfüllen muss:</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0"/>
              </w:rPr>
              <w:t>Kriterium</w:t>
            </w:r>
          </w:p>
        </w:tc>
        <w:tc>
          <w:tcPr>
            <w:tcW w:type="dxa" w:w="2929"/>
          </w:tcPr>
          <w:p>
            <w:pPr>
              <w:jc w:val="center"/>
            </w:pPr>
            <w:r>
              <w:rPr>
                <w:rFonts w:ascii="Times New Roman" w:hAnsi="Times New Roman"/>
                <w:b/>
                <w:sz w:val="20"/>
              </w:rPr>
              <w:t>Bedeutung</w:t>
            </w:r>
          </w:p>
        </w:tc>
        <w:tc>
          <w:tcPr>
            <w:tcW w:type="dxa" w:w="2929"/>
          </w:tcPr>
          <w:p>
            <w:pPr>
              <w:jc w:val="center"/>
            </w:pPr>
            <w:r>
              <w:rPr>
                <w:rFonts w:ascii="Times New Roman" w:hAnsi="Times New Roman"/>
                <w:b/>
                <w:sz w:val="20"/>
              </w:rPr>
              <w:t>Analytische Frage</w:t>
            </w:r>
          </w:p>
        </w:tc>
      </w:tr>
      <w:tr>
        <w:tc>
          <w:tcPr>
            <w:tcW w:type="dxa" w:w="2929"/>
          </w:tcPr>
          <w:p>
            <w:r>
              <w:rPr>
                <w:rFonts w:ascii="Times New Roman" w:hAnsi="Times New Roman"/>
                <w:sz w:val="20"/>
              </w:rPr>
              <w:t>Valuable</w:t>
              <w:br/>
              <w:t>(wertvoll)</w:t>
            </w:r>
          </w:p>
        </w:tc>
        <w:tc>
          <w:tcPr>
            <w:tcW w:type="dxa" w:w="2929"/>
          </w:tcPr>
          <w:p>
            <w:r>
              <w:rPr>
                <w:rFonts w:ascii="Times New Roman" w:hAnsi="Times New Roman"/>
                <w:sz w:val="20"/>
              </w:rPr>
              <w:t>Die Ressource muss dem Unternehmen ermöglichen, eine Chance zu nutzen oder eine Bedrohung zu neutralisieren</w:t>
            </w:r>
          </w:p>
        </w:tc>
        <w:tc>
          <w:tcPr>
            <w:tcW w:type="dxa" w:w="2929"/>
          </w:tcPr>
          <w:p>
            <w:r>
              <w:rPr>
                <w:rFonts w:ascii="Times New Roman" w:hAnsi="Times New Roman"/>
                <w:sz w:val="20"/>
              </w:rPr>
              <w:t>Trägt die Ressource zur Wertschöpfung oder Kostenreduktion bei?</w:t>
            </w:r>
          </w:p>
        </w:tc>
      </w:tr>
      <w:tr>
        <w:tc>
          <w:tcPr>
            <w:tcW w:type="dxa" w:w="2929"/>
          </w:tcPr>
          <w:p>
            <w:r>
              <w:rPr>
                <w:rFonts w:ascii="Times New Roman" w:hAnsi="Times New Roman"/>
                <w:sz w:val="20"/>
              </w:rPr>
              <w:t>Rare</w:t>
              <w:br/>
              <w:t>(selten)</w:t>
            </w:r>
          </w:p>
        </w:tc>
        <w:tc>
          <w:tcPr>
            <w:tcW w:type="dxa" w:w="2929"/>
          </w:tcPr>
          <w:p>
            <w:r>
              <w:rPr>
                <w:rFonts w:ascii="Times New Roman" w:hAnsi="Times New Roman"/>
                <w:sz w:val="20"/>
              </w:rPr>
              <w:t>Die Ressource darf nicht bei einer Vielzahl von Wettbewerbern vorhanden sein</w:t>
            </w:r>
          </w:p>
        </w:tc>
        <w:tc>
          <w:tcPr>
            <w:tcW w:type="dxa" w:w="2929"/>
          </w:tcPr>
          <w:p>
            <w:r>
              <w:rPr>
                <w:rFonts w:ascii="Times New Roman" w:hAnsi="Times New Roman"/>
                <w:sz w:val="20"/>
              </w:rPr>
              <w:t>Verfügen viele oder wenige Wettbewerber über dieselbe Ressource?</w:t>
            </w:r>
          </w:p>
        </w:tc>
      </w:tr>
      <w:tr>
        <w:tc>
          <w:tcPr>
            <w:tcW w:type="dxa" w:w="2929"/>
          </w:tcPr>
          <w:p>
            <w:r>
              <w:rPr>
                <w:rFonts w:ascii="Times New Roman" w:hAnsi="Times New Roman"/>
                <w:sz w:val="20"/>
              </w:rPr>
              <w:t>Inimitable</w:t>
              <w:br/>
              <w:t>(nicht imitierbar)</w:t>
            </w:r>
          </w:p>
        </w:tc>
        <w:tc>
          <w:tcPr>
            <w:tcW w:type="dxa" w:w="2929"/>
          </w:tcPr>
          <w:p>
            <w:r>
              <w:rPr>
                <w:rFonts w:ascii="Times New Roman" w:hAnsi="Times New Roman"/>
                <w:sz w:val="20"/>
              </w:rPr>
              <w:t>Die Ressource darf für Wettbewerber nicht oder nur mit prohibitiv hohem Aufwand kopierbar sein</w:t>
            </w:r>
          </w:p>
        </w:tc>
        <w:tc>
          <w:tcPr>
            <w:tcW w:type="dxa" w:w="2929"/>
          </w:tcPr>
          <w:p>
            <w:r>
              <w:rPr>
                <w:rFonts w:ascii="Times New Roman" w:hAnsi="Times New Roman"/>
                <w:sz w:val="20"/>
              </w:rPr>
              <w:t>Gibt es Imitationsbarrieren? (historische Pfadabhängigkeit, kausale Ambiguität, soziale Komplexität)</w:t>
            </w:r>
          </w:p>
        </w:tc>
      </w:tr>
      <w:tr>
        <w:tc>
          <w:tcPr>
            <w:tcW w:type="dxa" w:w="2929"/>
          </w:tcPr>
          <w:p>
            <w:r>
              <w:rPr>
                <w:rFonts w:ascii="Times New Roman" w:hAnsi="Times New Roman"/>
                <w:sz w:val="20"/>
              </w:rPr>
              <w:t>Non-substitutable</w:t>
              <w:br/>
              <w:t>(nicht substituierbar)</w:t>
            </w:r>
          </w:p>
        </w:tc>
        <w:tc>
          <w:tcPr>
            <w:tcW w:type="dxa" w:w="2929"/>
          </w:tcPr>
          <w:p>
            <w:r>
              <w:rPr>
                <w:rFonts w:ascii="Times New Roman" w:hAnsi="Times New Roman"/>
                <w:sz w:val="20"/>
              </w:rPr>
              <w:t>Es darf keine strategisch gleichwertige, aber anders geartete Ressource existieren</w:t>
            </w:r>
          </w:p>
        </w:tc>
        <w:tc>
          <w:tcPr>
            <w:tcW w:type="dxa" w:w="2929"/>
          </w:tcPr>
          <w:p>
            <w:r>
              <w:rPr>
                <w:rFonts w:ascii="Times New Roman" w:hAnsi="Times New Roman"/>
                <w:sz w:val="20"/>
              </w:rPr>
              <w:t>Kann der Wettbewerbsvorteil dieser Ressource durch eine andere Art von Ressource repliziert werden?</w:t>
            </w:r>
          </w:p>
        </w:tc>
      </w:tr>
    </w:tbl>
    <w:p>
      <w:pPr>
        <w:spacing w:before="40" w:after="200"/>
        <w:jc w:val="left"/>
      </w:pPr>
      <w:r>
        <w:rPr>
          <w:rFonts w:ascii="Times New Roman" w:hAnsi="Times New Roman"/>
          <w:i/>
          <w:sz w:val="20"/>
        </w:rPr>
        <w:t>Tabelle T.4: VRIN-Kriterien nach Barney (1991). Quelle: Eigene Darstellung in Anlehnung an Barney (1991, S. 105–112).</w:t>
      </w:r>
    </w:p>
    <w:p>
      <w:pPr>
        <w:spacing w:after="120"/>
        <w:jc w:val="both"/>
      </w:pPr>
      <w:r>
        <w:rPr>
          <w:rFonts w:ascii="Times New Roman" w:hAnsi="Times New Roman"/>
          <w:sz w:val="24"/>
        </w:rPr>
        <w:t>Barney unterscheidet vier Ressourcenkategorien: finanzielle, physische, humane und organisationale (immaterielle) Ressourcen. In der Analyse werden die Ressourcen des Unternehmens zunächst systematisch erfasst und anschließend gegen die VRIN-Kriterien geprüft, um strategisch relevante von lediglich notwendigen Ressourcen zu trennen.</w:t>
      </w:r>
    </w:p>
    <w:p>
      <w:pPr>
        <w:pStyle w:val="Heading3"/>
        <w:spacing w:before="200" w:after="80"/>
      </w:pPr>
      <w:r>
        <w:rPr>
          <w:rFonts w:ascii="Times New Roman" w:hAnsi="Times New Roman"/>
          <w:b/>
          <w:color w:val="000000"/>
          <w:sz w:val="24"/>
        </w:rPr>
        <w:t>Kernkompetenzen nach Prahalad &amp; Hamel</w:t>
      </w:r>
    </w:p>
    <w:p>
      <w:pPr>
        <w:spacing w:after="120"/>
        <w:jc w:val="both"/>
      </w:pPr>
      <w:r>
        <w:rPr>
          <w:rFonts w:ascii="Times New Roman" w:hAnsi="Times New Roman"/>
          <w:sz w:val="24"/>
        </w:rPr>
        <w:t>Prahalad und Hamel (1990) ergänzen den RBV um eine dynamisch-organisationale Perspektive. In ihrem Beitrag „The Core Competence of the Corporation“ (Harvard Business Review, 1990) argumentieren sie, dass nachhaltiger Wettbewerbsvorteil nicht aus einzelnen Ressourcen, sondern aus dem kollektiven Lernen der Organisation entsteht – insbesondere der Fähigkeit, verschiedene Technologien und Produktionskompetenzen zu integrieren und zu koordinieren (Prahalad &amp; Hamel, 1990, S. 82).</w:t>
      </w:r>
    </w:p>
    <w:p>
      <w:pPr>
        <w:spacing w:after="120"/>
        <w:jc w:val="both"/>
      </w:pPr>
      <w:r>
        <w:rPr>
          <w:rFonts w:ascii="Times New Roman" w:hAnsi="Times New Roman"/>
          <w:sz w:val="24"/>
        </w:rPr>
        <w:t>Eine Kernkompetenz im Sinne von Prahalad und Hamel erfüllt drei Testkriterien (Prahalad &amp; Hamel, 1990, S. 83–84):</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rFonts w:ascii="Times New Roman" w:hAnsi="Times New Roman"/>
                <w:b/>
                <w:sz w:val="20"/>
              </w:rPr>
              <w:t>Kriterium</w:t>
            </w:r>
          </w:p>
        </w:tc>
        <w:tc>
          <w:tcPr>
            <w:tcW w:type="dxa" w:w="4394"/>
          </w:tcPr>
          <w:p>
            <w:pPr>
              <w:jc w:val="center"/>
            </w:pPr>
            <w:r>
              <w:rPr>
                <w:rFonts w:ascii="Times New Roman" w:hAnsi="Times New Roman"/>
                <w:b/>
                <w:sz w:val="20"/>
              </w:rPr>
              <w:t>Erläuterung</w:t>
            </w:r>
          </w:p>
        </w:tc>
      </w:tr>
      <w:tr>
        <w:tc>
          <w:tcPr>
            <w:tcW w:type="dxa" w:w="4394"/>
          </w:tcPr>
          <w:p>
            <w:r>
              <w:rPr>
                <w:rFonts w:ascii="Times New Roman" w:hAnsi="Times New Roman"/>
                <w:sz w:val="20"/>
              </w:rPr>
              <w:t>Marktzugang</w:t>
            </w:r>
          </w:p>
        </w:tc>
        <w:tc>
          <w:tcPr>
            <w:tcW w:type="dxa" w:w="4394"/>
          </w:tcPr>
          <w:p>
            <w:r>
              <w:rPr>
                <w:rFonts w:ascii="Times New Roman" w:hAnsi="Times New Roman"/>
                <w:sz w:val="20"/>
              </w:rPr>
              <w:t>Die Kompetenz ermöglicht Zugang zu einer Vielzahl unterschiedlicher Märkte – sie ist keine rein produktspezifische Fähigkeit.</w:t>
            </w:r>
          </w:p>
        </w:tc>
      </w:tr>
      <w:tr>
        <w:tc>
          <w:tcPr>
            <w:tcW w:type="dxa" w:w="4394"/>
          </w:tcPr>
          <w:p>
            <w:r>
              <w:rPr>
                <w:rFonts w:ascii="Times New Roman" w:hAnsi="Times New Roman"/>
                <w:sz w:val="20"/>
              </w:rPr>
              <w:t>Wahrgenommener Kundenwert</w:t>
            </w:r>
          </w:p>
        </w:tc>
        <w:tc>
          <w:tcPr>
            <w:tcW w:type="dxa" w:w="4394"/>
          </w:tcPr>
          <w:p>
            <w:r>
              <w:rPr>
                <w:rFonts w:ascii="Times New Roman" w:hAnsi="Times New Roman"/>
                <w:sz w:val="20"/>
              </w:rPr>
              <w:t>Sie leistet einen signifikanten Beitrag zum wahrgenommenen Nutzen des Endprodukts aus Kundensicht.</w:t>
            </w:r>
          </w:p>
        </w:tc>
      </w:tr>
      <w:tr>
        <w:tc>
          <w:tcPr>
            <w:tcW w:type="dxa" w:w="4394"/>
          </w:tcPr>
          <w:p>
            <w:r>
              <w:rPr>
                <w:rFonts w:ascii="Times New Roman" w:hAnsi="Times New Roman"/>
                <w:sz w:val="20"/>
              </w:rPr>
              <w:t>Schwere Imitierbarkeit</w:t>
            </w:r>
          </w:p>
        </w:tc>
        <w:tc>
          <w:tcPr>
            <w:tcW w:type="dxa" w:w="4394"/>
          </w:tcPr>
          <w:p>
            <w:r>
              <w:rPr>
                <w:rFonts w:ascii="Times New Roman" w:hAnsi="Times New Roman"/>
                <w:sz w:val="20"/>
              </w:rPr>
              <w:t>Sie ist für Wettbewerber schwer nachzuahmen, weil sie auf kollektivem Wissen, Erfahrung und organisationalen Routinen basiert.</w:t>
            </w:r>
          </w:p>
        </w:tc>
      </w:tr>
    </w:tbl>
    <w:p>
      <w:pPr>
        <w:spacing w:before="40" w:after="200"/>
        <w:jc w:val="left"/>
      </w:pPr>
      <w:r>
        <w:rPr>
          <w:rFonts w:ascii="Times New Roman" w:hAnsi="Times New Roman"/>
          <w:i/>
          <w:sz w:val="20"/>
        </w:rPr>
        <w:t>Tabelle T.5: Testkriterien für Kernkompetenzen nach Prahalad &amp; Hamel (1990, S. 83–84). Quelle: Eigene Darstellung.</w:t>
      </w:r>
    </w:p>
    <w:p>
      <w:pPr>
        <w:spacing w:before="280" w:after="280"/>
        <w:jc w:val="center"/>
      </w:pPr>
      <w:r>
        <w:rPr>
          <w:rFonts w:ascii="Times New Roman" w:hAnsi="Times New Roman"/>
          <w:color w:val="969696"/>
          <w:sz w:val="16"/>
        </w:rPr>
        <w:t>────────────────────────────────────────────────────────────────────────────────</w:t>
      </w:r>
    </w:p>
    <w:p>
      <w:pPr>
        <w:pStyle w:val="Heading2"/>
        <w:spacing w:before="320" w:after="120"/>
      </w:pPr>
      <w:r>
        <w:rPr>
          <w:rFonts w:ascii="Times New Roman" w:hAnsi="Times New Roman"/>
          <w:b/>
          <w:color w:val="000000"/>
          <w:sz w:val="26"/>
        </w:rPr>
        <w:t>Wertkettenanalyse nach Porter</w:t>
      </w:r>
    </w:p>
    <w:p>
      <w:pPr>
        <w:spacing w:after="120"/>
        <w:jc w:val="both"/>
      </w:pPr>
      <w:r>
        <w:rPr>
          <w:rFonts w:ascii="Times New Roman" w:hAnsi="Times New Roman"/>
          <w:sz w:val="24"/>
        </w:rPr>
        <w:t>Die Wertkettenanalyse wurde von Porter (1985) in „Competitive Advantage: Creating and Sustaining Superior Performance“ entwickelt. Sie bildet die operative Konkretisierung zur Frage, wo genau im Unternehmen Wettbewerbsvorteile entstehen oder Kostennachteile bestehen. Während das Five-Forces-Modell die Branchenebene analysiert, richtet die Wertkette den Blick nach innen und dekonstruiert das Unternehmen in seine strategisch relevanten Aktivitäten (Porter, 1985, [S. X]).</w:t>
      </w:r>
    </w:p>
    <w:p>
      <w:pPr>
        <w:spacing w:after="120"/>
        <w:jc w:val="both"/>
      </w:pPr>
      <w:r>
        <w:rPr>
          <w:rFonts w:ascii="Times New Roman" w:hAnsi="Times New Roman"/>
          <w:sz w:val="24"/>
        </w:rPr>
        <w:t>Das Grundprinzip: Jedes Unternehmen ist eine Abfolge von Aktivitäten, die zusammen den Wert erzeugen, den ein Kunde für ein Produkt oder eine Dienstleistung zu zahlen bereit ist. Der Gewinn ist die Differenz zwischen diesem erzeugten Gesamtwert und den Kosten, die bei allen Aktivitäten zusammen anfallen (Porter, 1985, [S. X]). Wettbewerbsvorteile entstehen dort, wo ein Unternehmen einzelne Aktivitäten effizienter oder differenzierter ausführt als seine Konkurrenten.</w:t>
      </w:r>
    </w:p>
    <w:p>
      <w:pPr>
        <w:pStyle w:val="Heading3"/>
        <w:spacing w:before="200" w:after="80"/>
      </w:pPr>
      <w:r>
        <w:rPr>
          <w:rFonts w:ascii="Times New Roman" w:hAnsi="Times New Roman"/>
          <w:b/>
          <w:color w:val="000000"/>
          <w:sz w:val="24"/>
        </w:rPr>
        <w:t>Struktur der Wertkette</w:t>
      </w:r>
    </w:p>
    <w:p>
      <w:pPr>
        <w:spacing w:after="120"/>
        <w:jc w:val="both"/>
      </w:pPr>
      <w:r>
        <w:rPr>
          <w:rFonts w:ascii="Times New Roman" w:hAnsi="Times New Roman"/>
          <w:sz w:val="24"/>
        </w:rPr>
        <w:t>Porter (1985, [S. X]) unterscheidet zwischen primären Aktivitäten, die direkt zur Leistungserstellung und -vermarktung beitragen, und Unterstützungsaktivitäten, die die Primäraktivitäten ermöglichen und untereinander vernetzen.</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0"/>
              </w:rPr>
              <w:t>Kategorie</w:t>
            </w:r>
          </w:p>
        </w:tc>
        <w:tc>
          <w:tcPr>
            <w:tcW w:type="dxa" w:w="2929"/>
          </w:tcPr>
          <w:p>
            <w:pPr>
              <w:jc w:val="center"/>
            </w:pPr>
            <w:r>
              <w:rPr>
                <w:rFonts w:ascii="Times New Roman" w:hAnsi="Times New Roman"/>
                <w:b/>
                <w:sz w:val="20"/>
              </w:rPr>
              <w:t>Aktivität</w:t>
            </w:r>
          </w:p>
        </w:tc>
        <w:tc>
          <w:tcPr>
            <w:tcW w:type="dxa" w:w="2929"/>
          </w:tcPr>
          <w:p>
            <w:pPr>
              <w:jc w:val="center"/>
            </w:pPr>
            <w:r>
              <w:rPr>
                <w:rFonts w:ascii="Times New Roman" w:hAnsi="Times New Roman"/>
                <w:b/>
                <w:sz w:val="20"/>
              </w:rPr>
              <w:t>Inhalt</w:t>
            </w:r>
          </w:p>
        </w:tc>
      </w:tr>
      <w:tr>
        <w:tc>
          <w:tcPr>
            <w:tcW w:type="dxa" w:w="2929"/>
          </w:tcPr>
          <w:p>
            <w:r>
              <w:rPr>
                <w:rFonts w:ascii="Times New Roman" w:hAnsi="Times New Roman"/>
                <w:sz w:val="20"/>
              </w:rPr>
              <w:t>Primäre</w:t>
              <w:br/>
              <w:t>Aktivitäten</w:t>
            </w:r>
          </w:p>
        </w:tc>
        <w:tc>
          <w:tcPr>
            <w:tcW w:type="dxa" w:w="2929"/>
          </w:tcPr>
          <w:p>
            <w:r>
              <w:rPr>
                <w:rFonts w:ascii="Times New Roman" w:hAnsi="Times New Roman"/>
                <w:sz w:val="20"/>
              </w:rPr>
              <w:t>Eingangslogistik</w:t>
            </w:r>
          </w:p>
        </w:tc>
        <w:tc>
          <w:tcPr>
            <w:tcW w:type="dxa" w:w="2929"/>
          </w:tcPr>
          <w:p>
            <w:r>
              <w:rPr>
                <w:rFonts w:ascii="Times New Roman" w:hAnsi="Times New Roman"/>
                <w:sz w:val="20"/>
              </w:rPr>
              <w:t>Beschaffung, Lagerung und Verteilung der Eingangsressourcen; Lieferantenmanagement</w:t>
            </w:r>
          </w:p>
        </w:tc>
      </w:tr>
      <w:tr>
        <w:tc>
          <w:tcPr>
            <w:tcW w:type="dxa" w:w="2929"/>
          </w:tcPr>
          <w:p>
            <w:r>
              <w:rPr>
                <w:rFonts w:ascii="Times New Roman" w:hAnsi="Times New Roman"/>
                <w:sz w:val="20"/>
              </w:rPr>
            </w:r>
          </w:p>
        </w:tc>
        <w:tc>
          <w:tcPr>
            <w:tcW w:type="dxa" w:w="2929"/>
          </w:tcPr>
          <w:p>
            <w:r>
              <w:rPr>
                <w:rFonts w:ascii="Times New Roman" w:hAnsi="Times New Roman"/>
                <w:sz w:val="20"/>
              </w:rPr>
              <w:t>Operationen</w:t>
            </w:r>
          </w:p>
        </w:tc>
        <w:tc>
          <w:tcPr>
            <w:tcW w:type="dxa" w:w="2929"/>
          </w:tcPr>
          <w:p>
            <w:r>
              <w:rPr>
                <w:rFonts w:ascii="Times New Roman" w:hAnsi="Times New Roman"/>
                <w:sz w:val="20"/>
              </w:rPr>
              <w:t>Transformation der Eingangsressourcen in das Endprodukt (Fertigung, Montage, Qualitätsprüfung)</w:t>
            </w:r>
          </w:p>
        </w:tc>
      </w:tr>
      <w:tr>
        <w:tc>
          <w:tcPr>
            <w:tcW w:type="dxa" w:w="2929"/>
          </w:tcPr>
          <w:p>
            <w:r>
              <w:rPr>
                <w:rFonts w:ascii="Times New Roman" w:hAnsi="Times New Roman"/>
                <w:sz w:val="20"/>
              </w:rPr>
            </w:r>
          </w:p>
        </w:tc>
        <w:tc>
          <w:tcPr>
            <w:tcW w:type="dxa" w:w="2929"/>
          </w:tcPr>
          <w:p>
            <w:r>
              <w:rPr>
                <w:rFonts w:ascii="Times New Roman" w:hAnsi="Times New Roman"/>
                <w:sz w:val="20"/>
              </w:rPr>
              <w:t>Ausgangslogistik</w:t>
            </w:r>
          </w:p>
        </w:tc>
        <w:tc>
          <w:tcPr>
            <w:tcW w:type="dxa" w:w="2929"/>
          </w:tcPr>
          <w:p>
            <w:r>
              <w:rPr>
                <w:rFonts w:ascii="Times New Roman" w:hAnsi="Times New Roman"/>
                <w:sz w:val="20"/>
              </w:rPr>
              <w:t>Lagerung und Distribution des fertigen Produkts zum Kunden; Auftragsabwicklung</w:t>
            </w:r>
          </w:p>
        </w:tc>
      </w:tr>
      <w:tr>
        <w:tc>
          <w:tcPr>
            <w:tcW w:type="dxa" w:w="2929"/>
          </w:tcPr>
          <w:p>
            <w:r>
              <w:rPr>
                <w:rFonts w:ascii="Times New Roman" w:hAnsi="Times New Roman"/>
                <w:sz w:val="20"/>
              </w:rPr>
            </w:r>
          </w:p>
        </w:tc>
        <w:tc>
          <w:tcPr>
            <w:tcW w:type="dxa" w:w="2929"/>
          </w:tcPr>
          <w:p>
            <w:r>
              <w:rPr>
                <w:rFonts w:ascii="Times New Roman" w:hAnsi="Times New Roman"/>
                <w:sz w:val="20"/>
              </w:rPr>
              <w:t>Marketing &amp; Vertrieb</w:t>
            </w:r>
          </w:p>
        </w:tc>
        <w:tc>
          <w:tcPr>
            <w:tcW w:type="dxa" w:w="2929"/>
          </w:tcPr>
          <w:p>
            <w:r>
              <w:rPr>
                <w:rFonts w:ascii="Times New Roman" w:hAnsi="Times New Roman"/>
                <w:sz w:val="20"/>
              </w:rPr>
              <w:t>Preisfindung, Kommunikation, Vertriebskanäle, Kundenakquise</w:t>
            </w:r>
          </w:p>
        </w:tc>
      </w:tr>
      <w:tr>
        <w:tc>
          <w:tcPr>
            <w:tcW w:type="dxa" w:w="2929"/>
          </w:tcPr>
          <w:p>
            <w:r>
              <w:rPr>
                <w:rFonts w:ascii="Times New Roman" w:hAnsi="Times New Roman"/>
                <w:sz w:val="20"/>
              </w:rPr>
            </w:r>
          </w:p>
        </w:tc>
        <w:tc>
          <w:tcPr>
            <w:tcW w:type="dxa" w:w="2929"/>
          </w:tcPr>
          <w:p>
            <w:r>
              <w:rPr>
                <w:rFonts w:ascii="Times New Roman" w:hAnsi="Times New Roman"/>
                <w:sz w:val="20"/>
              </w:rPr>
              <w:t>Service</w:t>
            </w:r>
          </w:p>
        </w:tc>
        <w:tc>
          <w:tcPr>
            <w:tcW w:type="dxa" w:w="2929"/>
          </w:tcPr>
          <w:p>
            <w:r>
              <w:rPr>
                <w:rFonts w:ascii="Times New Roman" w:hAnsi="Times New Roman"/>
                <w:sz w:val="20"/>
              </w:rPr>
              <w:t>Installation, Inbetriebnahme, Wartung, Reparatur, Schulung nach dem Verkauf</w:t>
            </w:r>
          </w:p>
        </w:tc>
      </w:tr>
      <w:tr>
        <w:tc>
          <w:tcPr>
            <w:tcW w:type="dxa" w:w="2929"/>
          </w:tcPr>
          <w:p>
            <w:r>
              <w:rPr>
                <w:rFonts w:ascii="Times New Roman" w:hAnsi="Times New Roman"/>
                <w:sz w:val="20"/>
              </w:rPr>
              <w:t>Unterstützungs-</w:t>
              <w:br/>
              <w:t>aktivitäten</w:t>
            </w:r>
          </w:p>
        </w:tc>
        <w:tc>
          <w:tcPr>
            <w:tcW w:type="dxa" w:w="2929"/>
          </w:tcPr>
          <w:p>
            <w:r>
              <w:rPr>
                <w:rFonts w:ascii="Times New Roman" w:hAnsi="Times New Roman"/>
                <w:sz w:val="20"/>
              </w:rPr>
              <w:t>Unternehmensinfrastruktur</w:t>
            </w:r>
          </w:p>
        </w:tc>
        <w:tc>
          <w:tcPr>
            <w:tcW w:type="dxa" w:w="2929"/>
          </w:tcPr>
          <w:p>
            <w:r>
              <w:rPr>
                <w:rFonts w:ascii="Times New Roman" w:hAnsi="Times New Roman"/>
                <w:sz w:val="20"/>
              </w:rPr>
              <w:t>Allgemeines Management, Finanzen, Recht, Qualitätsmanagement, IT</w:t>
            </w:r>
          </w:p>
        </w:tc>
      </w:tr>
      <w:tr>
        <w:tc>
          <w:tcPr>
            <w:tcW w:type="dxa" w:w="2929"/>
          </w:tcPr>
          <w:p>
            <w:r>
              <w:rPr>
                <w:rFonts w:ascii="Times New Roman" w:hAnsi="Times New Roman"/>
                <w:sz w:val="20"/>
              </w:rPr>
            </w:r>
          </w:p>
        </w:tc>
        <w:tc>
          <w:tcPr>
            <w:tcW w:type="dxa" w:w="2929"/>
          </w:tcPr>
          <w:p>
            <w:r>
              <w:rPr>
                <w:rFonts w:ascii="Times New Roman" w:hAnsi="Times New Roman"/>
                <w:sz w:val="20"/>
              </w:rPr>
              <w:t>Personalwirtschaft</w:t>
            </w:r>
          </w:p>
        </w:tc>
        <w:tc>
          <w:tcPr>
            <w:tcW w:type="dxa" w:w="2929"/>
          </w:tcPr>
          <w:p>
            <w:r>
              <w:rPr>
                <w:rFonts w:ascii="Times New Roman" w:hAnsi="Times New Roman"/>
                <w:sz w:val="20"/>
              </w:rPr>
              <w:t>Rekrutierung, Auswahl, Entwicklung, Vergütung aller Mitarbeitenden</w:t>
            </w:r>
          </w:p>
        </w:tc>
      </w:tr>
      <w:tr>
        <w:tc>
          <w:tcPr>
            <w:tcW w:type="dxa" w:w="2929"/>
          </w:tcPr>
          <w:p>
            <w:r>
              <w:rPr>
                <w:rFonts w:ascii="Times New Roman" w:hAnsi="Times New Roman"/>
                <w:sz w:val="20"/>
              </w:rPr>
            </w:r>
          </w:p>
        </w:tc>
        <w:tc>
          <w:tcPr>
            <w:tcW w:type="dxa" w:w="2929"/>
          </w:tcPr>
          <w:p>
            <w:r>
              <w:rPr>
                <w:rFonts w:ascii="Times New Roman" w:hAnsi="Times New Roman"/>
                <w:sz w:val="20"/>
              </w:rPr>
              <w:t>Technologieentwicklung</w:t>
            </w:r>
          </w:p>
        </w:tc>
        <w:tc>
          <w:tcPr>
            <w:tcW w:type="dxa" w:w="2929"/>
          </w:tcPr>
          <w:p>
            <w:r>
              <w:rPr>
                <w:rFonts w:ascii="Times New Roman" w:hAnsi="Times New Roman"/>
                <w:sz w:val="20"/>
              </w:rPr>
              <w:t>F&amp;E, Prozessinnovation, Produktentwicklung, Know-how-Management</w:t>
            </w:r>
          </w:p>
        </w:tc>
      </w:tr>
      <w:tr>
        <w:tc>
          <w:tcPr>
            <w:tcW w:type="dxa" w:w="2929"/>
          </w:tcPr>
          <w:p>
            <w:r>
              <w:rPr>
                <w:rFonts w:ascii="Times New Roman" w:hAnsi="Times New Roman"/>
                <w:sz w:val="20"/>
              </w:rPr>
            </w:r>
          </w:p>
        </w:tc>
        <w:tc>
          <w:tcPr>
            <w:tcW w:type="dxa" w:w="2929"/>
          </w:tcPr>
          <w:p>
            <w:r>
              <w:rPr>
                <w:rFonts w:ascii="Times New Roman" w:hAnsi="Times New Roman"/>
                <w:sz w:val="20"/>
              </w:rPr>
              <w:t>Beschaffung</w:t>
            </w:r>
          </w:p>
        </w:tc>
        <w:tc>
          <w:tcPr>
            <w:tcW w:type="dxa" w:w="2929"/>
          </w:tcPr>
          <w:p>
            <w:r>
              <w:rPr>
                <w:rFonts w:ascii="Times New Roman" w:hAnsi="Times New Roman"/>
                <w:sz w:val="20"/>
              </w:rPr>
              <w:t>Strategisches Einkaufsmanagement für alle Ressourcen (nicht nur Rohstoffe)</w:t>
            </w:r>
          </w:p>
        </w:tc>
      </w:tr>
    </w:tbl>
    <w:p>
      <w:pPr>
        <w:spacing w:before="40" w:after="200"/>
        <w:jc w:val="left"/>
      </w:pPr>
      <w:r>
        <w:rPr>
          <w:rFonts w:ascii="Times New Roman" w:hAnsi="Times New Roman"/>
          <w:i/>
          <w:sz w:val="20"/>
        </w:rPr>
        <w:t>Tabelle T.6: Struktur der Wertkette nach Porter (1985). Quelle: Eigene Darstellung in Anlehnung an Porter (1985, [S. X]).</w:t>
      </w:r>
    </w:p>
    <w:p>
      <w:pPr>
        <w:pStyle w:val="Heading3"/>
        <w:spacing w:before="200" w:after="80"/>
      </w:pPr>
      <w:r>
        <w:rPr>
          <w:rFonts w:ascii="Times New Roman" w:hAnsi="Times New Roman"/>
          <w:b/>
          <w:color w:val="000000"/>
          <w:sz w:val="24"/>
        </w:rPr>
        <w:t>Auswertungslogik</w:t>
      </w:r>
    </w:p>
    <w:p>
      <w:pPr>
        <w:spacing w:after="120"/>
        <w:jc w:val="both"/>
      </w:pPr>
      <w:r>
        <w:rPr>
          <w:rFonts w:ascii="Times New Roman" w:hAnsi="Times New Roman"/>
          <w:sz w:val="24"/>
        </w:rPr>
        <w:t>In der Auswertung werden für jede Aktivität drei Fragen gestellt: (1) Welche Kosten entstehen hier? (2) Welchen Beitrag leistet die Aktivität zur Differenzierung aus Kundensicht? (3) Bestehen Verknüpfungen („Linkages“) zu anderen Aktivitäten, die Kostensenkungen oder Qualitätsverbesserungen ermöglichen? Gerade an diesen Schnittstellen zwischen Aktivitäten entstehen häufig die wesentlichsten Quellen von Wettbewerbsvorteil, da sie von Konkurrenten besonders schwer zu erkennen und zu imitieren sind (Porter, 1985, [S. X]).</w:t>
      </w:r>
    </w:p>
    <w:p>
      <w:pPr>
        <w:spacing w:before="280" w:after="280"/>
        <w:jc w:val="center"/>
      </w:pPr>
      <w:r>
        <w:rPr>
          <w:rFonts w:ascii="Times New Roman" w:hAnsi="Times New Roman"/>
          <w:color w:val="969696"/>
          <w:sz w:val="16"/>
        </w:rPr>
        <w:t>────────────────────────────────────────────────────────────────────────────────</w:t>
      </w:r>
    </w:p>
    <w:p>
      <w:pPr>
        <w:pStyle w:val="Heading2"/>
        <w:spacing w:before="320" w:after="120"/>
      </w:pPr>
      <w:r>
        <w:rPr>
          <w:rFonts w:ascii="Times New Roman" w:hAnsi="Times New Roman"/>
          <w:b/>
          <w:color w:val="000000"/>
          <w:sz w:val="26"/>
        </w:rPr>
        <w:t>SWOT-Analyse</w:t>
      </w:r>
    </w:p>
    <w:p>
      <w:pPr>
        <w:spacing w:after="120"/>
        <w:jc w:val="both"/>
      </w:pPr>
      <w:r>
        <w:rPr>
          <w:rFonts w:ascii="Times New Roman" w:hAnsi="Times New Roman"/>
          <w:sz w:val="24"/>
        </w:rPr>
        <w:t>Die SWOT-Analyse nimmt unter den strategischen Analyseinstrumenten eine besondere Stellung ein: Sie ist kein eigenständiges Erhebungswerkzeug, sondern ein integratives Syntheseinstrument, das die Ergebnisse aller vorangegangenen Analysen zu einer strategischen Gesamtbeurteilung zusammenführt (Whittington et al., 2024, [S. X]).</w:t>
      </w:r>
    </w:p>
    <w:p>
      <w:pPr>
        <w:pStyle w:val="Heading3"/>
        <w:spacing w:before="200" w:after="80"/>
      </w:pPr>
      <w:r>
        <w:rPr>
          <w:rFonts w:ascii="Times New Roman" w:hAnsi="Times New Roman"/>
          <w:b/>
          <w:color w:val="000000"/>
          <w:sz w:val="24"/>
        </w:rPr>
        <w:t>Herkunft</w:t>
      </w:r>
    </w:p>
    <w:p>
      <w:pPr>
        <w:spacing w:after="120"/>
        <w:jc w:val="both"/>
      </w:pPr>
      <w:r>
        <w:rPr>
          <w:rFonts w:ascii="Times New Roman" w:hAnsi="Times New Roman"/>
          <w:sz w:val="24"/>
        </w:rPr>
        <w:t>Die SWOT-Analyse entstammt der Strategielehre an der Harvard Business School der 1960er-Jahre. Kenneth Andrews formalisierte das Konzept 1971 in „The Concept of Corporate Strategy“ und etablierte damit das Grundprinzip der Synthese aus interner Stärken-/Schwächenanalyse und externer Chancen-/Risikoanalyse. Das Akronym SWOT steht für Strengths, Weaknesses, Opportunities und Threats (Whittington et al., 2024, [S. X]).</w:t>
      </w:r>
    </w:p>
    <w:p>
      <w:pPr>
        <w:pStyle w:val="Heading3"/>
        <w:spacing w:before="200" w:after="80"/>
      </w:pPr>
      <w:r>
        <w:rPr>
          <w:rFonts w:ascii="Times New Roman" w:hAnsi="Times New Roman"/>
          <w:b/>
          <w:color w:val="000000"/>
          <w:sz w:val="24"/>
        </w:rPr>
        <w:t>Konzeptionelle Logik und Auswertung</w:t>
      </w:r>
    </w:p>
    <w:p>
      <w:pPr>
        <w:spacing w:after="120"/>
        <w:jc w:val="both"/>
      </w:pPr>
      <w:r>
        <w:rPr>
          <w:rFonts w:ascii="Times New Roman" w:hAnsi="Times New Roman"/>
          <w:sz w:val="24"/>
        </w:rPr>
        <w:t>Die methodische Stärke der SWOT liegt nicht in der isolierten Betrachtung der vier Felder, sondern in ihrer Kreuzanalyse. Aus der Kombination interner Faktoren (Stärken, Schwächen) mit externen Faktoren (Chancen, Risiken) lassen sich vier Normstrategietypen ableiten, die strategische Handlungs-optionen strukturieren (Whittington et al., 2024, [S. X]):</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0"/>
              </w:rPr>
              <w:t>Kombination</w:t>
            </w:r>
          </w:p>
        </w:tc>
        <w:tc>
          <w:tcPr>
            <w:tcW w:type="dxa" w:w="2929"/>
          </w:tcPr>
          <w:p>
            <w:pPr>
              <w:jc w:val="center"/>
            </w:pPr>
            <w:r>
              <w:rPr>
                <w:rFonts w:ascii="Times New Roman" w:hAnsi="Times New Roman"/>
                <w:b/>
                <w:sz w:val="20"/>
              </w:rPr>
              <w:t>Strategietyp</w:t>
            </w:r>
          </w:p>
        </w:tc>
        <w:tc>
          <w:tcPr>
            <w:tcW w:type="dxa" w:w="2929"/>
          </w:tcPr>
          <w:p>
            <w:pPr>
              <w:jc w:val="center"/>
            </w:pPr>
            <w:r>
              <w:rPr>
                <w:rFonts w:ascii="Times New Roman" w:hAnsi="Times New Roman"/>
                <w:b/>
                <w:sz w:val="20"/>
              </w:rPr>
              <w:t>Grundlogik</w:t>
            </w:r>
          </w:p>
        </w:tc>
      </w:tr>
      <w:tr>
        <w:tc>
          <w:tcPr>
            <w:tcW w:type="dxa" w:w="2929"/>
          </w:tcPr>
          <w:p>
            <w:r>
              <w:rPr>
                <w:rFonts w:ascii="Times New Roman" w:hAnsi="Times New Roman"/>
                <w:sz w:val="20"/>
              </w:rPr>
              <w:t>Stärken × Chancen (SO)</w:t>
            </w:r>
          </w:p>
        </w:tc>
        <w:tc>
          <w:tcPr>
            <w:tcW w:type="dxa" w:w="2929"/>
          </w:tcPr>
          <w:p>
            <w:r>
              <w:rPr>
                <w:rFonts w:ascii="Times New Roman" w:hAnsi="Times New Roman"/>
                <w:sz w:val="20"/>
              </w:rPr>
              <w:t>Ausbaustrategie</w:t>
            </w:r>
          </w:p>
        </w:tc>
        <w:tc>
          <w:tcPr>
            <w:tcW w:type="dxa" w:w="2929"/>
          </w:tcPr>
          <w:p>
            <w:r>
              <w:rPr>
                <w:rFonts w:ascii="Times New Roman" w:hAnsi="Times New Roman"/>
                <w:sz w:val="20"/>
              </w:rPr>
              <w:t>Vorhandene Stärken gezielt einsetzen, um externe Chancen zu erschließen und Wachstum zu generieren.</w:t>
            </w:r>
          </w:p>
        </w:tc>
      </w:tr>
      <w:tr>
        <w:tc>
          <w:tcPr>
            <w:tcW w:type="dxa" w:w="2929"/>
          </w:tcPr>
          <w:p>
            <w:r>
              <w:rPr>
                <w:rFonts w:ascii="Times New Roman" w:hAnsi="Times New Roman"/>
                <w:sz w:val="20"/>
              </w:rPr>
              <w:t>Stärken × Risiken (ST)</w:t>
            </w:r>
          </w:p>
        </w:tc>
        <w:tc>
          <w:tcPr>
            <w:tcW w:type="dxa" w:w="2929"/>
          </w:tcPr>
          <w:p>
            <w:r>
              <w:rPr>
                <w:rFonts w:ascii="Times New Roman" w:hAnsi="Times New Roman"/>
                <w:sz w:val="20"/>
              </w:rPr>
              <w:t>Verteidigungsstrategie</w:t>
            </w:r>
          </w:p>
        </w:tc>
        <w:tc>
          <w:tcPr>
            <w:tcW w:type="dxa" w:w="2929"/>
          </w:tcPr>
          <w:p>
            <w:r>
              <w:rPr>
                <w:rFonts w:ascii="Times New Roman" w:hAnsi="Times New Roman"/>
                <w:sz w:val="20"/>
              </w:rPr>
              <w:t>Stärken mobilisieren, um externe Bedrohungen abzuwehren oder deren Wirkung zu minimieren.</w:t>
            </w:r>
          </w:p>
        </w:tc>
      </w:tr>
      <w:tr>
        <w:tc>
          <w:tcPr>
            <w:tcW w:type="dxa" w:w="2929"/>
          </w:tcPr>
          <w:p>
            <w:r>
              <w:rPr>
                <w:rFonts w:ascii="Times New Roman" w:hAnsi="Times New Roman"/>
                <w:sz w:val="20"/>
              </w:rPr>
              <w:t>Schwächen × Chancen (WO)</w:t>
            </w:r>
          </w:p>
        </w:tc>
        <w:tc>
          <w:tcPr>
            <w:tcW w:type="dxa" w:w="2929"/>
          </w:tcPr>
          <w:p>
            <w:r>
              <w:rPr>
                <w:rFonts w:ascii="Times New Roman" w:hAnsi="Times New Roman"/>
                <w:sz w:val="20"/>
              </w:rPr>
              <w:t>Aufholstrategie</w:t>
            </w:r>
          </w:p>
        </w:tc>
        <w:tc>
          <w:tcPr>
            <w:tcW w:type="dxa" w:w="2929"/>
          </w:tcPr>
          <w:p>
            <w:r>
              <w:rPr>
                <w:rFonts w:ascii="Times New Roman" w:hAnsi="Times New Roman"/>
                <w:sz w:val="20"/>
              </w:rPr>
              <w:t>Interne Defizite abbauen, um externe Chancen nutzen zu können, die bislang unzugänglich sind.</w:t>
            </w:r>
          </w:p>
        </w:tc>
      </w:tr>
      <w:tr>
        <w:tc>
          <w:tcPr>
            <w:tcW w:type="dxa" w:w="2929"/>
          </w:tcPr>
          <w:p>
            <w:r>
              <w:rPr>
                <w:rFonts w:ascii="Times New Roman" w:hAnsi="Times New Roman"/>
                <w:sz w:val="20"/>
              </w:rPr>
              <w:t>Schwächen × Risiken (WT)</w:t>
            </w:r>
          </w:p>
        </w:tc>
        <w:tc>
          <w:tcPr>
            <w:tcW w:type="dxa" w:w="2929"/>
          </w:tcPr>
          <w:p>
            <w:r>
              <w:rPr>
                <w:rFonts w:ascii="Times New Roman" w:hAnsi="Times New Roman"/>
                <w:sz w:val="20"/>
              </w:rPr>
              <w:t>Rückzugsstrategie</w:t>
            </w:r>
          </w:p>
        </w:tc>
        <w:tc>
          <w:tcPr>
            <w:tcW w:type="dxa" w:w="2929"/>
          </w:tcPr>
          <w:p>
            <w:r>
              <w:rPr>
                <w:rFonts w:ascii="Times New Roman" w:hAnsi="Times New Roman"/>
                <w:sz w:val="20"/>
              </w:rPr>
              <w:t>Risikominimierung durch gleichzeitigen Abbau von Schwächen und Vermeidung von Risikokombinationen.</w:t>
            </w:r>
          </w:p>
        </w:tc>
      </w:tr>
    </w:tbl>
    <w:p>
      <w:pPr>
        <w:spacing w:before="40" w:after="200"/>
        <w:jc w:val="left"/>
      </w:pPr>
      <w:r>
        <w:rPr>
          <w:rFonts w:ascii="Times New Roman" w:hAnsi="Times New Roman"/>
          <w:i/>
          <w:sz w:val="20"/>
        </w:rPr>
        <w:t>Tabelle T.7: SWOT-Normstrategien. Quelle: Eigene Darstellung in Anlehnung an Whittington et al. (2024, [S. X]).</w:t>
      </w:r>
    </w:p>
    <w:p>
      <w:pPr>
        <w:spacing w:after="120"/>
        <w:jc w:val="both"/>
      </w:pPr>
      <w:r>
        <w:rPr>
          <w:rFonts w:ascii="Times New Roman" w:hAnsi="Times New Roman"/>
          <w:sz w:val="24"/>
        </w:rPr>
        <w:t>Methodisch ist zu beachten, dass die SWOT-Analyse nur so valide ist wie die Qualität der Voranalysen, auf die sie aufbaut: PESTEL und Five Forces liefern die externen Faktoren (O und T), während RBV und Wertkettenanalyse die internen Faktoren (S und W) begründen. Eine SWOT ohne fundierte Voranaly-sen reduziert sich auf subjektive Auflistungen ohne analytischen Mehrwert (Whittington et al., 2024, [S. X]).</w:t>
      </w:r>
    </w:p>
    <w:p>
      <w:r>
        <w:br w:type="page"/>
      </w:r>
    </w:p>
    <w:p>
      <w:pPr>
        <w:pStyle w:val="Heading1"/>
        <w:spacing w:before="400" w:after="160"/>
      </w:pPr>
      <w:r>
        <w:rPr>
          <w:rFonts w:ascii="Times New Roman" w:hAnsi="Times New Roman"/>
          <w:b/>
          <w:color w:val="000000"/>
          <w:sz w:val="28"/>
        </w:rPr>
        <w:t>Literaturverzeichnis</w:t>
      </w:r>
    </w:p>
    <w:p>
      <w:pPr>
        <w:spacing w:after="80"/>
        <w:ind w:left="567" w:hanging="567"/>
      </w:pPr>
      <w:r>
        <w:rPr>
          <w:rFonts w:ascii="Times New Roman" w:hAnsi="Times New Roman"/>
          <w:i w:val="0"/>
          <w:sz w:val="24"/>
        </w:rPr>
        <w:t xml:space="preserve">Barney, J. (1991). Firm resources and sustained competitive advantage. </w:t>
      </w:r>
      <w:r>
        <w:rPr>
          <w:rFonts w:ascii="Times New Roman" w:hAnsi="Times New Roman"/>
          <w:i/>
          <w:sz w:val="24"/>
        </w:rPr>
        <w:t>Journal of Management</w:t>
      </w:r>
      <w:r>
        <w:rPr>
          <w:rFonts w:ascii="Times New Roman" w:hAnsi="Times New Roman"/>
          <w:i w:val="0"/>
          <w:sz w:val="24"/>
        </w:rPr>
        <w:t>, 17(1), 99–120. https://doi.org/10.1177/014920639101700108</w:t>
      </w:r>
    </w:p>
    <w:p>
      <w:pPr>
        <w:spacing w:after="80"/>
        <w:ind w:left="567" w:hanging="567"/>
      </w:pPr>
      <w:r>
        <w:rPr>
          <w:rFonts w:ascii="Times New Roman" w:hAnsi="Times New Roman"/>
          <w:i w:val="0"/>
          <w:sz w:val="24"/>
        </w:rPr>
        <w:t xml:space="preserve">Grant, R. M. (2024). </w:t>
      </w:r>
      <w:r>
        <w:rPr>
          <w:rFonts w:ascii="Times New Roman" w:hAnsi="Times New Roman"/>
          <w:i/>
          <w:sz w:val="24"/>
        </w:rPr>
        <w:t>Contemporary strategy analysis</w:t>
      </w:r>
      <w:r>
        <w:rPr>
          <w:rFonts w:ascii="Times New Roman" w:hAnsi="Times New Roman"/>
          <w:i w:val="0"/>
          <w:sz w:val="24"/>
        </w:rPr>
        <w:t xml:space="preserve"> (12. Aufl.). Wiley. ISBN 978-1-394-25159-9</w:t>
      </w:r>
    </w:p>
    <w:p>
      <w:pPr>
        <w:spacing w:after="80"/>
        <w:ind w:left="567" w:hanging="567"/>
      </w:pPr>
      <w:r>
        <w:rPr>
          <w:rFonts w:ascii="Times New Roman" w:hAnsi="Times New Roman"/>
          <w:i w:val="0"/>
          <w:sz w:val="24"/>
        </w:rPr>
        <w:t xml:space="preserve">Porter, M. E. (1980). </w:t>
      </w:r>
      <w:r>
        <w:rPr>
          <w:rFonts w:ascii="Times New Roman" w:hAnsi="Times New Roman"/>
          <w:i/>
          <w:sz w:val="24"/>
        </w:rPr>
        <w:t>Competitive strategy: Techniques for analyzing industries and competitors.</w:t>
      </w:r>
      <w:r>
        <w:rPr>
          <w:rFonts w:ascii="Times New Roman" w:hAnsi="Times New Roman"/>
          <w:i w:val="0"/>
          <w:sz w:val="24"/>
        </w:rPr>
        <w:t xml:space="preserve"> The Free Press. ISBN 978-0-02-925360-1</w:t>
      </w:r>
    </w:p>
    <w:p>
      <w:pPr>
        <w:spacing w:after="80"/>
        <w:ind w:left="567" w:hanging="567"/>
      </w:pPr>
      <w:r>
        <w:rPr>
          <w:rFonts w:ascii="Times New Roman" w:hAnsi="Times New Roman"/>
          <w:i w:val="0"/>
          <w:sz w:val="24"/>
        </w:rPr>
        <w:t xml:space="preserve">Porter, M. E. (1985). </w:t>
      </w:r>
      <w:r>
        <w:rPr>
          <w:rFonts w:ascii="Times New Roman" w:hAnsi="Times New Roman"/>
          <w:i/>
          <w:sz w:val="24"/>
        </w:rPr>
        <w:t>Competitive advantage: Creating and sustaining superior performance.</w:t>
      </w:r>
      <w:r>
        <w:rPr>
          <w:rFonts w:ascii="Times New Roman" w:hAnsi="Times New Roman"/>
          <w:i w:val="0"/>
          <w:sz w:val="24"/>
        </w:rPr>
        <w:t xml:space="preserve"> The Free Press. ISBN 978-0-02-925090-7</w:t>
      </w:r>
    </w:p>
    <w:p>
      <w:pPr>
        <w:spacing w:after="80"/>
        <w:ind w:left="567" w:hanging="567"/>
      </w:pPr>
      <w:r>
        <w:rPr>
          <w:rFonts w:ascii="Times New Roman" w:hAnsi="Times New Roman"/>
          <w:i w:val="0"/>
          <w:sz w:val="24"/>
        </w:rPr>
        <w:t xml:space="preserve">Porter, M. E. (2008). The five competitive forces that shape strategy. </w:t>
      </w:r>
      <w:r>
        <w:rPr>
          <w:rFonts w:ascii="Times New Roman" w:hAnsi="Times New Roman"/>
          <w:i/>
          <w:sz w:val="24"/>
        </w:rPr>
        <w:t>Harvard Business Review</w:t>
      </w:r>
      <w:r>
        <w:rPr>
          <w:rFonts w:ascii="Times New Roman" w:hAnsi="Times New Roman"/>
          <w:i w:val="0"/>
          <w:sz w:val="24"/>
        </w:rPr>
        <w:t>, 86(1), 78–93.</w:t>
      </w:r>
    </w:p>
    <w:p>
      <w:pPr>
        <w:spacing w:after="80"/>
        <w:ind w:left="567" w:hanging="567"/>
      </w:pPr>
      <w:r>
        <w:rPr>
          <w:rFonts w:ascii="Times New Roman" w:hAnsi="Times New Roman"/>
          <w:i w:val="0"/>
          <w:sz w:val="24"/>
        </w:rPr>
        <w:t xml:space="preserve">Prahalad, C. K., &amp; Hamel, G. (1990). The core competence of the corporation. </w:t>
      </w:r>
      <w:r>
        <w:rPr>
          <w:rFonts w:ascii="Times New Roman" w:hAnsi="Times New Roman"/>
          <w:i/>
          <w:sz w:val="24"/>
        </w:rPr>
        <w:t>Harvard Business Review</w:t>
      </w:r>
      <w:r>
        <w:rPr>
          <w:rFonts w:ascii="Times New Roman" w:hAnsi="Times New Roman"/>
          <w:i w:val="0"/>
          <w:sz w:val="24"/>
        </w:rPr>
        <w:t>, 68(3), 79–91.</w:t>
      </w:r>
    </w:p>
    <w:p>
      <w:pPr>
        <w:spacing w:after="80"/>
        <w:ind w:left="567" w:hanging="567"/>
      </w:pPr>
      <w:r>
        <w:rPr>
          <w:rFonts w:ascii="Times New Roman" w:hAnsi="Times New Roman"/>
          <w:i w:val="0"/>
          <w:sz w:val="24"/>
        </w:rPr>
        <w:t xml:space="preserve">Whittington, R., Régner, P., Angwin, D., Johnson, G., &amp; Scholes, K. (2024). </w:t>
      </w:r>
      <w:r>
        <w:rPr>
          <w:rFonts w:ascii="Times New Roman" w:hAnsi="Times New Roman"/>
          <w:i/>
          <w:sz w:val="24"/>
        </w:rPr>
        <w:t>Exploring strategy: Text and cases</w:t>
      </w:r>
      <w:r>
        <w:rPr>
          <w:rFonts w:ascii="Times New Roman" w:hAnsi="Times New Roman"/>
          <w:i w:val="0"/>
          <w:sz w:val="24"/>
        </w:rPr>
        <w:t xml:space="preserve"> (13. Aufl.). Pearson Education. ISBN 978-1-292-47953-8</w:t>
      </w:r>
    </w:p>
    <w:sectPr w:rsidR="00FC693F" w:rsidRPr="0006063C" w:rsidSect="00034616">
      <w:pgSz w:w="11906" w:h="16838"/>
      <w:pgMar w:top="1417" w:right="141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