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Sondermaschinenbau Kysuce</w:t>
      </w:r>
    </w:p>
    <w:p>
      <w:pPr>
        <w:jc w:val="center"/>
      </w:pPr>
      <w:r>
        <w:rPr>
          <w:b/>
          <w:color w:val="2E74B5"/>
          <w:sz w:val="30"/>
        </w:rPr>
        <w:t>Eigenständigkeit &amp; strategische Neuausrichtung</w:t>
      </w:r>
    </w:p>
    <w:p>
      <w:pPr>
        <w:jc w:val="center"/>
      </w:pPr>
      <w:r>
        <w:rPr>
          <w:color w:val="606060"/>
          <w:sz w:val="24"/>
        </w:rPr>
        <w:t>Analyse: Prinzipal / Auftragsfertiger — Pro &amp; Contra</w:t>
      </w:r>
    </w:p>
    <w:p/>
    <w:p>
      <w:pPr>
        <w:jc w:val="center"/>
      </w:pPr>
      <w:r>
        <w:rPr>
          <w:sz w:val="22"/>
        </w:rPr>
        <w:t>Mai 2026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1. Ausgangslage</w:t>
      </w:r>
    </w:p>
    <w:p>
      <w:pPr>
        <w:pBdr>
          <w:bottom w:val="single" w:sz="6" w:space="1" w:color="2E74B5"/>
        </w:pBdr>
        <w:spacing w:before="40" w:after="160"/>
      </w:pPr>
    </w:p>
    <w:p>
      <w:pPr>
        <w:spacing w:after="80"/>
      </w:pPr>
      <w:r>
        <w:t>Sondermaschinenbau Kysuce agiert aktuell als **Auftragsfertiger** unter dem **Prinzipal Sondermaschinenbau Deutschland**. Diese Struktur wurde vom Mutterkonzern übernommen — sie ist jedoch für die SMB-Einheit isoliert betrachtet **strukturell nicht sachlogisch** und blockiert aktiv die strategische Weiterentwicklung des Standorts.</w:t>
      </w:r>
    </w:p>
    <w:p/>
    <w:p>
      <w:pPr>
        <w:spacing w:before="280" w:after="80"/>
      </w:pPr>
      <w:r>
        <w:rPr>
          <w:b/>
          <w:color w:val="404040"/>
          <w:sz w:val="22"/>
        </w:rPr>
        <w:t>Kernmerkmale der aktuellen Struktur</w:t>
      </w:r>
    </w:p>
    <w:p>
      <w:pPr>
        <w:pStyle w:val="ListBullet"/>
        <w:spacing w:after="40"/>
      </w:pPr>
      <w:r>
        <w:rPr>
          <w:b w:val="0"/>
        </w:rPr>
        <w:t>Sondermaschinenbau Deutschland trägt die vollständige G&amp;V-Verantwortung</w:t>
      </w:r>
    </w:p>
    <w:p>
      <w:pPr>
        <w:pStyle w:val="ListBullet"/>
        <w:spacing w:after="40"/>
      </w:pPr>
      <w:r>
        <w:rPr>
          <w:b w:val="0"/>
        </w:rPr>
        <w:t>Kysuce erbringt Leistungen als verlängerte Werkbank — ohne eigene Ergebnisverantwortung</w:t>
      </w:r>
    </w:p>
    <w:p>
      <w:pPr>
        <w:pStyle w:val="ListBullet"/>
        <w:spacing w:after="40"/>
      </w:pPr>
      <w:r>
        <w:rPr>
          <w:b w:val="0"/>
        </w:rPr>
        <w:t>Strategische und kommerzielle Entscheidungen (Kunden, Preise, Investitionen) liegen zentral in DE</w:t>
      </w:r>
    </w:p>
    <w:p>
      <w:pPr>
        <w:pStyle w:val="ListBullet"/>
        <w:spacing w:after="40"/>
      </w:pPr>
      <w:r>
        <w:rPr>
          <w:b w:val="0"/>
        </w:rPr>
        <w:t>Alle anderen Standorte im SMB-Netzwerk sind eigenständig — Kysuce ist die Ausnahme</w:t>
      </w:r>
    </w:p>
    <w:p>
      <w:pPr>
        <w:pStyle w:val="ListBullet"/>
        <w:spacing w:after="40"/>
      </w:pPr>
      <w:r>
        <w:rPr>
          <w:b w:val="0"/>
        </w:rPr>
        <w:t>Die Struktur wurde nicht aktiv gewählt, sondern aus dem Mutterkonzern übernommen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2. Argumente für das Beibehalten der aktuellen Struktur</w:t>
      </w:r>
    </w:p>
    <w:p>
      <w:pPr>
        <w:pBdr>
          <w:bottom w:val="single" w:sz="6" w:space="1" w:color="2E74B5"/>
        </w:pBdr>
        <w:spacing w:before="40" w:after="160"/>
      </w:pPr>
    </w:p>
    <w:p>
      <w:pPr>
        <w:spacing w:before="280" w:after="80"/>
      </w:pPr>
      <w:r>
        <w:rPr>
          <w:b/>
          <w:color w:val="2E74B5"/>
          <w:sz w:val="26"/>
        </w:rPr>
        <w:t>2.1  Geringere kurzfristige Kosten</w:t>
      </w:r>
    </w:p>
    <w:p>
      <w:pPr>
        <w:spacing w:after="80"/>
      </w:pPr>
      <w:r>
        <w:t>Die Beibehaltung der Struktur verursacht keine unmittelbaren Umstellungskosten. Vertragswerke, Verrechnungspreise, Prozesse und IT/ERP-Systeme bleiben unverändert. Die finanzielle Belastung bleibt kurzfristig auf dem Mindestniveau.</w:t>
      </w:r>
    </w:p>
    <w:p>
      <w:pPr>
        <w:pStyle w:val="ListBullet"/>
        <w:spacing w:after="40"/>
      </w:pPr>
      <w:r>
        <w:rPr>
          <w:b w:val="0"/>
        </w:rPr>
        <w:t>Keine Einmalkosten für rechtliche Neugestaltung der Gesellschaftsstruktur</w:t>
      </w:r>
    </w:p>
    <w:p>
      <w:pPr>
        <w:pStyle w:val="ListBullet"/>
        <w:spacing w:after="40"/>
      </w:pPr>
      <w:r>
        <w:rPr>
          <w:b w:val="0"/>
        </w:rPr>
        <w:t>Kein Aufwand für Aufbau einer eigenständigen Controlling- und G&amp;V-Logik in Kysuce</w:t>
      </w:r>
    </w:p>
    <w:p>
      <w:pPr>
        <w:pStyle w:val="ListBullet"/>
        <w:spacing w:after="40"/>
      </w:pPr>
      <w:r>
        <w:rPr>
          <w:b w:val="0"/>
        </w:rPr>
        <w:t>Kein Anpassungsbedarf bei bestehenden Konzernintern-Verträgen</w:t>
      </w:r>
    </w:p>
    <w:p>
      <w:pPr>
        <w:spacing w:before="280" w:after="80"/>
      </w:pPr>
      <w:r>
        <w:rPr>
          <w:b/>
          <w:color w:val="2E74B5"/>
          <w:sz w:val="26"/>
        </w:rPr>
        <w:t>2.2  Operative Kontinuität und Stabilität</w:t>
      </w:r>
    </w:p>
    <w:p>
      <w:pPr>
        <w:spacing w:after="80"/>
      </w:pPr>
      <w:r>
        <w:t>Bestehende Abläufe, Verantwortlichkeiten und Reporting-Strukturen bleiben unberührt. Kein Risiko von Reibungsverlusten durch organisatorische Umstellungen — besonders relevant, da laufende Projekte und Serienfertigung auf dieser Struktur basieren.</w:t>
      </w:r>
    </w:p>
    <w:p>
      <w:pPr>
        <w:pStyle w:val="ListBullet"/>
        <w:spacing w:after="40"/>
      </w:pPr>
      <w:r>
        <w:rPr>
          <w:b w:val="0"/>
        </w:rPr>
        <w:t>Bewährte Prozesse bleiben erhalten</w:t>
      </w:r>
    </w:p>
    <w:p>
      <w:pPr>
        <w:pStyle w:val="ListBullet"/>
        <w:spacing w:after="40"/>
      </w:pPr>
      <w:r>
        <w:rPr>
          <w:b w:val="0"/>
        </w:rPr>
        <w:t>Mitarbeiter und Führungskräfte arbeiten in bekannten Strukturen</w:t>
      </w:r>
    </w:p>
    <w:p>
      <w:pPr>
        <w:pStyle w:val="ListBullet"/>
        <w:spacing w:after="40"/>
      </w:pPr>
      <w:r>
        <w:rPr>
          <w:b w:val="0"/>
        </w:rPr>
        <w:t>Kein Übergangszeitraum mit erhöhtem Fehlerrisiko</w:t>
      </w:r>
    </w:p>
    <w:p>
      <w:pPr>
        <w:spacing w:before="280" w:after="80"/>
      </w:pPr>
      <w:r>
        <w:rPr>
          <w:b/>
          <w:color w:val="2E74B5"/>
          <w:sz w:val="26"/>
        </w:rPr>
        <w:t>2.3  Zentrale Steuerbarkeit bleibt erhalten</w:t>
      </w:r>
    </w:p>
    <w:p>
      <w:pPr>
        <w:spacing w:after="80"/>
      </w:pPr>
      <w:r>
        <w:t>Deutschland behält die volle kommerzielle und strategische Kontrolle über Preise, Margen, Kundenbeziehungen und Investitionen. Vorteilhaft, wenn Kysuce primär als Ausführungsstandort definiert bleiben soll.</w:t>
      </w:r>
    </w:p>
    <w:p>
      <w:pPr>
        <w:spacing w:before="280" w:after="80"/>
      </w:pPr>
      <w:r>
        <w:rPr>
          <w:b/>
          <w:color w:val="2E74B5"/>
          <w:sz w:val="26"/>
        </w:rPr>
        <w:t>2.4  Geringere Management-Komplexität</w:t>
      </w:r>
    </w:p>
    <w:p>
      <w:pPr>
        <w:spacing w:after="80"/>
      </w:pPr>
      <w:r>
        <w:t>Keine doppelte Führungslogik zwischen Standort- und Profit-Center-Verantwortung. Weniger Schnittstellen zwischen Gesellschaften, Steuerung und Controlling. In kritischen Projektphasen kann dies die Reaktionsfähigkeit vereinfachen.</w:t>
      </w:r>
    </w:p>
    <w:p>
      <w:pPr>
        <w:spacing w:before="280" w:after="80"/>
      </w:pPr>
      <w:r>
        <w:rPr>
          <w:b/>
          <w:color w:val="2E74B5"/>
          <w:sz w:val="26"/>
        </w:rPr>
        <w:t>2.5  Schutz vor Implementierungsrisiken</w:t>
      </w:r>
    </w:p>
    <w:p>
      <w:pPr>
        <w:spacing w:after="80"/>
      </w:pPr>
      <w:r>
        <w:t>Eine Neuaufsetzung birgt Risiken bei Transfer Pricing, Vertragsgestaltung und steuerlicher Anerkennung. Ein funktionierendes, wenn auch nicht ideales Modell kann kurzfristig robuster sein als ein schlecht implementiertes Zielbild.</w:t>
      </w:r>
    </w:p>
    <w:p>
      <w:pPr>
        <w:pStyle w:val="ListBullet"/>
        <w:spacing w:after="40"/>
      </w:pPr>
      <w:r>
        <w:rPr>
          <w:b w:val="0"/>
        </w:rPr>
        <w:t>Kritisch: Dieser Vorteil gilt nur bei sorgfältiger Planung der Alternative — nicht als dauerhaftes Argument für den Status quo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3. Argumente für die Änderung — Kysuce als eigenständiger Standort mit G&amp;V-Verantwortung</w:t>
      </w:r>
    </w:p>
    <w:p>
      <w:pPr>
        <w:pBdr>
          <w:bottom w:val="single" w:sz="6" w:space="1" w:color="2E74B5"/>
        </w:pBdr>
        <w:spacing w:before="40" w:after="160"/>
      </w:pPr>
    </w:p>
    <w:p>
      <w:pPr>
        <w:spacing w:before="280" w:after="80"/>
      </w:pPr>
      <w:r>
        <w:rPr>
          <w:b/>
          <w:color w:val="2E74B5"/>
          <w:sz w:val="26"/>
        </w:rPr>
        <w:t>3.1  Strukturelle Unstimmigkeit der aktuellen Rollen</w:t>
      </w:r>
    </w:p>
    <w:p>
      <w:pPr>
        <w:spacing w:after="80"/>
      </w:pPr>
      <w:r>
        <w:t>Die heutige Konstruktion wurde vom Mutterkonzern übernommen — sie ist nicht auf die reale wirtschaftliche Verantwortung der SMB-Einheit zugeschnitten. Kysuce operiert faktisch eigenständig, wird aber rechtlich und finanziell nur als verlängerte Werkbank geführt.</w:t>
      </w:r>
    </w:p>
    <w:p>
      <w:pPr>
        <w:pStyle w:val="ListBullet"/>
        <w:spacing w:after="40"/>
      </w:pPr>
      <w:r>
        <w:rPr>
          <w:b w:val="0"/>
        </w:rPr>
        <w:t>Diskrepanz zwischen operativer Realität und formaler Struktur</w:t>
      </w:r>
    </w:p>
    <w:p>
      <w:pPr>
        <w:pStyle w:val="ListBullet"/>
        <w:spacing w:after="40"/>
      </w:pPr>
      <w:r>
        <w:rPr>
          <w:b w:val="0"/>
        </w:rPr>
        <w:t>Fehlanreize in Entscheidungsprozessen durch fehlende Ergebnisverantwortung</w:t>
      </w:r>
    </w:p>
    <w:p>
      <w:pPr>
        <w:pStyle w:val="ListBullet"/>
        <w:spacing w:after="40"/>
      </w:pPr>
      <w:r>
        <w:rPr>
          <w:b w:val="0"/>
        </w:rPr>
        <w:t>Strukturelle Unschärfe erschwert interne Leistungsvergleiche und Benchmarks</w:t>
      </w:r>
    </w:p>
    <w:p>
      <w:pPr>
        <w:spacing w:before="280" w:after="80"/>
      </w:pPr>
      <w:r>
        <w:rPr>
          <w:b/>
          <w:color w:val="2E74B5"/>
          <w:sz w:val="26"/>
        </w:rPr>
        <w:t>3.2  Wettbewerbsnachteil innerhalb des eigenen Netzwerks</w:t>
      </w:r>
    </w:p>
    <w:p>
      <w:pPr>
        <w:spacing w:after="80"/>
      </w:pPr>
      <w:r>
        <w:t>**Dies ist der konkreteste und dringlichste Punkt:** Die Standortleiterin in Kysuce kann aktuell nicht eigenständig über neue externe Kunden entscheiden. Alle anderen Standorte im SMB-Netzwerk haben diese Autonomie. Das bedeutet:</w:t>
      </w:r>
    </w:p>
    <w:p>
      <w:pPr>
        <w:pStyle w:val="ListBullet"/>
        <w:spacing w:after="40"/>
      </w:pPr>
      <w:r>
        <w:rPr>
          <w:b w:val="0"/>
        </w:rPr>
        <w:t>Kysuce ist strukturell schlechter gestellt als alle vergleichbaren Standorte im Netzwerk</w:t>
      </w:r>
    </w:p>
    <w:p>
      <w:pPr>
        <w:pStyle w:val="ListBullet"/>
        <w:spacing w:after="40"/>
      </w:pPr>
      <w:r>
        <w:rPr>
          <w:b w:val="0"/>
        </w:rPr>
        <w:t>Entscheidungsgeschwindigkeit und unternehmerische Initiative bleiben systematisch gebremst</w:t>
      </w:r>
    </w:p>
    <w:p>
      <w:pPr>
        <w:pStyle w:val="ListBullet"/>
        <w:spacing w:after="40"/>
      </w:pPr>
      <w:r>
        <w:rPr>
          <w:b w:val="0"/>
        </w:rPr>
        <w:t>Der operative Reifegrad des Standorts rechtfertigt eigenständige Führung — die Struktur verhindert sie</w:t>
      </w:r>
    </w:p>
    <w:p>
      <w:pPr>
        <w:pStyle w:val="ListBullet"/>
        <w:spacing w:after="40"/>
      </w:pPr>
      <w:r>
        <w:rPr>
          <w:b w:val="0"/>
        </w:rPr>
        <w:t>Fachkräftebindung und Attraktivität für Führungstalente werden durch fehlende Entscheidungsautonomie negativ beeinflusst</w:t>
      </w:r>
    </w:p>
    <w:p>
      <w:pPr>
        <w:spacing w:before="280" w:after="80"/>
      </w:pPr>
      <w:r>
        <w:rPr>
          <w:b/>
          <w:color w:val="2E74B5"/>
          <w:sz w:val="26"/>
        </w:rPr>
        <w:t>3.3  Fehlende Ergebnisverantwortung schwächt den Standort</w:t>
      </w:r>
    </w:p>
    <w:p>
      <w:pPr>
        <w:spacing w:after="80"/>
      </w:pPr>
      <w:r>
        <w:t>Ohne eigene G&amp;V-Verantwortung bleibt Kysuce operativ abhängig. Effizienz, Kostenbewusstsein und unternehmerisches Denken vor Ort werden strukturell abgeschwächt.</w:t>
      </w:r>
    </w:p>
    <w:p>
      <w:pPr>
        <w:pStyle w:val="ListBullet"/>
        <w:spacing w:after="40"/>
      </w:pPr>
      <w:r>
        <w:rPr>
          <w:b w:val="0"/>
        </w:rPr>
        <w:t>Wer keine Ergebnisverantwortung trägt, optimiert auf Auslastung — nicht auf Wertbeitrag</w:t>
      </w:r>
    </w:p>
    <w:p>
      <w:pPr>
        <w:pStyle w:val="ListBullet"/>
        <w:spacing w:after="40"/>
      </w:pPr>
      <w:r>
        <w:rPr>
          <w:b w:val="0"/>
        </w:rPr>
        <w:t>Investitionsentscheidungen vor Ort können nicht eigenständig auf Basis lokaler P&amp;L getroffen werden</w:t>
      </w:r>
    </w:p>
    <w:p>
      <w:pPr>
        <w:pStyle w:val="ListBullet"/>
        <w:spacing w:after="40"/>
      </w:pPr>
      <w:r>
        <w:rPr>
          <w:b w:val="0"/>
        </w:rPr>
        <w:t>Kostentransparenz und Standortperformance sind schwerer vergleichbar und steuerbar</w:t>
      </w:r>
    </w:p>
    <w:p>
      <w:pPr>
        <w:spacing w:before="280" w:after="80"/>
      </w:pPr>
      <w:r>
        <w:rPr>
          <w:b/>
          <w:color w:val="2E74B5"/>
          <w:sz w:val="26"/>
        </w:rPr>
        <w:t>3.4  Low Cost Hub Strategie ist ohne Eigenständigkeit nicht realisierbar</w:t>
      </w:r>
    </w:p>
    <w:p>
      <w:pPr>
        <w:spacing w:after="80"/>
      </w:pPr>
      <w:r>
        <w:t>Kysuce soll mittelfristig als **Low Cost Hub für Europa** ausgebaut werden. Das Modell sieht zwei Phasen vor:</w:t>
      </w:r>
    </w:p>
    <w:p>
      <w:pPr>
        <w:spacing w:after="80"/>
      </w:pPr>
      <w:r>
        <w:rPr>
          <w:b/>
        </w:rPr>
        <w:t xml:space="preserve">Phase 1 (läuft bereits): </w:t>
      </w:r>
      <w:r>
        <w:t>Einkaufsdienstleistungen für DE / den Prinzipal — Bestellungen anlegen, Wareneingang mit Lieferanten nachverfolgen. Ausschließlich interne Leistungen an den Prinzipal, daher steuerlich unkritisch.</w:t>
      </w:r>
    </w:p>
    <w:p>
      <w:pPr>
        <w:spacing w:after="80"/>
      </w:pPr>
      <w:r>
        <w:rPr>
          <w:b/>
        </w:rPr>
        <w:t xml:space="preserve">Phase 2 (geplant): </w:t>
      </w:r>
      <w:r>
        <w:t>Ersatzteil-Hub für Europa — alle Ersatzteile werden nicht mehr an den europäischen Standorten bestellt, sondern ausschließlich über IWK Kysuce, und von dort zu internen und externen Kunden weltweit versendet.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pPr>
              <w:spacing w:before="120" w:after="120"/>
              <w:ind w:left="170"/>
            </w:pPr>
            <w:r>
              <w:rPr>
                <w:b/>
                <w:color w:val="C00000"/>
              </w:rPr>
              <w:t xml:space="preserve">Kritischer Punkt: </w:t>
            </w:r>
            <w:r>
              <w:t>Solange die Prinzipal-/Auftragsfertiger-Struktur besteht und der physische Transport über Deutschland erfolgen muss, ist Phase 2 wirtschaftlich nicht darstellbar. Das Geschäftsmodell des Ersatzteil-Hubs setzt voraus, dass Kysuce direkt als Versender auftreten kann — ohne den Umweg über Deutschland. Die Beibehaltung der heutigen Struktur blockiert damit aktiv eine strategisch wichtige Wachstumsoption des Standorts.</w:t>
            </w:r>
          </w:p>
        </w:tc>
      </w:tr>
    </w:tbl>
    <w:p/>
    <w:p>
      <w:pPr>
        <w:pStyle w:val="ListBullet"/>
        <w:spacing w:after="40"/>
      </w:pPr>
      <w:r>
        <w:rPr>
          <w:b w:val="0"/>
        </w:rPr>
        <w:t>Der tatsächliche finanzielle Effekt wird berechnet, sobald Werte und Kundenstandorte für Ersatzteile aus Europa vorliegen (Abstimmung mit Larissa)</w:t>
      </w:r>
    </w:p>
    <w:p>
      <w:pPr>
        <w:pStyle w:val="ListBullet"/>
        <w:spacing w:after="40"/>
      </w:pPr>
      <w:r>
        <w:rPr>
          <w:b w:val="0"/>
        </w:rPr>
        <w:t>Bereits Phase 1 zeigt: Kysuce kann Einkaufsleistungen effizienter und kostengünstiger erbringen als DE — Phase 2 skaliert dieses Modell auf Lagerlogistik und Versand</w:t>
      </w:r>
    </w:p>
    <w:p>
      <w:pPr>
        <w:spacing w:before="280" w:after="80"/>
      </w:pPr>
      <w:r>
        <w:rPr>
          <w:b/>
          <w:color w:val="2E74B5"/>
          <w:sz w:val="26"/>
        </w:rPr>
        <w:t>3.5  Langfristig bessere strategische Entscheidungsqualität</w:t>
      </w:r>
    </w:p>
    <w:p>
      <w:pPr>
        <w:spacing w:after="80"/>
      </w:pPr>
      <w:r>
        <w:t>Eine echte Verantwortungszuordnung verbessert Investitionsentscheidungen, Make-or-Buy-Entscheidungen und Standortentwicklung. Kysuce kann gegenüber dem Konzern klar positioniert werden — als eigenständige, unternehmerisch geführte Einheit.</w:t>
      </w:r>
    </w:p>
    <w:p>
      <w:pPr>
        <w:pStyle w:val="ListBullet"/>
        <w:spacing w:after="40"/>
      </w:pPr>
      <w:r>
        <w:rPr>
          <w:b w:val="0"/>
        </w:rPr>
        <w:t>Klarere Transparenz über Leistung, Kosten und Wertbeitrag des Standorts</w:t>
      </w:r>
    </w:p>
    <w:p>
      <w:pPr>
        <w:pStyle w:val="ListBullet"/>
        <w:spacing w:after="40"/>
      </w:pPr>
      <w:r>
        <w:rPr>
          <w:b w:val="0"/>
        </w:rPr>
        <w:t>Erleichtert Vergleiche mit anderen Standorten oder externen Benchmarks</w:t>
      </w:r>
    </w:p>
    <w:p>
      <w:pPr>
        <w:pStyle w:val="ListBullet"/>
        <w:spacing w:after="40"/>
      </w:pPr>
      <w:r>
        <w:rPr>
          <w:b w:val="0"/>
        </w:rPr>
        <w:t>Stärkere unternehmerische Kultur und Eigenverantwortung vor Ort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4. Was passiert, wenn wir es NICHT machen?</w:t>
      </w:r>
    </w:p>
    <w:p>
      <w:pPr>
        <w:pBdr>
          <w:bottom w:val="single" w:sz="6" w:space="1" w:color="2E74B5"/>
        </w:pBdr>
        <w:spacing w:before="40" w:after="160"/>
      </w:pPr>
    </w:p>
    <w:p>
      <w:pPr>
        <w:spacing w:after="80"/>
      </w:pPr>
      <w:r>
        <w:t>Das „Nichtstun" ist keine risikoneutrale Option. Folgende Konsequenzen sind bei Beibehaltung der aktuellen Struktur realistisch:</w:t>
      </w:r>
    </w:p>
    <w:p/>
    <w:p>
      <w:pPr>
        <w:spacing w:before="280" w:after="80"/>
      </w:pPr>
      <w:r>
        <w:rPr>
          <w:b/>
          <w:color w:val="2E74B5"/>
          <w:sz w:val="26"/>
        </w:rPr>
        <w:t>4.1  Steuerrechtliches Risiko in der Slowakei</w:t>
      </w:r>
    </w:p>
    <w:p>
      <w:pPr>
        <w:spacing w:after="80"/>
      </w:pPr>
      <w:r>
        <w:t>Falls Kysuce die Anforderungen für eine eigenständige Betriebsstätte faktisch bereits erfüllt — z.B. weil Managemententscheidungen de facto lokal getroffen werden, Kundenkontakte bestehen oder eine eigenständige Wertschöpfung nachweisbar ist — kann die slowakische Steuerbehörde die Prinzipal-/Auftragsfertiger-Struktur in Frage stellen.</w:t>
      </w:r>
    </w:p>
    <w:p>
      <w:pPr>
        <w:pStyle w:val="ListBullet"/>
        <w:spacing w:after="40"/>
      </w:pPr>
      <w:r>
        <w:rPr>
          <w:b w:val="0"/>
        </w:rPr>
        <w:t>Risiko einer nachträglichen Umqualifizierung als eigenständige Betriebsstätte ohne entsprechende Verrechnungspreisstruktur</w:t>
      </w:r>
    </w:p>
    <w:p>
      <w:pPr>
        <w:pStyle w:val="ListBullet"/>
        <w:spacing w:after="40"/>
      </w:pPr>
      <w:r>
        <w:rPr>
          <w:b w:val="0"/>
        </w:rPr>
        <w:t>Mögliche Steuernachforderungen, Strafen und erhöhte Nachweispflichten</w:t>
      </w:r>
    </w:p>
    <w:p>
      <w:pPr>
        <w:pStyle w:val="ListBullet"/>
        <w:spacing w:after="40"/>
      </w:pPr>
      <w:r>
        <w:rPr>
          <w:b w:val="0"/>
        </w:rPr>
        <w:t>Mit dem Start von Phase-1-Aktivitäten (externe Dienstleistungserbringung) steigt die Relevanz dieses Risikos</w:t>
      </w:r>
    </w:p>
    <w:p>
      <w:pPr>
        <w:pStyle w:val="ListBullet"/>
        <w:spacing w:after="40"/>
      </w:pPr>
      <w:r>
        <w:rPr>
          <w:b w:val="0"/>
        </w:rPr>
        <w:t>Proaktive Regelung der Eigenständigkeit schafft Rechtssicherheit und vermeidet reaktiven Handlungsdruck</w:t>
      </w:r>
    </w:p>
    <w:p>
      <w:pPr>
        <w:spacing w:before="120"/>
      </w:pPr>
      <w:r>
        <w:rPr>
          <w:b/>
          <w:color w:val="C00000"/>
        </w:rPr>
        <w:t xml:space="preserve">Handlungsbedarf: </w:t>
      </w:r>
      <w:r>
        <w:t>Diesen Punkt konkret mit der Steuerabteilung prüfen — insbesondere im Hinblick auf die bereits laufenden Aktivitäten und den geplanten Ersatzteil-Hub.</w:t>
      </w:r>
    </w:p>
    <w:p>
      <w:pPr>
        <w:spacing w:before="280" w:after="80"/>
      </w:pPr>
      <w:r>
        <w:rPr>
          <w:b/>
          <w:color w:val="2E74B5"/>
          <w:sz w:val="26"/>
        </w:rPr>
        <w:t>4.2  Strategische Blockade des Ersatzteil-Hubs</w:t>
      </w:r>
    </w:p>
    <w:p>
      <w:pPr>
        <w:spacing w:after="80"/>
      </w:pPr>
      <w:r>
        <w:t>Wie in Abschnitt 3.4 dargelegt: Ohne Strukturänderung ist der Ersatzteil-Hub für Europa nicht realisierbar. Konkret bedeutet das:</w:t>
      </w:r>
    </w:p>
    <w:p>
      <w:pPr>
        <w:pStyle w:val="ListBullet"/>
        <w:spacing w:after="40"/>
      </w:pPr>
      <w:r>
        <w:rPr>
          <w:b w:val="0"/>
        </w:rPr>
        <w:t>Kein direkter Versand von Ersatzteilen aus Kysuce an externe und interne Kunden weltweit</w:t>
      </w:r>
    </w:p>
    <w:p>
      <w:pPr>
        <w:pStyle w:val="ListBullet"/>
        <w:spacing w:after="40"/>
      </w:pPr>
      <w:r>
        <w:rPr>
          <w:b w:val="0"/>
        </w:rPr>
        <w:t>Physischer Umweg über Deutschland macht das Modell wirtschaftlich unrentabel</w:t>
      </w:r>
    </w:p>
    <w:p>
      <w:pPr>
        <w:pStyle w:val="ListBullet"/>
        <w:spacing w:after="40"/>
      </w:pPr>
      <w:r>
        <w:rPr>
          <w:b w:val="0"/>
        </w:rPr>
        <w:t>Verlust einer strategisch wichtigen Wachstumsoption für den Standort</w:t>
      </w:r>
    </w:p>
    <w:p>
      <w:pPr>
        <w:pStyle w:val="ListBullet"/>
        <w:spacing w:after="40"/>
      </w:pPr>
      <w:r>
        <w:rPr>
          <w:b w:val="0"/>
        </w:rPr>
        <w:t>Wettbewerbsnachteil gegenüber alternativen Hub-Standorten im Konzern oder extern</w:t>
      </w:r>
    </w:p>
    <w:p>
      <w:pPr>
        <w:spacing w:before="280" w:after="80"/>
      </w:pPr>
      <w:r>
        <w:rPr>
          <w:b/>
          <w:color w:val="2E74B5"/>
          <w:sz w:val="26"/>
        </w:rPr>
        <w:t>4.3  Struktureller Wettbewerbsnachteil bleibt einzementiert</w:t>
      </w:r>
    </w:p>
    <w:p>
      <w:pPr>
        <w:spacing w:after="80"/>
      </w:pPr>
      <w:r>
        <w:t>Ohne Änderung bleibt Kysuce dauerhaft schlechter gestellt als alle anderen Standorte im Netzwerk. Mit steigendem operativen Reifegrad des Standorts wird diese Diskrepanz zunehmend schwerer zu rechtfertigen — intern wie extern.</w:t>
      </w:r>
    </w:p>
    <w:p>
      <w:pPr>
        <w:pStyle w:val="ListBullet"/>
        <w:spacing w:after="40"/>
      </w:pPr>
      <w:r>
        <w:rPr>
          <w:b w:val="0"/>
        </w:rPr>
        <w:t>Demotivation der Standortleitung durch strukturell fehlende Entscheidungsautonomie</w:t>
      </w:r>
    </w:p>
    <w:p>
      <w:pPr>
        <w:pStyle w:val="ListBullet"/>
        <w:spacing w:after="40"/>
      </w:pPr>
      <w:r>
        <w:rPr>
          <w:b w:val="0"/>
        </w:rPr>
        <w:t>Schwächere Positionierung von Kysuce im internen Ressourcen- und Investitionswettbewerb</w:t>
      </w:r>
    </w:p>
    <w:p>
      <w:pPr>
        <w:pStyle w:val="ListBullet"/>
        <w:spacing w:after="40"/>
      </w:pPr>
      <w:r>
        <w:rPr>
          <w:b w:val="0"/>
        </w:rPr>
        <w:t>Langfristig: Gefahr der Wahrnehmung als reiner Kostenstandort ohne strategische Relevanz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5. Kompakte Gegenüberstellung</w:t>
      </w:r>
    </w:p>
    <w:p>
      <w:pPr>
        <w:pBdr>
          <w:bottom w:val="single" w:sz="6" w:space="1" w:color="2E74B5"/>
        </w:pBdr>
        <w:spacing w:before="4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Kriterium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Unverändert lassen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Kysuce eigenständig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Kurzfristige Kosten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Umstellungskosten (einmalig)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Operative Stabilität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  <w:tc>
          <w:tcPr>
            <w:tcW w:type="dxa" w:w="2880"/>
          </w:tcPr>
          <w:p>
            <w:r>
              <w:t>Übergangsrisiko vorhanden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Entscheidungsfreiheit Standort</w:t>
            </w:r>
          </w:p>
        </w:tc>
        <w:tc>
          <w:tcPr>
            <w:tcW w:type="dxa" w:w="2880"/>
          </w:tcPr>
          <w:p>
            <w:r>
              <w:t>Eingeschränkt (Standortleiterin)</w:t>
            </w:r>
          </w:p>
        </w:tc>
        <w:tc>
          <w:tcPr>
            <w:tcW w:type="dxa" w:w="2880"/>
          </w:tcPr>
          <w:p>
            <w:r>
              <w:t>Vollständig — wie alle anderen Standorte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Ersatzteil-Hub realisierbar</w:t>
            </w:r>
          </w:p>
        </w:tc>
        <w:tc>
          <w:tcPr>
            <w:tcW w:type="dxa" w:w="2880"/>
            <w:shd w:val="clear" w:color="auto" w:fill="FFCCCC"/>
          </w:tcPr>
          <w:p>
            <w:r>
              <w:rPr>
                <w:b/>
                <w:color w:val="C00000"/>
              </w:rPr>
              <w:t>NEIN</w:t>
            </w:r>
          </w:p>
        </w:tc>
        <w:tc>
          <w:tcPr>
            <w:tcW w:type="dxa" w:w="2880"/>
            <w:shd w:val="clear" w:color="auto" w:fill="CCFFCC"/>
          </w:tcPr>
          <w:p>
            <w:r>
              <w:rPr>
                <w:b/>
                <w:color w:val="007000"/>
              </w:rPr>
              <w:t>JA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Steuerrechtliches Risiko SK</w:t>
            </w:r>
          </w:p>
        </w:tc>
        <w:tc>
          <w:tcPr>
            <w:tcW w:type="dxa" w:w="2880"/>
          </w:tcPr>
          <w:p>
            <w:r>
              <w:t>Potenziell vorhanden (ungeregelt)</w:t>
            </w:r>
          </w:p>
        </w:tc>
        <w:tc>
          <w:tcPr>
            <w:tcW w:type="dxa" w:w="2880"/>
          </w:tcPr>
          <w:p>
            <w:r>
              <w:t>Wird proaktiv geregelt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Ergebnisverantwortung</w:t>
            </w:r>
          </w:p>
        </w:tc>
        <w:tc>
          <w:tcPr>
            <w:tcW w:type="dxa" w:w="2880"/>
          </w:tcPr>
          <w:p>
            <w:r>
              <w:t>Fehlt</w:t>
            </w:r>
          </w:p>
        </w:tc>
        <w:tc>
          <w:tcPr>
            <w:tcW w:type="dxa" w:w="2880"/>
          </w:tcPr>
          <w:p>
            <w:r>
              <w:t>Klar zugeordnet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Netzwerkvergleich</w:t>
            </w:r>
          </w:p>
        </w:tc>
        <w:tc>
          <w:tcPr>
            <w:tcW w:type="dxa" w:w="2880"/>
          </w:tcPr>
          <w:p>
            <w:r>
              <w:t>Strukturell benachteiligt</w:t>
            </w:r>
          </w:p>
        </w:tc>
        <w:tc>
          <w:tcPr>
            <w:tcW w:type="dxa" w:w="2880"/>
          </w:tcPr>
          <w:p>
            <w:r>
              <w:t>Gleichgestellt mit allen Standorten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Langfristige Skalierbarkeit</w:t>
            </w:r>
          </w:p>
        </w:tc>
        <w:tc>
          <w:tcPr>
            <w:tcW w:type="dxa" w:w="2880"/>
          </w:tcPr>
          <w:p>
            <w:r>
              <w:t>Begrenzt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32"/>
        </w:rPr>
        <w:t>6. Fazit &amp; Empfehlung</w:t>
      </w:r>
    </w:p>
    <w:p>
      <w:pPr>
        <w:pBdr>
          <w:bottom w:val="single" w:sz="6" w:space="1" w:color="2E74B5"/>
        </w:pBdr>
        <w:spacing w:before="40" w:after="160"/>
      </w:pPr>
    </w:p>
    <w:p>
      <w:pPr>
        <w:spacing w:after="80"/>
      </w:pPr>
      <w:r>
        <w:t>Die Entscheidung ist kein klassisches Abwägen zwischen Kosten und Nutzen mehr. Die Beantwortung der Frage „Was passiert, wenn wir es nicht machen?" verschiebt das Bild deutlich:</w:t>
      </w:r>
    </w:p>
    <w:p/>
    <w:p>
      <w:pPr>
        <w:pStyle w:val="ListBullet"/>
        <w:spacing w:after="40"/>
      </w:pPr>
      <w:r>
        <w:rPr>
          <w:b w:val="0"/>
        </w:rPr>
      </w:r>
      <w:r>
        <w:rPr>
          <w:b/>
        </w:rPr>
        <w:t>Das steuerrechtliche Risiko bei Nichtstun ist real</w:t>
      </w:r>
      <w:r>
        <w:rPr>
          <w:b w:val="0"/>
        </w:rPr>
        <w:t xml:space="preserve"> — insbesondere mit zunehmenden Aktivitäten in Kysuce. Die proaktive Regelung schafft Rechtssicherheit.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Der Ersatzteil-Hub als Phase-2-Strategie ist ohne Eigenständigkeit nicht umsetzbar</w:t>
      </w:r>
      <w:r>
        <w:rPr>
          <w:b w:val="0"/>
        </w:rPr>
        <w:t xml:space="preserve"> — das ist ein harter wirtschaftlicher Grund, keine theoretische Überlegung.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Kysuce ist heute operativ reif genug für Eigenständigkeit</w:t>
      </w:r>
      <w:r>
        <w:rPr>
          <w:b w:val="0"/>
        </w:rPr>
        <w:t xml:space="preserve"> — die Struktur ist das Hemmnis, nicht der Standort.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Die Standortleiterin und das Team werden gestärkt</w:t>
      </w:r>
      <w:r>
        <w:rPr>
          <w:b w:val="0"/>
        </w:rPr>
        <w:t>, nicht geschwächt — gleichgestellt mit allen anderen Netzwerkstandorten.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DEEFF"/>
          </w:tcPr>
          <w:p>
            <w:pPr>
              <w:spacing w:before="160" w:after="160"/>
              <w:ind w:left="170"/>
            </w:pPr>
            <w:r>
              <w:rPr>
                <w:b/>
                <w:color w:val="1F497D"/>
                <w:sz w:val="24"/>
              </w:rPr>
              <w:t xml:space="preserve">Empfehlung: </w:t>
            </w:r>
            <w:r>
              <w:t>Proaktive Regelung der Eigenständigkeit von Kysuce — mit klarem Zeitplan, steuerrechtlicher Begleitung und dem Ersatzteil-Hub als strategischem Anker für die Investition in die Umstellung. Nächster Schritt: Abstimmung mit Steuerabteilung zu den rechtlichen Voraussetzungen und Datenbasis von Larissa für Ersatzteil-Hub-Kalkulation anfordern.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Nächste Schritte</w:t>
      </w:r>
    </w:p>
    <w:p>
      <w:pPr>
        <w:pStyle w:val="ListBullet"/>
        <w:spacing w:after="40"/>
      </w:pPr>
      <w:r>
        <w:rPr>
          <w:b w:val="0"/>
        </w:rPr>
        <w:t>Steuerabteilung: Rechtliche Anforderungen für Eigenständigkeit Kysuce prüfen (inkl. Risikobewertung SK Steuerbehörde)</w:t>
      </w:r>
    </w:p>
    <w:p>
      <w:pPr>
        <w:pStyle w:val="ListBullet"/>
        <w:spacing w:after="40"/>
      </w:pPr>
      <w:r>
        <w:rPr>
          <w:b w:val="0"/>
        </w:rPr>
        <w:t>Larissa: Werte &amp; Kundenstandorte für Ersatzteile aus Europa anfordern → Kalkulation tatsächlicher Effekt Ersatzteil-Hub</w:t>
      </w:r>
    </w:p>
    <w:p>
      <w:pPr>
        <w:pStyle w:val="ListBullet"/>
        <w:spacing w:after="40"/>
      </w:pPr>
      <w:r>
        <w:rPr>
          <w:b w:val="0"/>
        </w:rPr>
        <w:t>Folie 4: Kostenangaben Mehraufwand &amp; Szenario ohne physischen Transport ergänzen</w:t>
      </w:r>
    </w:p>
    <w:p>
      <w:pPr>
        <w:pStyle w:val="ListBullet"/>
        <w:spacing w:after="40"/>
      </w:pPr>
      <w:r>
        <w:rPr>
          <w:b w:val="0"/>
        </w:rPr>
        <w:t>Entscheidungsvorlage für Management nach Vorliegen aller Daten finalisieren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