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exact"/>
      </w:pPr>
      <w:r>
        <w:rPr>
          <w:rFonts w:ascii="Times New Roman" w:hAnsi="Times New Roman" w:cs="Times New Roman"/>
          <w:rFonts w:ascii="Times New Roman" w:hAnsi="Times New Roman"/>
          <w:b/>
          <w:i w:val="0"/>
          <w:sz w:val="28"/>
        </w:rPr>
        <w:t>2  Theoretische Grundlagen des Benchmarkings</w:t>
      </w:r>
    </w:p>
    <w:p>
      <w:pPr>
        <w:spacing w:before="0" w:after="120" w:line="360" w:lineRule="exact"/>
        <w:jc w:val="both"/>
      </w:pPr>
      <w:r>
        <w:rPr>
          <w:rFonts w:ascii="Times New Roman" w:hAnsi="Times New Roman" w:cs="Times New Roman"/>
          <w:rFonts w:ascii="Times New Roman" w:hAnsi="Times New Roman"/>
          <w:b w:val="0"/>
          <w:i w:val="0"/>
          <w:sz w:val="24"/>
        </w:rPr>
        <w:t>Das folgende Kapitel legt die theoretischen Grundlagen des Benchmarkings dar. Es werden zunächst Definition und Begriffsabgrenzung erarbeitet, anschliessend die typologische Einteilung verschiedener Benchmarking-Arten vorgenommen und die historische Entwicklung der Methode nachgezeichnet. Den Schwerpunkt bilden die etablierten Prozessmodelle, die als konzeptionelle Grundlage fuer die Durchfuehrung des Benchmarks in Kapitel 5 dienen. Abschliessend wird die spezifische Relevanz des Benchmarkings fuer den Sondermaschinenbau diskutiert.</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2.1  Definition und Begriffsabgrenzung</w:t>
      </w:r>
    </w:p>
    <w:p>
      <w:pPr>
        <w:spacing w:before="0" w:after="120" w:line="360" w:lineRule="exact"/>
        <w:jc w:val="both"/>
      </w:pPr>
      <w:r>
        <w:rPr>
          <w:rFonts w:ascii="Times New Roman" w:hAnsi="Times New Roman" w:cs="Times New Roman"/>
          <w:rFonts w:ascii="Times New Roman" w:hAnsi="Times New Roman"/>
          <w:b w:val="0"/>
          <w:i w:val="0"/>
          <w:sz w:val="24"/>
        </w:rPr>
        <w:t>Der Begriff Benchmarking leitet sich vom englischen Wort benchmark ab, das urspruenglich aus der Vermessungstechnik stammt und eine Referenzmarke bezeichnet, anhand derer Hoehenmessungen kalibriert werden. In den Wirtschaftswissenschaften wurde der Begriff erstmals systematisch von Robert C. Camp im Kontext des Xerox-Konzerns gepraegt, der in den fruehen 1980er-Jahren ein strukturiertes Verfahren zur Messung und zum Vergleich von Unternehmensleistungen mit den besten Wettbewerbern entwickelte (Camp, 1994, S. 10).</w:t>
      </w:r>
    </w:p>
    <w:p>
      <w:pPr>
        <w:spacing w:before="0" w:after="120" w:line="360" w:lineRule="exact"/>
        <w:jc w:val="both"/>
      </w:pPr>
      <w:r>
        <w:rPr>
          <w:rFonts w:ascii="Times New Roman" w:hAnsi="Times New Roman" w:cs="Times New Roman"/>
          <w:rFonts w:ascii="Times New Roman" w:hAnsi="Times New Roman"/>
          <w:b w:val="0"/>
          <w:i w:val="0"/>
          <w:sz w:val="24"/>
        </w:rPr>
        <w:t>Eine praezise und weithin anerkannte Definition liefern Kounev et al. (2020, S. 3): "Benchmarking ist der Prozess des Messens und Vergleichens von Leistungen, Prozessen oder Produkten eines Unternehmens mit denen eines oder mehrerer Referenzunternehmen, mit dem Ziel, Verbesserungspotenziale zu identifizieren und Best Practices zu adaptieren." Diese Definition hebt drei wesentliche Elemente hervor: den Messprozess, den Vergleich mit externen Referenzpunkten sowie die handlungsorientierte Ableitung von Verbesserungsmassnahmen.</w:t>
      </w:r>
    </w:p>
    <w:p>
      <w:pPr>
        <w:spacing w:before="0" w:after="120" w:line="360" w:lineRule="exact"/>
        <w:jc w:val="both"/>
      </w:pPr>
      <w:r>
        <w:rPr>
          <w:rFonts w:ascii="Times New Roman" w:hAnsi="Times New Roman" w:cs="Times New Roman"/>
          <w:rFonts w:ascii="Times New Roman" w:hAnsi="Times New Roman"/>
          <w:b w:val="0"/>
          <w:i w:val="0"/>
          <w:sz w:val="24"/>
        </w:rPr>
        <w:t>Benchmarking ist von verwandten Konzepten abzugrenzen. Waehrend ein einfacher Wettbewerbsvergleich (Competitive Intelligence) lediglich die Beobachtung und Sammlung von Informationen ueber Konkurrenten umfasst, geht Benchmarking darueber hinaus: Es zielt systematisch auf die Identifikation von Leistungsluecken (Gaps) und deren Ursachen sowie auf die strukturierte Ableitung von Massnahmen ab (Spendolini, 1992, S. 11). Gegenueber dem internen Controlling, das sich auf unternehmenseigene Kennzahlen beschraenkt, oeffnet Benchmarking den Blick auf externe Massstabe und branchenweite Best Practices (Watson, 1993, S. 4).</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2.2  Arten des Benchmarkings</w:t>
      </w:r>
    </w:p>
    <w:p>
      <w:pPr>
        <w:spacing w:before="0" w:after="120" w:line="360" w:lineRule="exact"/>
        <w:jc w:val="both"/>
      </w:pPr>
      <w:r>
        <w:rPr>
          <w:rFonts w:ascii="Times New Roman" w:hAnsi="Times New Roman" w:cs="Times New Roman"/>
          <w:rFonts w:ascii="Times New Roman" w:hAnsi="Times New Roman"/>
          <w:b w:val="0"/>
          <w:i w:val="0"/>
          <w:sz w:val="24"/>
        </w:rPr>
        <w:t>In der Literatur werden Benchmarking-Arten anhand zweier zentraler Dimensionen unterschieden: dem Vergleichsobjekt (was wird verglichen?) und der Vergleichsbasis (mit wem wird verglichen?). Die folgende Tabelle gibt einen strukturierten Ueberblick.</w:t>
      </w:r>
    </w:p>
    <w:p>
      <w:pPr>
        <w:spacing w:before="0" w:after="60" w:line="360" w:lineRule="exact"/>
        <w:jc w:val="both"/>
      </w:pPr>
      <w:r>
        <w:rPr>
          <w:rFonts w:ascii="Times New Roman" w:hAnsi="Times New Roman" w:cs="Times New Roman"/>
          <w:rFonts w:ascii="Times New Roman" w:hAnsi="Times New Roman"/>
          <w:b w:val="0"/>
          <w:i w:val="0"/>
          <w:sz w:val="24"/>
        </w:rPr>
        <w:t>Tabelle 2.1: Taxonomie der Benchmarking-Arten</w:t>
      </w:r>
    </w:p>
    <w:tbl>
      <w:tblPr>
        <w:tblStyle w:val="TableGrid"/>
        <w:tblW w:type="auto" w:w="0"/>
        <w:tblLook w:firstColumn="1" w:firstRow="1" w:lastColumn="0" w:lastRow="0" w:noHBand="0" w:noVBand="1" w:val="04A0"/>
      </w:tblPr>
      <w:tblGrid>
        <w:gridCol w:w="2929"/>
        <w:gridCol w:w="2929"/>
        <w:gridCol w:w="2929"/>
      </w:tblGrid>
      <w:tr>
        <w:tc>
          <w:tcPr>
            <w:tcW w:type="dxa" w:w="1984"/>
          </w:tcPr>
          <w:p/>
        </w:tc>
        <w:tc>
          <w:tcPr>
            <w:tcW w:type="dxa" w:w="1984"/>
          </w:tcPr>
          <w:p/>
        </w:tc>
        <w:tc>
          <w:tcPr>
            <w:tcW w:type="dxa" w:w="4819"/>
          </w:tcPr>
          <w:p/>
        </w:tc>
      </w:tr>
      <w:tr>
        <w:tc>
          <w:tcPr>
            <w:tcW w:type="dxa" w:w="1984"/>
            <w:shd w:val="clear" w:color="auto" w:fill="D9D9D9"/>
          </w:tcPr>
          <w:p>
            <w:pPr>
              <w:jc w:val="left"/>
            </w:pPr>
            <w:r/>
            <w:r>
              <w:rPr>
                <w:rFonts w:ascii="Times New Roman" w:hAnsi="Times New Roman" w:cs="Times New Roman"/>
                <w:rFonts w:ascii="Times New Roman" w:hAnsi="Times New Roman"/>
                <w:b/>
                <w:i w:val="0"/>
                <w:sz w:val="24"/>
              </w:rPr>
              <w:t>Dimension</w:t>
            </w:r>
          </w:p>
        </w:tc>
        <w:tc>
          <w:tcPr>
            <w:tcW w:type="dxa" w:w="1984"/>
            <w:shd w:val="clear" w:color="auto" w:fill="D9D9D9"/>
          </w:tcPr>
          <w:p>
            <w:pPr>
              <w:jc w:val="left"/>
            </w:pPr>
            <w:r/>
            <w:r>
              <w:rPr>
                <w:rFonts w:ascii="Times New Roman" w:hAnsi="Times New Roman" w:cs="Times New Roman"/>
                <w:rFonts w:ascii="Times New Roman" w:hAnsi="Times New Roman"/>
                <w:b/>
                <w:i w:val="0"/>
                <w:sz w:val="24"/>
              </w:rPr>
              <w:t>Art</w:t>
            </w:r>
          </w:p>
        </w:tc>
        <w:tc>
          <w:tcPr>
            <w:tcW w:type="dxa" w:w="4819"/>
            <w:shd w:val="clear" w:color="auto" w:fill="D9D9D9"/>
          </w:tcPr>
          <w:p>
            <w:pPr>
              <w:jc w:val="left"/>
            </w:pPr>
            <w:r/>
            <w:r>
              <w:rPr>
                <w:rFonts w:ascii="Times New Roman" w:hAnsi="Times New Roman" w:cs="Times New Roman"/>
                <w:rFonts w:ascii="Times New Roman" w:hAnsi="Times New Roman"/>
                <w:b/>
                <w:i w:val="0"/>
                <w:sz w:val="24"/>
              </w:rPr>
              <w:t>Beschreibung</w:t>
            </w:r>
          </w:p>
        </w:tc>
      </w:tr>
      <w:tr>
        <w:tc>
          <w:tcPr>
            <w:tcW w:type="dxa" w:w="1984"/>
          </w:tcPr>
          <w:p>
            <w:pPr>
              <w:jc w:val="left"/>
            </w:pPr>
            <w:r/>
            <w:r>
              <w:rPr>
                <w:rFonts w:ascii="Times New Roman" w:hAnsi="Times New Roman" w:cs="Times New Roman"/>
                <w:rFonts w:ascii="Times New Roman" w:hAnsi="Times New Roman"/>
                <w:b w:val="0"/>
                <w:i w:val="0"/>
                <w:sz w:val="24"/>
              </w:rPr>
              <w:t>Vergleichsbasis</w:t>
            </w:r>
          </w:p>
        </w:tc>
        <w:tc>
          <w:tcPr>
            <w:tcW w:type="dxa" w:w="1984"/>
          </w:tcPr>
          <w:p>
            <w:pPr>
              <w:jc w:val="left"/>
            </w:pPr>
            <w:r/>
            <w:r>
              <w:rPr>
                <w:rFonts w:ascii="Times New Roman" w:hAnsi="Times New Roman" w:cs="Times New Roman"/>
                <w:rFonts w:ascii="Times New Roman" w:hAnsi="Times New Roman"/>
                <w:b w:val="0"/>
                <w:i w:val="0"/>
                <w:sz w:val="24"/>
              </w:rPr>
              <w:t>Intern</w:t>
            </w:r>
          </w:p>
        </w:tc>
        <w:tc>
          <w:tcPr>
            <w:tcW w:type="dxa" w:w="4819"/>
          </w:tcPr>
          <w:p>
            <w:pPr>
              <w:jc w:val="left"/>
            </w:pPr>
            <w:r/>
            <w:r>
              <w:rPr>
                <w:rFonts w:ascii="Times New Roman" w:hAnsi="Times New Roman" w:cs="Times New Roman"/>
                <w:rFonts w:ascii="Times New Roman" w:hAnsi="Times New Roman"/>
                <w:b w:val="0"/>
                <w:i w:val="0"/>
                <w:sz w:val="24"/>
              </w:rPr>
              <w:t>Vergleich zwischen Abteilungen, Standorten oder Tochtergesellschaften desselben Unternehmens. Einfache Datenverfuegbarkeit, aber begrenzte externe Perspektive.</w:t>
            </w:r>
          </w:p>
        </w:tc>
      </w:tr>
      <w:tr>
        <w:tc>
          <w:tcPr>
            <w:tcW w:type="dxa" w:w="1984"/>
          </w:tcPr>
          <w:p>
            <w:pPr>
              <w:jc w:val="left"/>
            </w:pPr>
            <w:r/>
            <w:r>
              <w:rPr>
                <w:rFonts w:ascii="Times New Roman" w:hAnsi="Times New Roman" w:cs="Times New Roman"/>
                <w:rFonts w:ascii="Times New Roman" w:hAnsi="Times New Roman"/>
                <w:b w:val="0"/>
                <w:i w:val="0"/>
                <w:sz w:val="24"/>
              </w:rPr>
              <w:t>Vergleichsbasis</w:t>
            </w:r>
          </w:p>
        </w:tc>
        <w:tc>
          <w:tcPr>
            <w:tcW w:type="dxa" w:w="1984"/>
          </w:tcPr>
          <w:p>
            <w:pPr>
              <w:jc w:val="left"/>
            </w:pPr>
            <w:r/>
            <w:r>
              <w:rPr>
                <w:rFonts w:ascii="Times New Roman" w:hAnsi="Times New Roman" w:cs="Times New Roman"/>
                <w:rFonts w:ascii="Times New Roman" w:hAnsi="Times New Roman"/>
                <w:b w:val="0"/>
                <w:i w:val="0"/>
                <w:sz w:val="24"/>
              </w:rPr>
              <w:t>Extern (Wettbewerb)</w:t>
            </w:r>
          </w:p>
        </w:tc>
        <w:tc>
          <w:tcPr>
            <w:tcW w:type="dxa" w:w="4819"/>
          </w:tcPr>
          <w:p>
            <w:pPr>
              <w:jc w:val="left"/>
            </w:pPr>
            <w:r/>
            <w:r>
              <w:rPr>
                <w:rFonts w:ascii="Times New Roman" w:hAnsi="Times New Roman" w:cs="Times New Roman"/>
                <w:rFonts w:ascii="Times New Roman" w:hAnsi="Times New Roman"/>
                <w:b w:val="0"/>
                <w:i w:val="0"/>
                <w:sz w:val="24"/>
              </w:rPr>
              <w:t>Vergleich mit direkten Marktbegleitern. Hohe Relevanz, aber eingeschraenkte Datenzugaenglichkeit.</w:t>
            </w:r>
          </w:p>
        </w:tc>
      </w:tr>
      <w:tr>
        <w:tc>
          <w:tcPr>
            <w:tcW w:type="dxa" w:w="1984"/>
          </w:tcPr>
          <w:p>
            <w:pPr>
              <w:jc w:val="left"/>
            </w:pPr>
            <w:r/>
            <w:r>
              <w:rPr>
                <w:rFonts w:ascii="Times New Roman" w:hAnsi="Times New Roman" w:cs="Times New Roman"/>
                <w:rFonts w:ascii="Times New Roman" w:hAnsi="Times New Roman"/>
                <w:b w:val="0"/>
                <w:i w:val="0"/>
                <w:sz w:val="24"/>
              </w:rPr>
              <w:t>Vergleichsbasis</w:t>
            </w:r>
          </w:p>
        </w:tc>
        <w:tc>
          <w:tcPr>
            <w:tcW w:type="dxa" w:w="1984"/>
          </w:tcPr>
          <w:p>
            <w:pPr>
              <w:jc w:val="left"/>
            </w:pPr>
            <w:r/>
            <w:r>
              <w:rPr>
                <w:rFonts w:ascii="Times New Roman" w:hAnsi="Times New Roman" w:cs="Times New Roman"/>
                <w:rFonts w:ascii="Times New Roman" w:hAnsi="Times New Roman"/>
                <w:b w:val="0"/>
                <w:i w:val="0"/>
                <w:sz w:val="24"/>
              </w:rPr>
              <w:t>Extern (Branche)</w:t>
            </w:r>
          </w:p>
        </w:tc>
        <w:tc>
          <w:tcPr>
            <w:tcW w:type="dxa" w:w="4819"/>
          </w:tcPr>
          <w:p>
            <w:pPr>
              <w:jc w:val="left"/>
            </w:pPr>
            <w:r/>
            <w:r>
              <w:rPr>
                <w:rFonts w:ascii="Times New Roman" w:hAnsi="Times New Roman" w:cs="Times New Roman"/>
                <w:rFonts w:ascii="Times New Roman" w:hAnsi="Times New Roman"/>
                <w:b w:val="0"/>
                <w:i w:val="0"/>
                <w:sz w:val="24"/>
              </w:rPr>
              <w:t>Vergleich mit Unternehmen derselben Branche, aber nicht zwingend direkten Wettbewerbern. Breiter Erkenntnisgewinn.</w:t>
            </w:r>
          </w:p>
        </w:tc>
      </w:tr>
      <w:tr>
        <w:tc>
          <w:tcPr>
            <w:tcW w:type="dxa" w:w="1984"/>
          </w:tcPr>
          <w:p>
            <w:pPr>
              <w:jc w:val="left"/>
            </w:pPr>
            <w:r/>
            <w:r>
              <w:rPr>
                <w:rFonts w:ascii="Times New Roman" w:hAnsi="Times New Roman" w:cs="Times New Roman"/>
                <w:rFonts w:ascii="Times New Roman" w:hAnsi="Times New Roman"/>
                <w:b w:val="0"/>
                <w:i w:val="0"/>
                <w:sz w:val="24"/>
              </w:rPr>
              <w:t>Vergleichsbasis</w:t>
            </w:r>
          </w:p>
        </w:tc>
        <w:tc>
          <w:tcPr>
            <w:tcW w:type="dxa" w:w="1984"/>
          </w:tcPr>
          <w:p>
            <w:pPr>
              <w:jc w:val="left"/>
            </w:pPr>
            <w:r/>
            <w:r>
              <w:rPr>
                <w:rFonts w:ascii="Times New Roman" w:hAnsi="Times New Roman" w:cs="Times New Roman"/>
                <w:rFonts w:ascii="Times New Roman" w:hAnsi="Times New Roman"/>
                <w:b w:val="0"/>
                <w:i w:val="0"/>
                <w:sz w:val="24"/>
              </w:rPr>
              <w:t>Funktional/generisch</w:t>
            </w:r>
          </w:p>
        </w:tc>
        <w:tc>
          <w:tcPr>
            <w:tcW w:type="dxa" w:w="4819"/>
          </w:tcPr>
          <w:p>
            <w:pPr>
              <w:jc w:val="left"/>
            </w:pPr>
            <w:r/>
            <w:r>
              <w:rPr>
                <w:rFonts w:ascii="Times New Roman" w:hAnsi="Times New Roman" w:cs="Times New Roman"/>
                <w:rFonts w:ascii="Times New Roman" w:hAnsi="Times New Roman"/>
                <w:b w:val="0"/>
                <w:i w:val="0"/>
                <w:sz w:val="24"/>
              </w:rPr>
              <w:t>Vergleich branchenubergreifend mit Best-in-Class-Unternehmen in spezifischen Prozessen. Hoecstes Innovationspotenzial.</w:t>
            </w:r>
          </w:p>
        </w:tc>
      </w:tr>
      <w:tr>
        <w:tc>
          <w:tcPr>
            <w:tcW w:type="dxa" w:w="1984"/>
          </w:tcPr>
          <w:p>
            <w:pPr>
              <w:jc w:val="left"/>
            </w:pPr>
            <w:r/>
            <w:r>
              <w:rPr>
                <w:rFonts w:ascii="Times New Roman" w:hAnsi="Times New Roman" w:cs="Times New Roman"/>
                <w:rFonts w:ascii="Times New Roman" w:hAnsi="Times New Roman"/>
                <w:b w:val="0"/>
                <w:i w:val="0"/>
                <w:sz w:val="24"/>
              </w:rPr>
              <w:t>Vergleichsobjekt</w:t>
            </w:r>
          </w:p>
        </w:tc>
        <w:tc>
          <w:tcPr>
            <w:tcW w:type="dxa" w:w="1984"/>
          </w:tcPr>
          <w:p>
            <w:pPr>
              <w:jc w:val="left"/>
            </w:pPr>
            <w:r/>
            <w:r>
              <w:rPr>
                <w:rFonts w:ascii="Times New Roman" w:hAnsi="Times New Roman" w:cs="Times New Roman"/>
                <w:rFonts w:ascii="Times New Roman" w:hAnsi="Times New Roman"/>
                <w:b w:val="0"/>
                <w:i w:val="0"/>
                <w:sz w:val="24"/>
              </w:rPr>
              <w:t>Produkt-Benchmarking</w:t>
            </w:r>
          </w:p>
        </w:tc>
        <w:tc>
          <w:tcPr>
            <w:tcW w:type="dxa" w:w="4819"/>
          </w:tcPr>
          <w:p>
            <w:pPr>
              <w:jc w:val="left"/>
            </w:pPr>
            <w:r/>
            <w:r>
              <w:rPr>
                <w:rFonts w:ascii="Times New Roman" w:hAnsi="Times New Roman" w:cs="Times New Roman"/>
                <w:rFonts w:ascii="Times New Roman" w:hAnsi="Times New Roman"/>
                <w:b w:val="0"/>
                <w:i w:val="0"/>
                <w:sz w:val="24"/>
              </w:rPr>
              <w:t>Vergleich von Produkteigenschaften, Qualitaet, Funktionalitaet und Preis-Leistungs-Verhaeltnissen.</w:t>
            </w:r>
          </w:p>
        </w:tc>
      </w:tr>
      <w:tr>
        <w:tc>
          <w:tcPr>
            <w:tcW w:type="dxa" w:w="1984"/>
          </w:tcPr>
          <w:p>
            <w:pPr>
              <w:jc w:val="left"/>
            </w:pPr>
            <w:r/>
            <w:r>
              <w:rPr>
                <w:rFonts w:ascii="Times New Roman" w:hAnsi="Times New Roman" w:cs="Times New Roman"/>
                <w:rFonts w:ascii="Times New Roman" w:hAnsi="Times New Roman"/>
                <w:b w:val="0"/>
                <w:i w:val="0"/>
                <w:sz w:val="24"/>
              </w:rPr>
              <w:t>Vergleichsobjekt</w:t>
            </w:r>
          </w:p>
        </w:tc>
        <w:tc>
          <w:tcPr>
            <w:tcW w:type="dxa" w:w="1984"/>
          </w:tcPr>
          <w:p>
            <w:pPr>
              <w:jc w:val="left"/>
            </w:pPr>
            <w:r/>
            <w:r>
              <w:rPr>
                <w:rFonts w:ascii="Times New Roman" w:hAnsi="Times New Roman" w:cs="Times New Roman"/>
                <w:rFonts w:ascii="Times New Roman" w:hAnsi="Times New Roman"/>
                <w:b w:val="0"/>
                <w:i w:val="0"/>
                <w:sz w:val="24"/>
              </w:rPr>
              <w:t>Prozess-Benchmarking</w:t>
            </w:r>
          </w:p>
        </w:tc>
        <w:tc>
          <w:tcPr>
            <w:tcW w:type="dxa" w:w="4819"/>
          </w:tcPr>
          <w:p>
            <w:pPr>
              <w:jc w:val="left"/>
            </w:pPr>
            <w:r/>
            <w:r>
              <w:rPr>
                <w:rFonts w:ascii="Times New Roman" w:hAnsi="Times New Roman" w:cs="Times New Roman"/>
                <w:rFonts w:ascii="Times New Roman" w:hAnsi="Times New Roman"/>
                <w:b w:val="0"/>
                <w:i w:val="0"/>
                <w:sz w:val="24"/>
              </w:rPr>
              <w:t>Vergleich operativer Ablaeufe, Fertigungsprozesse oder Serviceprozesse zur Effizienzsteigerung.</w:t>
            </w:r>
          </w:p>
        </w:tc>
      </w:tr>
      <w:tr>
        <w:tc>
          <w:tcPr>
            <w:tcW w:type="dxa" w:w="1984"/>
          </w:tcPr>
          <w:p>
            <w:pPr>
              <w:jc w:val="left"/>
            </w:pPr>
            <w:r/>
            <w:r>
              <w:rPr>
                <w:rFonts w:ascii="Times New Roman" w:hAnsi="Times New Roman" w:cs="Times New Roman"/>
                <w:rFonts w:ascii="Times New Roman" w:hAnsi="Times New Roman"/>
                <w:b w:val="0"/>
                <w:i w:val="0"/>
                <w:sz w:val="24"/>
              </w:rPr>
              <w:t>Vergleichsobjekt</w:t>
            </w:r>
          </w:p>
        </w:tc>
        <w:tc>
          <w:tcPr>
            <w:tcW w:type="dxa" w:w="1984"/>
          </w:tcPr>
          <w:p>
            <w:pPr>
              <w:jc w:val="left"/>
            </w:pPr>
            <w:r/>
            <w:r>
              <w:rPr>
                <w:rFonts w:ascii="Times New Roman" w:hAnsi="Times New Roman" w:cs="Times New Roman"/>
                <w:rFonts w:ascii="Times New Roman" w:hAnsi="Times New Roman"/>
                <w:b w:val="0"/>
                <w:i w:val="0"/>
                <w:sz w:val="24"/>
              </w:rPr>
              <w:t>Strategisches Benchmarking</w:t>
            </w:r>
          </w:p>
        </w:tc>
        <w:tc>
          <w:tcPr>
            <w:tcW w:type="dxa" w:w="4819"/>
          </w:tcPr>
          <w:p>
            <w:pPr>
              <w:jc w:val="left"/>
            </w:pPr>
            <w:r/>
            <w:r>
              <w:rPr>
                <w:rFonts w:ascii="Times New Roman" w:hAnsi="Times New Roman" w:cs="Times New Roman"/>
                <w:rFonts w:ascii="Times New Roman" w:hAnsi="Times New Roman"/>
                <w:b w:val="0"/>
                <w:i w:val="0"/>
                <w:sz w:val="24"/>
              </w:rPr>
              <w:t>Vergleich strategischer Entscheidungen, Marktpositionierungen und langfristiger Erfolgsfaktoren.</w:t>
            </w:r>
          </w:p>
        </w:tc>
      </w:tr>
    </w:tbl>
    <w:p/>
    <w:p>
      <w:pPr>
        <w:spacing w:before="0" w:after="120" w:line="360" w:lineRule="exact"/>
        <w:jc w:val="both"/>
      </w:pPr>
      <w:r>
        <w:rPr>
          <w:rFonts w:ascii="Times New Roman" w:hAnsi="Times New Roman" w:cs="Times New Roman"/>
          <w:rFonts w:ascii="Times New Roman" w:hAnsi="Times New Roman"/>
          <w:b w:val="0"/>
          <w:i w:val="0"/>
          <w:sz w:val="24"/>
        </w:rPr>
        <w:t>Die vorliegende Arbeit verbindet strategisches Benchmarking mit Elementen des Produkt- und Prozessbenchmarkings. Im Vordergrund steht der externe Vergleich mit Wettbewerbern und Branchenteilnehmern im Segment des Sondermaschinenbaus. Dies entspricht dem von Watson (1993, S. 17) als 'competitive strategic benchmarking' bezeichneten Ansatz, der auf die Identifikation strategischer Wettbewerbsvorteile und struktureller Leistungsluecken zielt.</w:t>
      </w:r>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2.3  Historische Entwicklung</w:t>
      </w:r>
    </w:p>
    <w:p>
      <w:pPr>
        <w:spacing w:before="0" w:after="120" w:line="360" w:lineRule="exact"/>
        <w:jc w:val="both"/>
      </w:pPr>
      <w:r>
        <w:rPr>
          <w:rFonts w:ascii="Times New Roman" w:hAnsi="Times New Roman" w:cs="Times New Roman"/>
          <w:rFonts w:ascii="Times New Roman" w:hAnsi="Times New Roman"/>
          <w:b w:val="0"/>
          <w:i w:val="0"/>
          <w:sz w:val="24"/>
        </w:rPr>
        <w:t>Die systematische Nutzung von Benchmarking als Managementmethode begann in den fruehen 1980er-Jahren im Xerox-Konzern in den USA. Auf Initiative von Robert C. Camp wurden erstmals Fertigungsprozesse und Logistikkennzahlen systematisch mit Konkurrenten verglichen, um Kostenueberlegenheit japanischer Anbieter zu erklaeren und Best Practices zu identifizieren (Camp, 1994, S. 10-14). Das daraus resultierende Zehn-Schritte-Modell gilt als Grundstein der Methode und wurde in Camps Standardwerk von 1989 (deutschsprachig 1994) publiziert.</w:t>
      </w:r>
    </w:p>
    <w:p>
      <w:pPr>
        <w:spacing w:before="0" w:after="120" w:line="360" w:lineRule="exact"/>
        <w:jc w:val="both"/>
      </w:pPr>
      <w:r>
        <w:rPr>
          <w:rFonts w:ascii="Times New Roman" w:hAnsi="Times New Roman" w:cs="Times New Roman"/>
          <w:rFonts w:ascii="Times New Roman" w:hAnsi="Times New Roman"/>
          <w:b w:val="0"/>
          <w:i w:val="0"/>
          <w:sz w:val="24"/>
        </w:rPr>
        <w:t>In den 1990er-Jahren erlebte Benchmarking eine rasante Verbreitung. Spendolini (1992) systematisierte die Methode in einem funfstufigen Prozessmodell und erweiterte sie auf nicht-kompetitive Vergleichspartner. Watson (1993) praegte den Begriff des Strategic Benchmarking und betonte die Verknuepfung mit uebergeordneten Unternehmensstrategien. Parallel dazu gruendete sich 1992 das American Productivity and Quality Center (APQC) als institutionelle Plattform fuer Benchmarking-Initiativen, das bis heute eine der wichtigsten Benchmarking-Datenbanken betreibt (APQC, 2022).</w:t>
      </w:r>
    </w:p>
    <w:p>
      <w:pPr>
        <w:spacing w:before="0" w:after="120" w:line="360" w:lineRule="exact"/>
        <w:jc w:val="both"/>
      </w:pPr>
      <w:r>
        <w:rPr>
          <w:rFonts w:ascii="Times New Roman" w:hAnsi="Times New Roman" w:cs="Times New Roman"/>
          <w:rFonts w:ascii="Times New Roman" w:hAnsi="Times New Roman"/>
          <w:b w:val="0"/>
          <w:i w:val="0"/>
          <w:sz w:val="24"/>
        </w:rPr>
        <w:t>Im deutschsprachigen Raum gewann Benchmarking ab Mitte der 1990er-Jahre zunehmend an Bedeutung. Das Fraunhofer-Institut fuer Zuverlassigkeit und Mikrointegration (IZB) entwickelte ein auf den deutschen Mittelstand zugeschnittenes Fuenf-Phasen-Modell, das die spezifischen Herausforderungen mittelstaendischer Produktionsunternehmen beruecksichtigt (Fraunhofer IZB, 2023). Dieses Modell hat sich im deutschsprachigen Industrieumfeld als Standard etabliert und bildet den methodischen Leitrahmen der vorliegenden Arbeit.</w:t>
      </w:r>
    </w:p>
    <w:p>
      <w:pPr>
        <w:spacing w:before="0" w:after="60" w:line="360" w:lineRule="exact"/>
        <w:jc w:val="both"/>
      </w:pPr>
      <w:r>
        <w:rPr>
          <w:rFonts w:ascii="Times New Roman" w:hAnsi="Times New Roman" w:cs="Times New Roman"/>
          <w:rFonts w:ascii="Times New Roman" w:hAnsi="Times New Roman"/>
          <w:b w:val="0"/>
          <w:i w:val="0"/>
          <w:sz w:val="24"/>
        </w:rPr>
        <w:t>Tabelle 2.2: Meilensteine der Benchmarking-Entwicklung</w:t>
      </w:r>
    </w:p>
    <w:tbl>
      <w:tblPr>
        <w:tblStyle w:val="TableGrid"/>
        <w:tblW w:type="auto" w:w="0"/>
        <w:tblLook w:firstColumn="1" w:firstRow="1" w:lastColumn="0" w:lastRow="0" w:noHBand="0" w:noVBand="1" w:val="04A0"/>
      </w:tblPr>
      <w:tblGrid>
        <w:gridCol w:w="2929"/>
        <w:gridCol w:w="2929"/>
        <w:gridCol w:w="2929"/>
      </w:tblGrid>
      <w:tr>
        <w:tc>
          <w:tcPr>
            <w:tcW w:type="dxa" w:w="1417"/>
          </w:tcPr>
          <w:p/>
        </w:tc>
        <w:tc>
          <w:tcPr>
            <w:tcW w:type="dxa" w:w="4252"/>
          </w:tcPr>
          <w:p/>
        </w:tc>
        <w:tc>
          <w:tcPr>
            <w:tcW w:type="dxa" w:w="3118"/>
          </w:tcPr>
          <w:p/>
        </w:tc>
      </w:tr>
      <w:tr>
        <w:tc>
          <w:tcPr>
            <w:tcW w:type="dxa" w:w="1417"/>
            <w:shd w:val="clear" w:color="auto" w:fill="D9D9D9"/>
          </w:tcPr>
          <w:p>
            <w:pPr>
              <w:jc w:val="left"/>
            </w:pPr>
            <w:r/>
            <w:r>
              <w:rPr>
                <w:rFonts w:ascii="Times New Roman" w:hAnsi="Times New Roman" w:cs="Times New Roman"/>
                <w:rFonts w:ascii="Times New Roman" w:hAnsi="Times New Roman"/>
                <w:b/>
                <w:i w:val="0"/>
                <w:sz w:val="24"/>
              </w:rPr>
              <w:t>Jahr</w:t>
            </w:r>
          </w:p>
        </w:tc>
        <w:tc>
          <w:tcPr>
            <w:tcW w:type="dxa" w:w="4252"/>
            <w:shd w:val="clear" w:color="auto" w:fill="D9D9D9"/>
          </w:tcPr>
          <w:p>
            <w:pPr>
              <w:jc w:val="left"/>
            </w:pPr>
            <w:r/>
            <w:r>
              <w:rPr>
                <w:rFonts w:ascii="Times New Roman" w:hAnsi="Times New Roman" w:cs="Times New Roman"/>
                <w:rFonts w:ascii="Times New Roman" w:hAnsi="Times New Roman"/>
                <w:b/>
                <w:i w:val="0"/>
                <w:sz w:val="24"/>
              </w:rPr>
              <w:t>Ereignis</w:t>
            </w:r>
          </w:p>
        </w:tc>
        <w:tc>
          <w:tcPr>
            <w:tcW w:type="dxa" w:w="3118"/>
            <w:shd w:val="clear" w:color="auto" w:fill="D9D9D9"/>
          </w:tcPr>
          <w:p>
            <w:pPr>
              <w:jc w:val="left"/>
            </w:pPr>
            <w:r/>
            <w:r>
              <w:rPr>
                <w:rFonts w:ascii="Times New Roman" w:hAnsi="Times New Roman" w:cs="Times New Roman"/>
                <w:rFonts w:ascii="Times New Roman" w:hAnsi="Times New Roman"/>
                <w:b/>
                <w:i w:val="0"/>
                <w:sz w:val="24"/>
              </w:rPr>
              <w:t>Bedeutung</w:t>
            </w:r>
          </w:p>
        </w:tc>
      </w:tr>
      <w:tr>
        <w:tc>
          <w:tcPr>
            <w:tcW w:type="dxa" w:w="1417"/>
          </w:tcPr>
          <w:p>
            <w:pPr>
              <w:jc w:val="left"/>
            </w:pPr>
            <w:r/>
            <w:r>
              <w:rPr>
                <w:rFonts w:ascii="Times New Roman" w:hAnsi="Times New Roman" w:cs="Times New Roman"/>
                <w:rFonts w:ascii="Times New Roman" w:hAnsi="Times New Roman"/>
                <w:b w:val="0"/>
                <w:i w:val="0"/>
                <w:sz w:val="24"/>
              </w:rPr>
              <w:t>1979-1982</w:t>
            </w:r>
          </w:p>
        </w:tc>
        <w:tc>
          <w:tcPr>
            <w:tcW w:type="dxa" w:w="4252"/>
          </w:tcPr>
          <w:p>
            <w:pPr>
              <w:jc w:val="left"/>
            </w:pPr>
            <w:r/>
            <w:r>
              <w:rPr>
                <w:rFonts w:ascii="Times New Roman" w:hAnsi="Times New Roman" w:cs="Times New Roman"/>
                <w:rFonts w:ascii="Times New Roman" w:hAnsi="Times New Roman"/>
                <w:b w:val="0"/>
                <w:i w:val="0"/>
                <w:sz w:val="24"/>
              </w:rPr>
              <w:t>Xerox/Camp: Vergleich mit Fuji Xerox</w:t>
            </w:r>
          </w:p>
        </w:tc>
        <w:tc>
          <w:tcPr>
            <w:tcW w:type="dxa" w:w="3118"/>
          </w:tcPr>
          <w:p>
            <w:pPr>
              <w:jc w:val="left"/>
            </w:pPr>
            <w:r/>
            <w:r>
              <w:rPr>
                <w:rFonts w:ascii="Times New Roman" w:hAnsi="Times New Roman" w:cs="Times New Roman"/>
                <w:rFonts w:ascii="Times New Roman" w:hAnsi="Times New Roman"/>
                <w:b w:val="0"/>
                <w:i w:val="0"/>
                <w:sz w:val="24"/>
              </w:rPr>
              <w:t>Geburtsstunde des modernen Benchmarkings</w:t>
            </w:r>
          </w:p>
        </w:tc>
      </w:tr>
      <w:tr>
        <w:tc>
          <w:tcPr>
            <w:tcW w:type="dxa" w:w="1417"/>
          </w:tcPr>
          <w:p>
            <w:pPr>
              <w:jc w:val="left"/>
            </w:pPr>
            <w:r/>
            <w:r>
              <w:rPr>
                <w:rFonts w:ascii="Times New Roman" w:hAnsi="Times New Roman" w:cs="Times New Roman"/>
                <w:rFonts w:ascii="Times New Roman" w:hAnsi="Times New Roman"/>
                <w:b w:val="0"/>
                <w:i w:val="0"/>
                <w:sz w:val="24"/>
              </w:rPr>
              <w:t>1989</w:t>
            </w:r>
          </w:p>
        </w:tc>
        <w:tc>
          <w:tcPr>
            <w:tcW w:type="dxa" w:w="4252"/>
          </w:tcPr>
          <w:p>
            <w:pPr>
              <w:jc w:val="left"/>
            </w:pPr>
            <w:r/>
            <w:r>
              <w:rPr>
                <w:rFonts w:ascii="Times New Roman" w:hAnsi="Times New Roman" w:cs="Times New Roman"/>
                <w:rFonts w:ascii="Times New Roman" w:hAnsi="Times New Roman"/>
                <w:b w:val="0"/>
                <w:i w:val="0"/>
                <w:sz w:val="24"/>
              </w:rPr>
              <w:t>Camp: "Benchmarking" (Erstauflage)</w:t>
            </w:r>
          </w:p>
        </w:tc>
        <w:tc>
          <w:tcPr>
            <w:tcW w:type="dxa" w:w="3118"/>
          </w:tcPr>
          <w:p>
            <w:pPr>
              <w:jc w:val="left"/>
            </w:pPr>
            <w:r/>
            <w:r>
              <w:rPr>
                <w:rFonts w:ascii="Times New Roman" w:hAnsi="Times New Roman" w:cs="Times New Roman"/>
                <w:rFonts w:ascii="Times New Roman" w:hAnsi="Times New Roman"/>
                <w:b w:val="0"/>
                <w:i w:val="0"/>
                <w:sz w:val="24"/>
              </w:rPr>
              <w:t>Wissenschaftliche Grundlage, 10-Schritte-Modell</w:t>
            </w:r>
          </w:p>
        </w:tc>
      </w:tr>
      <w:tr>
        <w:tc>
          <w:tcPr>
            <w:tcW w:type="dxa" w:w="1417"/>
          </w:tcPr>
          <w:p>
            <w:pPr>
              <w:jc w:val="left"/>
            </w:pPr>
            <w:r/>
            <w:r>
              <w:rPr>
                <w:rFonts w:ascii="Times New Roman" w:hAnsi="Times New Roman" w:cs="Times New Roman"/>
                <w:rFonts w:ascii="Times New Roman" w:hAnsi="Times New Roman"/>
                <w:b w:val="0"/>
                <w:i w:val="0"/>
                <w:sz w:val="24"/>
              </w:rPr>
              <w:t>1992</w:t>
            </w:r>
          </w:p>
        </w:tc>
        <w:tc>
          <w:tcPr>
            <w:tcW w:type="dxa" w:w="4252"/>
          </w:tcPr>
          <w:p>
            <w:pPr>
              <w:jc w:val="left"/>
            </w:pPr>
            <w:r/>
            <w:r>
              <w:rPr>
                <w:rFonts w:ascii="Times New Roman" w:hAnsi="Times New Roman" w:cs="Times New Roman"/>
                <w:rFonts w:ascii="Times New Roman" w:hAnsi="Times New Roman"/>
                <w:b w:val="0"/>
                <w:i w:val="0"/>
                <w:sz w:val="24"/>
              </w:rPr>
              <w:t>Gruendung APQC (USA)</w:t>
            </w:r>
          </w:p>
        </w:tc>
        <w:tc>
          <w:tcPr>
            <w:tcW w:type="dxa" w:w="3118"/>
          </w:tcPr>
          <w:p>
            <w:pPr>
              <w:jc w:val="left"/>
            </w:pPr>
            <w:r/>
            <w:r>
              <w:rPr>
                <w:rFonts w:ascii="Times New Roman" w:hAnsi="Times New Roman" w:cs="Times New Roman"/>
                <w:rFonts w:ascii="Times New Roman" w:hAnsi="Times New Roman"/>
                <w:b w:val="0"/>
                <w:i w:val="0"/>
                <w:sz w:val="24"/>
              </w:rPr>
              <w:t>Institutionalisierung; erste Benchmarking-Datenbank</w:t>
            </w:r>
          </w:p>
        </w:tc>
      </w:tr>
      <w:tr>
        <w:tc>
          <w:tcPr>
            <w:tcW w:type="dxa" w:w="1417"/>
          </w:tcPr>
          <w:p>
            <w:pPr>
              <w:jc w:val="left"/>
            </w:pPr>
            <w:r/>
            <w:r>
              <w:rPr>
                <w:rFonts w:ascii="Times New Roman" w:hAnsi="Times New Roman" w:cs="Times New Roman"/>
                <w:rFonts w:ascii="Times New Roman" w:hAnsi="Times New Roman"/>
                <w:b w:val="0"/>
                <w:i w:val="0"/>
                <w:sz w:val="24"/>
              </w:rPr>
              <w:t>1992</w:t>
            </w:r>
          </w:p>
        </w:tc>
        <w:tc>
          <w:tcPr>
            <w:tcW w:type="dxa" w:w="4252"/>
          </w:tcPr>
          <w:p>
            <w:pPr>
              <w:jc w:val="left"/>
            </w:pPr>
            <w:r/>
            <w:r>
              <w:rPr>
                <w:rFonts w:ascii="Times New Roman" w:hAnsi="Times New Roman" w:cs="Times New Roman"/>
                <w:rFonts w:ascii="Times New Roman" w:hAnsi="Times New Roman"/>
                <w:b w:val="0"/>
                <w:i w:val="0"/>
                <w:sz w:val="24"/>
              </w:rPr>
              <w:t>Spendolini: "The Benchmarking Book"</w:t>
            </w:r>
          </w:p>
        </w:tc>
        <w:tc>
          <w:tcPr>
            <w:tcW w:type="dxa" w:w="3118"/>
          </w:tcPr>
          <w:p>
            <w:pPr>
              <w:jc w:val="left"/>
            </w:pPr>
            <w:r/>
            <w:r>
              <w:rPr>
                <w:rFonts w:ascii="Times New Roman" w:hAnsi="Times New Roman" w:cs="Times New Roman"/>
                <w:rFonts w:ascii="Times New Roman" w:hAnsi="Times New Roman"/>
                <w:b w:val="0"/>
                <w:i w:val="0"/>
                <w:sz w:val="24"/>
              </w:rPr>
              <w:t>Erweiterung auf generisches/funktionales Benchmarking</w:t>
            </w:r>
          </w:p>
        </w:tc>
      </w:tr>
      <w:tr>
        <w:tc>
          <w:tcPr>
            <w:tcW w:type="dxa" w:w="1417"/>
          </w:tcPr>
          <w:p>
            <w:pPr>
              <w:jc w:val="left"/>
            </w:pPr>
            <w:r/>
            <w:r>
              <w:rPr>
                <w:rFonts w:ascii="Times New Roman" w:hAnsi="Times New Roman" w:cs="Times New Roman"/>
                <w:rFonts w:ascii="Times New Roman" w:hAnsi="Times New Roman"/>
                <w:b w:val="0"/>
                <w:i w:val="0"/>
                <w:sz w:val="24"/>
              </w:rPr>
              <w:t>1993</w:t>
            </w:r>
          </w:p>
        </w:tc>
        <w:tc>
          <w:tcPr>
            <w:tcW w:type="dxa" w:w="4252"/>
          </w:tcPr>
          <w:p>
            <w:pPr>
              <w:jc w:val="left"/>
            </w:pPr>
            <w:r/>
            <w:r>
              <w:rPr>
                <w:rFonts w:ascii="Times New Roman" w:hAnsi="Times New Roman" w:cs="Times New Roman"/>
                <w:rFonts w:ascii="Times New Roman" w:hAnsi="Times New Roman"/>
                <w:b w:val="0"/>
                <w:i w:val="0"/>
                <w:sz w:val="24"/>
              </w:rPr>
              <w:t>Watson: "Strategic Benchmarking"</w:t>
            </w:r>
          </w:p>
        </w:tc>
        <w:tc>
          <w:tcPr>
            <w:tcW w:type="dxa" w:w="3118"/>
          </w:tcPr>
          <w:p>
            <w:pPr>
              <w:jc w:val="left"/>
            </w:pPr>
            <w:r/>
            <w:r>
              <w:rPr>
                <w:rFonts w:ascii="Times New Roman" w:hAnsi="Times New Roman" w:cs="Times New Roman"/>
                <w:rFonts w:ascii="Times New Roman" w:hAnsi="Times New Roman"/>
                <w:b w:val="0"/>
                <w:i w:val="0"/>
                <w:sz w:val="24"/>
              </w:rPr>
              <w:t>Verknuepfung mit Unternehmensstrategie</w:t>
            </w:r>
          </w:p>
        </w:tc>
      </w:tr>
      <w:tr>
        <w:tc>
          <w:tcPr>
            <w:tcW w:type="dxa" w:w="1417"/>
          </w:tcPr>
          <w:p>
            <w:pPr>
              <w:jc w:val="left"/>
            </w:pPr>
            <w:r/>
            <w:r>
              <w:rPr>
                <w:rFonts w:ascii="Times New Roman" w:hAnsi="Times New Roman" w:cs="Times New Roman"/>
                <w:rFonts w:ascii="Times New Roman" w:hAnsi="Times New Roman"/>
                <w:b w:val="0"/>
                <w:i w:val="0"/>
                <w:sz w:val="24"/>
              </w:rPr>
              <w:t>ab 1995</w:t>
            </w:r>
          </w:p>
        </w:tc>
        <w:tc>
          <w:tcPr>
            <w:tcW w:type="dxa" w:w="4252"/>
          </w:tcPr>
          <w:p>
            <w:pPr>
              <w:jc w:val="left"/>
            </w:pPr>
            <w:r/>
            <w:r>
              <w:rPr>
                <w:rFonts w:ascii="Times New Roman" w:hAnsi="Times New Roman" w:cs="Times New Roman"/>
                <w:rFonts w:ascii="Times New Roman" w:hAnsi="Times New Roman"/>
                <w:b w:val="0"/>
                <w:i w:val="0"/>
                <w:sz w:val="24"/>
              </w:rPr>
              <w:t>Verbreitung im deutschsprachigen Raum</w:t>
            </w:r>
          </w:p>
        </w:tc>
        <w:tc>
          <w:tcPr>
            <w:tcW w:type="dxa" w:w="3118"/>
          </w:tcPr>
          <w:p>
            <w:pPr>
              <w:jc w:val="left"/>
            </w:pPr>
            <w:r/>
            <w:r>
              <w:rPr>
                <w:rFonts w:ascii="Times New Roman" w:hAnsi="Times New Roman" w:cs="Times New Roman"/>
                <w:rFonts w:ascii="Times New Roman" w:hAnsi="Times New Roman"/>
                <w:b w:val="0"/>
                <w:i w:val="0"/>
                <w:sz w:val="24"/>
              </w:rPr>
              <w:t>Adaption fuer Mittelstand; Fraunhofer-Modell</w:t>
            </w:r>
          </w:p>
        </w:tc>
      </w:tr>
      <w:tr>
        <w:tc>
          <w:tcPr>
            <w:tcW w:type="dxa" w:w="1417"/>
          </w:tcPr>
          <w:p>
            <w:pPr>
              <w:jc w:val="left"/>
            </w:pPr>
            <w:r/>
            <w:r>
              <w:rPr>
                <w:rFonts w:ascii="Times New Roman" w:hAnsi="Times New Roman" w:cs="Times New Roman"/>
                <w:rFonts w:ascii="Times New Roman" w:hAnsi="Times New Roman"/>
                <w:b w:val="0"/>
                <w:i w:val="0"/>
                <w:sz w:val="24"/>
              </w:rPr>
              <w:t>2022+</w:t>
            </w:r>
          </w:p>
        </w:tc>
        <w:tc>
          <w:tcPr>
            <w:tcW w:type="dxa" w:w="4252"/>
          </w:tcPr>
          <w:p>
            <w:pPr>
              <w:jc w:val="left"/>
            </w:pPr>
            <w:r/>
            <w:r>
              <w:rPr>
                <w:rFonts w:ascii="Times New Roman" w:hAnsi="Times New Roman" w:cs="Times New Roman"/>
                <w:rFonts w:ascii="Times New Roman" w:hAnsi="Times New Roman"/>
                <w:b w:val="0"/>
                <w:i w:val="0"/>
                <w:sz w:val="24"/>
              </w:rPr>
              <w:t>APQC Open Standards Benchmarking</w:t>
            </w:r>
          </w:p>
        </w:tc>
        <w:tc>
          <w:tcPr>
            <w:tcW w:type="dxa" w:w="3118"/>
          </w:tcPr>
          <w:p>
            <w:pPr>
              <w:jc w:val="left"/>
            </w:pPr>
            <w:r/>
            <w:r>
              <w:rPr>
                <w:rFonts w:ascii="Times New Roman" w:hAnsi="Times New Roman" w:cs="Times New Roman"/>
                <w:rFonts w:ascii="Times New Roman" w:hAnsi="Times New Roman"/>
                <w:b w:val="0"/>
                <w:i w:val="0"/>
                <w:sz w:val="24"/>
              </w:rPr>
              <w:t>Digitale Plattformen, Echtzeit-KPIs</w:t>
            </w:r>
          </w:p>
        </w:tc>
      </w:tr>
    </w:tbl>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2.4  Etablierte Benchmarking-Prozessmodelle</w:t>
      </w:r>
    </w:p>
    <w:p>
      <w:pPr>
        <w:spacing w:before="0" w:after="120" w:line="360" w:lineRule="exact"/>
        <w:jc w:val="both"/>
      </w:pPr>
      <w:r>
        <w:rPr>
          <w:rFonts w:ascii="Times New Roman" w:hAnsi="Times New Roman" w:cs="Times New Roman"/>
          <w:rFonts w:ascii="Times New Roman" w:hAnsi="Times New Roman"/>
          <w:b w:val="0"/>
          <w:i w:val="0"/>
          <w:sz w:val="24"/>
        </w:rPr>
        <w:t>Fuer die praktische Durchfuehrung eines Benchmarks existieren in der Literatur mehrere erprobte Prozessmodelle. Die drei bedeutendsten werden nachfolgend beschrieben und vergleichend gegenuubergestellt.</w:t>
      </w:r>
    </w:p>
    <w:p>
      <w:pPr>
        <w:spacing w:before="240" w:after="120" w:line="360" w:lineRule="exact"/>
      </w:pPr>
      <w:r>
        <w:rPr>
          <w:rFonts w:ascii="Times New Roman" w:hAnsi="Times New Roman" w:cs="Times New Roman"/>
          <w:rFonts w:ascii="Times New Roman" w:hAnsi="Times New Roman"/>
          <w:b/>
          <w:i w:val="0"/>
          <w:sz w:val="24"/>
        </w:rPr>
        <w:t>2.4.1  Das Zehn-Schritte-Modell nach Camp (1994)</w:t>
      </w:r>
    </w:p>
    <w:p>
      <w:pPr>
        <w:spacing w:before="0" w:after="120" w:line="360" w:lineRule="exact"/>
        <w:jc w:val="both"/>
      </w:pPr>
      <w:r>
        <w:rPr>
          <w:rFonts w:ascii="Times New Roman" w:hAnsi="Times New Roman" w:cs="Times New Roman"/>
          <w:rFonts w:ascii="Times New Roman" w:hAnsi="Times New Roman"/>
          <w:b w:val="0"/>
          <w:i w:val="0"/>
          <w:sz w:val="24"/>
        </w:rPr>
        <w:t>Das von Camp (1994, S. 17-260) entwickelte Modell gilt als Urmodell des Benchmarkings und gliedert den Prozess in zehn Schritte, die vier Phasen zugeordnet werden koennen: (1) Planung, (2) Analyse, (3) Integration und (4) Aktion. In der Planungsphase werden Benchmarking-Gegenstand, Vergleichspartner und Datenerhebungsmethoden festgelegt. Die Analysephase umfasst die Datenerhebung, den Vergleich und die Ermittlung der Leistungsluecke (Gap). In der Integrationsphase werden die Erkenntnisse kommuniziert und Ziele definiert. Die Aktionsphase schliesst mit der Umsetzung der Massnahmen und dem kontinuierlichen Monitoring ab (Camp, 1994, S. 17).</w:t>
      </w:r>
    </w:p>
    <w:p>
      <w:pPr>
        <w:spacing w:before="0" w:after="120" w:line="360" w:lineRule="exact"/>
        <w:jc w:val="both"/>
      </w:pPr>
      <w:r>
        <w:rPr>
          <w:rFonts w:ascii="Times New Roman" w:hAnsi="Times New Roman" w:cs="Times New Roman"/>
          <w:rFonts w:ascii="Times New Roman" w:hAnsi="Times New Roman"/>
          <w:b w:val="0"/>
          <w:i w:val="0"/>
          <w:sz w:val="24"/>
        </w:rPr>
        <w:t>Das Modell zeichnet sich durch seinen zyklischen Charakter aus: Am Ende eines Benchmarking-Zyklus wird geprueft, ob neue Benchmarks erforderlich sind, und der Prozess beginnt erneut. Dies sichert die kontinuierliche Anpassungsfahigkeit des Unternehmens an veraenderte Marktbedingungen.</w:t>
      </w:r>
    </w:p>
    <w:p>
      <w:pPr>
        <w:spacing w:before="240" w:after="120" w:line="360" w:lineRule="exact"/>
      </w:pPr>
      <w:r>
        <w:rPr>
          <w:rFonts w:ascii="Times New Roman" w:hAnsi="Times New Roman" w:cs="Times New Roman"/>
          <w:rFonts w:ascii="Times New Roman" w:hAnsi="Times New Roman"/>
          <w:b/>
          <w:i w:val="0"/>
          <w:sz w:val="24"/>
        </w:rPr>
        <w:t>2.4.2  Das Fuenf-Stufen-Modell nach Spendolini (1992)</w:t>
      </w:r>
    </w:p>
    <w:p>
      <w:pPr>
        <w:spacing w:before="0" w:after="120" w:line="360" w:lineRule="exact"/>
        <w:jc w:val="both"/>
      </w:pPr>
      <w:r>
        <w:rPr>
          <w:rFonts w:ascii="Times New Roman" w:hAnsi="Times New Roman" w:cs="Times New Roman"/>
          <w:rFonts w:ascii="Times New Roman" w:hAnsi="Times New Roman"/>
          <w:b w:val="0"/>
          <w:i w:val="0"/>
          <w:sz w:val="24"/>
        </w:rPr>
        <w:t>Spendolini (1992, S. 48-152) kondensierte den Benchmarking-Prozess auf fuenf Kernstufen: (1) Entscheidung, was benchmarkiert werden soll, (2) Aufbau eines Benchmarking-Teams, (3) Identifikation von Vergleichspartnern, (4) Sammlung und Analyse von Informationen sowie (5) Umsetzung und Nachverfolgung. Das Modell legt besonderen Wert auf die Teamstruktur und die explizite Beruecksichtigung verschiedener Benchmarking-Typen (intern, wettbewerbsorientiert, funktional/generisch).</w:t>
      </w:r>
    </w:p>
    <w:p>
      <w:pPr>
        <w:spacing w:before="240" w:after="120" w:line="360" w:lineRule="exact"/>
      </w:pPr>
      <w:r>
        <w:rPr>
          <w:rFonts w:ascii="Times New Roman" w:hAnsi="Times New Roman" w:cs="Times New Roman"/>
          <w:rFonts w:ascii="Times New Roman" w:hAnsi="Times New Roman"/>
          <w:b/>
          <w:i w:val="0"/>
          <w:sz w:val="24"/>
        </w:rPr>
        <w:t>2.4.3  Das Fuenf-Phasen-Modell des Fraunhofer IZB (2023)</w:t>
      </w:r>
    </w:p>
    <w:p>
      <w:pPr>
        <w:spacing w:before="0" w:after="120" w:line="360" w:lineRule="exact"/>
        <w:jc w:val="both"/>
      </w:pPr>
      <w:r>
        <w:rPr>
          <w:rFonts w:ascii="Times New Roman" w:hAnsi="Times New Roman" w:cs="Times New Roman"/>
          <w:rFonts w:ascii="Times New Roman" w:hAnsi="Times New Roman"/>
          <w:b w:val="0"/>
          <w:i w:val="0"/>
          <w:sz w:val="24"/>
        </w:rPr>
        <w:t>Das Fraunhofer-Modell (Fraunhofer IZB, 2023, S. 14-17) ist speziell auf produzierende mittelstaendische Unternehmen im deutschsprachigen Raum ausgerichtet. Es strukturiert den Benchmarking-Prozess in fuenf Phasen:</w:t>
      </w:r>
    </w:p>
    <w:p>
      <w:pPr>
        <w:pStyle w:val="ListBullet"/>
        <w:spacing w:before="0" w:after="60"/>
        <w:ind w:left="567"/>
      </w:pPr>
      <w:r>
        <w:rPr>
          <w:rFonts w:ascii="Times New Roman" w:hAnsi="Times New Roman" w:cs="Times New Roman"/>
          <w:rFonts w:ascii="Times New Roman" w:hAnsi="Times New Roman"/>
          <w:b w:val="0"/>
          <w:i w:val="0"/>
          <w:sz w:val="24"/>
        </w:rPr>
        <w:t>Phase 1 – Initialisierung: Projektziel definieren, Scope festlegen, interne Ressourcen sichern.</w:t>
      </w:r>
    </w:p>
    <w:p>
      <w:pPr>
        <w:pStyle w:val="ListBullet"/>
        <w:spacing w:before="0" w:after="60"/>
        <w:ind w:left="567"/>
      </w:pPr>
      <w:r>
        <w:rPr>
          <w:rFonts w:ascii="Times New Roman" w:hAnsi="Times New Roman" w:cs="Times New Roman"/>
          <w:rFonts w:ascii="Times New Roman" w:hAnsi="Times New Roman"/>
          <w:b w:val="0"/>
          <w:i w:val="0"/>
          <w:sz w:val="24"/>
        </w:rPr>
        <w:t>Phase 2 – Interne Analyse: Eigene Ist-Situation erheben, Kennzahlen bestimmen, Staerken/Schwaechen identifizieren.</w:t>
      </w:r>
    </w:p>
    <w:p>
      <w:pPr>
        <w:pStyle w:val="ListBullet"/>
        <w:spacing w:before="0" w:after="60"/>
        <w:ind w:left="567"/>
      </w:pPr>
      <w:r>
        <w:rPr>
          <w:rFonts w:ascii="Times New Roman" w:hAnsi="Times New Roman" w:cs="Times New Roman"/>
          <w:rFonts w:ascii="Times New Roman" w:hAnsi="Times New Roman"/>
          <w:b w:val="0"/>
          <w:i w:val="0"/>
          <w:sz w:val="24"/>
        </w:rPr>
        <w:t>Phase 3 – Partnerauswahl &amp; Datenerhebung: Vergleichsunternehmen selektieren, Daten sekundaer und primaer erheben.</w:t>
      </w:r>
    </w:p>
    <w:p>
      <w:pPr>
        <w:pStyle w:val="ListBullet"/>
        <w:spacing w:before="0" w:after="60"/>
        <w:ind w:left="567"/>
      </w:pPr>
      <w:r>
        <w:rPr>
          <w:rFonts w:ascii="Times New Roman" w:hAnsi="Times New Roman" w:cs="Times New Roman"/>
          <w:rFonts w:ascii="Times New Roman" w:hAnsi="Times New Roman"/>
          <w:b w:val="0"/>
          <w:i w:val="0"/>
          <w:sz w:val="24"/>
        </w:rPr>
        <w:t>Phase 4 – Vergleich &amp; Gap-Analyse: Leistungsluecken quantifizieren, Best Practices ableiten, Ursachenanalyse.</w:t>
      </w:r>
    </w:p>
    <w:p>
      <w:pPr>
        <w:pStyle w:val="ListBullet"/>
        <w:spacing w:before="0" w:after="60"/>
        <w:ind w:left="567"/>
      </w:pPr>
      <w:r>
        <w:rPr>
          <w:rFonts w:ascii="Times New Roman" w:hAnsi="Times New Roman" w:cs="Times New Roman"/>
          <w:rFonts w:ascii="Times New Roman" w:hAnsi="Times New Roman"/>
          <w:b w:val="0"/>
          <w:i w:val="0"/>
          <w:sz w:val="24"/>
        </w:rPr>
        <w:t>Phase 5 – Massnahmenplanung &amp; Umsetzung: Handlungsempfehlungen priorisieren, Umsetzung begleiten, Wirkung messen.</w:t>
      </w:r>
    </w:p>
    <w:p/>
    <w:p>
      <w:pPr>
        <w:spacing w:before="0" w:after="120" w:line="360" w:lineRule="exact"/>
        <w:jc w:val="both"/>
      </w:pPr>
      <w:r>
        <w:rPr>
          <w:rFonts w:ascii="Times New Roman" w:hAnsi="Times New Roman" w:cs="Times New Roman"/>
          <w:rFonts w:ascii="Times New Roman" w:hAnsi="Times New Roman"/>
          <w:b w:val="0"/>
          <w:i w:val="0"/>
          <w:sz w:val="24"/>
        </w:rPr>
        <w:t>Das Fraunhofer-Modell eignet sich besonders fuer den Kontext dieser Arbeit, da es die Vergleichbarkeitsproblematik in der Einzelfertigung explizit adressiert und pragmatische Loesungsansaetze fuer eingeschraenkte Datenverfuegbarkeit bietet (Fraunhofer IZB, 2023, S. 9).</w:t>
      </w:r>
    </w:p>
    <w:p>
      <w:pPr>
        <w:spacing w:before="0" w:after="60" w:line="360" w:lineRule="exact"/>
        <w:jc w:val="both"/>
      </w:pPr>
      <w:r>
        <w:rPr>
          <w:rFonts w:ascii="Times New Roman" w:hAnsi="Times New Roman" w:cs="Times New Roman"/>
          <w:rFonts w:ascii="Times New Roman" w:hAnsi="Times New Roman"/>
          <w:b w:val="0"/>
          <w:i w:val="0"/>
          <w:sz w:val="24"/>
        </w:rPr>
        <w:t>Tabelle 2.3: Vergleich der Benchmarking-Prozessmodelle</w:t>
      </w:r>
    </w:p>
    <w:tbl>
      <w:tblPr>
        <w:tblStyle w:val="TableGrid"/>
        <w:tblW w:type="auto" w:w="0"/>
        <w:tblLook w:firstColumn="1" w:firstRow="1" w:lastColumn="0" w:lastRow="0" w:noHBand="0" w:noVBand="1" w:val="04A0"/>
      </w:tblPr>
      <w:tblGrid>
        <w:gridCol w:w="2197"/>
        <w:gridCol w:w="2197"/>
        <w:gridCol w:w="2197"/>
        <w:gridCol w:w="2197"/>
      </w:tblGrid>
      <w:tr>
        <w:tc>
          <w:tcPr>
            <w:tcW w:type="dxa" w:w="1984"/>
          </w:tcPr>
          <w:p/>
        </w:tc>
        <w:tc>
          <w:tcPr>
            <w:tcW w:type="dxa" w:w="1984"/>
          </w:tcPr>
          <w:p/>
        </w:tc>
        <w:tc>
          <w:tcPr>
            <w:tcW w:type="dxa" w:w="1984"/>
          </w:tcPr>
          <w:p/>
        </w:tc>
        <w:tc>
          <w:tcPr>
            <w:tcW w:type="dxa" w:w="2835"/>
          </w:tcPr>
          <w:p/>
        </w:tc>
      </w:tr>
      <w:tr>
        <w:tc>
          <w:tcPr>
            <w:tcW w:type="dxa" w:w="1984"/>
            <w:shd w:val="clear" w:color="auto" w:fill="D9D9D9"/>
          </w:tcPr>
          <w:p>
            <w:pPr>
              <w:jc w:val="left"/>
            </w:pPr>
            <w:r/>
            <w:r>
              <w:rPr>
                <w:rFonts w:ascii="Times New Roman" w:hAnsi="Times New Roman" w:cs="Times New Roman"/>
                <w:rFonts w:ascii="Times New Roman" w:hAnsi="Times New Roman"/>
                <w:b/>
                <w:i w:val="0"/>
                <w:sz w:val="24"/>
              </w:rPr>
              <w:t>Kriterium</w:t>
            </w:r>
          </w:p>
        </w:tc>
        <w:tc>
          <w:tcPr>
            <w:tcW w:type="dxa" w:w="1984"/>
            <w:shd w:val="clear" w:color="auto" w:fill="D9D9D9"/>
          </w:tcPr>
          <w:p>
            <w:pPr>
              <w:jc w:val="left"/>
            </w:pPr>
            <w:r/>
            <w:r>
              <w:rPr>
                <w:rFonts w:ascii="Times New Roman" w:hAnsi="Times New Roman" w:cs="Times New Roman"/>
                <w:rFonts w:ascii="Times New Roman" w:hAnsi="Times New Roman"/>
                <w:b/>
                <w:i w:val="0"/>
                <w:sz w:val="24"/>
              </w:rPr>
              <w:t>Camp (1994)</w:t>
            </w:r>
          </w:p>
        </w:tc>
        <w:tc>
          <w:tcPr>
            <w:tcW w:type="dxa" w:w="1984"/>
            <w:shd w:val="clear" w:color="auto" w:fill="D9D9D9"/>
          </w:tcPr>
          <w:p>
            <w:pPr>
              <w:jc w:val="left"/>
            </w:pPr>
            <w:r/>
            <w:r>
              <w:rPr>
                <w:rFonts w:ascii="Times New Roman" w:hAnsi="Times New Roman" w:cs="Times New Roman"/>
                <w:rFonts w:ascii="Times New Roman" w:hAnsi="Times New Roman"/>
                <w:b/>
                <w:i w:val="0"/>
                <w:sz w:val="24"/>
              </w:rPr>
              <w:t>Spendolini (1992)</w:t>
            </w:r>
          </w:p>
        </w:tc>
        <w:tc>
          <w:tcPr>
            <w:tcW w:type="dxa" w:w="2835"/>
            <w:shd w:val="clear" w:color="auto" w:fill="D9D9D9"/>
          </w:tcPr>
          <w:p>
            <w:pPr>
              <w:jc w:val="left"/>
            </w:pPr>
            <w:r/>
            <w:r>
              <w:rPr>
                <w:rFonts w:ascii="Times New Roman" w:hAnsi="Times New Roman" w:cs="Times New Roman"/>
                <w:rFonts w:ascii="Times New Roman" w:hAnsi="Times New Roman"/>
                <w:b/>
                <w:i w:val="0"/>
                <w:sz w:val="24"/>
              </w:rPr>
              <w:t>Fraunhofer IZB (2023)</w:t>
            </w:r>
          </w:p>
        </w:tc>
      </w:tr>
      <w:tr>
        <w:tc>
          <w:tcPr>
            <w:tcW w:type="dxa" w:w="1984"/>
          </w:tcPr>
          <w:p>
            <w:pPr>
              <w:jc w:val="left"/>
            </w:pPr>
            <w:r/>
            <w:r>
              <w:rPr>
                <w:rFonts w:ascii="Times New Roman" w:hAnsi="Times New Roman" w:cs="Times New Roman"/>
                <w:rFonts w:ascii="Times New Roman" w:hAnsi="Times New Roman"/>
                <w:b w:val="0"/>
                <w:i w:val="0"/>
                <w:sz w:val="24"/>
              </w:rPr>
              <w:t>Schritte/Phasen</w:t>
            </w:r>
          </w:p>
        </w:tc>
        <w:tc>
          <w:tcPr>
            <w:tcW w:type="dxa" w:w="1984"/>
          </w:tcPr>
          <w:p>
            <w:pPr>
              <w:jc w:val="left"/>
            </w:pPr>
            <w:r/>
            <w:r>
              <w:rPr>
                <w:rFonts w:ascii="Times New Roman" w:hAnsi="Times New Roman" w:cs="Times New Roman"/>
                <w:rFonts w:ascii="Times New Roman" w:hAnsi="Times New Roman"/>
                <w:b w:val="0"/>
                <w:i w:val="0"/>
                <w:sz w:val="24"/>
              </w:rPr>
              <w:t>10 Schritte</w:t>
            </w:r>
          </w:p>
        </w:tc>
        <w:tc>
          <w:tcPr>
            <w:tcW w:type="dxa" w:w="1984"/>
          </w:tcPr>
          <w:p>
            <w:pPr>
              <w:jc w:val="left"/>
            </w:pPr>
            <w:r/>
            <w:r>
              <w:rPr>
                <w:rFonts w:ascii="Times New Roman" w:hAnsi="Times New Roman" w:cs="Times New Roman"/>
                <w:rFonts w:ascii="Times New Roman" w:hAnsi="Times New Roman"/>
                <w:b w:val="0"/>
                <w:i w:val="0"/>
                <w:sz w:val="24"/>
              </w:rPr>
              <w:t>5 Stufen</w:t>
            </w:r>
          </w:p>
        </w:tc>
        <w:tc>
          <w:tcPr>
            <w:tcW w:type="dxa" w:w="2835"/>
          </w:tcPr>
          <w:p>
            <w:pPr>
              <w:jc w:val="left"/>
            </w:pPr>
            <w:r/>
            <w:r>
              <w:rPr>
                <w:rFonts w:ascii="Times New Roman" w:hAnsi="Times New Roman" w:cs="Times New Roman"/>
                <w:rFonts w:ascii="Times New Roman" w:hAnsi="Times New Roman"/>
                <w:b w:val="0"/>
                <w:i w:val="0"/>
                <w:sz w:val="24"/>
              </w:rPr>
              <w:t>5 Phasen</w:t>
            </w:r>
          </w:p>
        </w:tc>
      </w:tr>
      <w:tr>
        <w:tc>
          <w:tcPr>
            <w:tcW w:type="dxa" w:w="1984"/>
          </w:tcPr>
          <w:p>
            <w:pPr>
              <w:jc w:val="left"/>
            </w:pPr>
            <w:r/>
            <w:r>
              <w:rPr>
                <w:rFonts w:ascii="Times New Roman" w:hAnsi="Times New Roman" w:cs="Times New Roman"/>
                <w:rFonts w:ascii="Times New Roman" w:hAnsi="Times New Roman"/>
                <w:b w:val="0"/>
                <w:i w:val="0"/>
                <w:sz w:val="24"/>
              </w:rPr>
              <w:t>Zielgruppe</w:t>
            </w:r>
          </w:p>
        </w:tc>
        <w:tc>
          <w:tcPr>
            <w:tcW w:type="dxa" w:w="1984"/>
          </w:tcPr>
          <w:p>
            <w:pPr>
              <w:jc w:val="left"/>
            </w:pPr>
            <w:r/>
            <w:r>
              <w:rPr>
                <w:rFonts w:ascii="Times New Roman" w:hAnsi="Times New Roman" w:cs="Times New Roman"/>
                <w:rFonts w:ascii="Times New Roman" w:hAnsi="Times New Roman"/>
                <w:b w:val="0"/>
                <w:i w:val="0"/>
                <w:sz w:val="24"/>
              </w:rPr>
              <w:t>Grossunternehmen</w:t>
            </w:r>
          </w:p>
        </w:tc>
        <w:tc>
          <w:tcPr>
            <w:tcW w:type="dxa" w:w="1984"/>
          </w:tcPr>
          <w:p>
            <w:pPr>
              <w:jc w:val="left"/>
            </w:pPr>
            <w:r/>
            <w:r>
              <w:rPr>
                <w:rFonts w:ascii="Times New Roman" w:hAnsi="Times New Roman" w:cs="Times New Roman"/>
                <w:rFonts w:ascii="Times New Roman" w:hAnsi="Times New Roman"/>
                <w:b w:val="0"/>
                <w:i w:val="0"/>
                <w:sz w:val="24"/>
              </w:rPr>
              <w:t>Allgemein</w:t>
            </w:r>
          </w:p>
        </w:tc>
        <w:tc>
          <w:tcPr>
            <w:tcW w:type="dxa" w:w="2835"/>
          </w:tcPr>
          <w:p>
            <w:pPr>
              <w:jc w:val="left"/>
            </w:pPr>
            <w:r/>
            <w:r>
              <w:rPr>
                <w:rFonts w:ascii="Times New Roman" w:hAnsi="Times New Roman" w:cs="Times New Roman"/>
                <w:rFonts w:ascii="Times New Roman" w:hAnsi="Times New Roman"/>
                <w:b w:val="0"/>
                <w:i w:val="0"/>
                <w:sz w:val="24"/>
              </w:rPr>
              <w:t>KMU / Mittelstand</w:t>
            </w:r>
          </w:p>
        </w:tc>
      </w:tr>
      <w:tr>
        <w:tc>
          <w:tcPr>
            <w:tcW w:type="dxa" w:w="1984"/>
          </w:tcPr>
          <w:p>
            <w:pPr>
              <w:jc w:val="left"/>
            </w:pPr>
            <w:r/>
            <w:r>
              <w:rPr>
                <w:rFonts w:ascii="Times New Roman" w:hAnsi="Times New Roman" w:cs="Times New Roman"/>
                <w:rFonts w:ascii="Times New Roman" w:hAnsi="Times New Roman"/>
                <w:b w:val="0"/>
                <w:i w:val="0"/>
                <w:sz w:val="24"/>
              </w:rPr>
              <w:t>Besonderheit</w:t>
            </w:r>
          </w:p>
        </w:tc>
        <w:tc>
          <w:tcPr>
            <w:tcW w:type="dxa" w:w="1984"/>
          </w:tcPr>
          <w:p>
            <w:pPr>
              <w:jc w:val="left"/>
            </w:pPr>
            <w:r/>
            <w:r>
              <w:rPr>
                <w:rFonts w:ascii="Times New Roman" w:hAnsi="Times New Roman" w:cs="Times New Roman"/>
                <w:rFonts w:ascii="Times New Roman" w:hAnsi="Times New Roman"/>
                <w:b w:val="0"/>
                <w:i w:val="0"/>
                <w:sz w:val="24"/>
              </w:rPr>
              <w:t>Zyklischer Prozess</w:t>
            </w:r>
          </w:p>
        </w:tc>
        <w:tc>
          <w:tcPr>
            <w:tcW w:type="dxa" w:w="1984"/>
          </w:tcPr>
          <w:p>
            <w:pPr>
              <w:jc w:val="left"/>
            </w:pPr>
            <w:r/>
            <w:r>
              <w:rPr>
                <w:rFonts w:ascii="Times New Roman" w:hAnsi="Times New Roman" w:cs="Times New Roman"/>
                <w:rFonts w:ascii="Times New Roman" w:hAnsi="Times New Roman"/>
                <w:b w:val="0"/>
                <w:i w:val="0"/>
                <w:sz w:val="24"/>
              </w:rPr>
              <w:t>Teamfokus</w:t>
            </w:r>
          </w:p>
        </w:tc>
        <w:tc>
          <w:tcPr>
            <w:tcW w:type="dxa" w:w="2835"/>
          </w:tcPr>
          <w:p>
            <w:pPr>
              <w:jc w:val="left"/>
            </w:pPr>
            <w:r/>
            <w:r>
              <w:rPr>
                <w:rFonts w:ascii="Times New Roman" w:hAnsi="Times New Roman" w:cs="Times New Roman"/>
                <w:rFonts w:ascii="Times New Roman" w:hAnsi="Times New Roman"/>
                <w:b w:val="0"/>
                <w:i w:val="0"/>
                <w:sz w:val="24"/>
              </w:rPr>
              <w:t>Mittelstandsadaption</w:t>
            </w:r>
          </w:p>
        </w:tc>
      </w:tr>
      <w:tr>
        <w:tc>
          <w:tcPr>
            <w:tcW w:type="dxa" w:w="1984"/>
          </w:tcPr>
          <w:p>
            <w:pPr>
              <w:jc w:val="left"/>
            </w:pPr>
            <w:r/>
            <w:r>
              <w:rPr>
                <w:rFonts w:ascii="Times New Roman" w:hAnsi="Times New Roman" w:cs="Times New Roman"/>
                <w:rFonts w:ascii="Times New Roman" w:hAnsi="Times New Roman"/>
                <w:b w:val="0"/>
                <w:i w:val="0"/>
                <w:sz w:val="24"/>
              </w:rPr>
              <w:t>Fokus</w:t>
            </w:r>
          </w:p>
        </w:tc>
        <w:tc>
          <w:tcPr>
            <w:tcW w:type="dxa" w:w="1984"/>
          </w:tcPr>
          <w:p>
            <w:pPr>
              <w:jc w:val="left"/>
            </w:pPr>
            <w:r/>
            <w:r>
              <w:rPr>
                <w:rFonts w:ascii="Times New Roman" w:hAnsi="Times New Roman" w:cs="Times New Roman"/>
                <w:rFonts w:ascii="Times New Roman" w:hAnsi="Times New Roman"/>
                <w:b w:val="0"/>
                <w:i w:val="0"/>
                <w:sz w:val="24"/>
              </w:rPr>
              <w:t>Operativ &amp; strategisch</w:t>
            </w:r>
          </w:p>
        </w:tc>
        <w:tc>
          <w:tcPr>
            <w:tcW w:type="dxa" w:w="1984"/>
          </w:tcPr>
          <w:p>
            <w:pPr>
              <w:jc w:val="left"/>
            </w:pPr>
            <w:r/>
            <w:r>
              <w:rPr>
                <w:rFonts w:ascii="Times New Roman" w:hAnsi="Times New Roman" w:cs="Times New Roman"/>
                <w:rFonts w:ascii="Times New Roman" w:hAnsi="Times New Roman"/>
                <w:b w:val="0"/>
                <w:i w:val="0"/>
                <w:sz w:val="24"/>
              </w:rPr>
              <w:t>Prozess &amp; Typen</w:t>
            </w:r>
          </w:p>
        </w:tc>
        <w:tc>
          <w:tcPr>
            <w:tcW w:type="dxa" w:w="2835"/>
          </w:tcPr>
          <w:p>
            <w:pPr>
              <w:jc w:val="left"/>
            </w:pPr>
            <w:r/>
            <w:r>
              <w:rPr>
                <w:rFonts w:ascii="Times New Roman" w:hAnsi="Times New Roman" w:cs="Times New Roman"/>
                <w:rFonts w:ascii="Times New Roman" w:hAnsi="Times New Roman"/>
                <w:b w:val="0"/>
                <w:i w:val="0"/>
                <w:sz w:val="24"/>
              </w:rPr>
              <w:t>Produktion</w:t>
            </w:r>
          </w:p>
        </w:tc>
      </w:tr>
      <w:tr>
        <w:tc>
          <w:tcPr>
            <w:tcW w:type="dxa" w:w="1984"/>
          </w:tcPr>
          <w:p>
            <w:pPr>
              <w:jc w:val="left"/>
            </w:pPr>
            <w:r/>
            <w:r>
              <w:rPr>
                <w:rFonts w:ascii="Times New Roman" w:hAnsi="Times New Roman" w:cs="Times New Roman"/>
                <w:rFonts w:ascii="Times New Roman" w:hAnsi="Times New Roman"/>
                <w:b w:val="0"/>
                <w:i w:val="0"/>
                <w:sz w:val="24"/>
              </w:rPr>
              <w:t>Geeignet fuer PA</w:t>
            </w:r>
          </w:p>
        </w:tc>
        <w:tc>
          <w:tcPr>
            <w:tcW w:type="dxa" w:w="1984"/>
          </w:tcPr>
          <w:p>
            <w:pPr>
              <w:jc w:val="left"/>
            </w:pPr>
            <w:r/>
            <w:r>
              <w:rPr>
                <w:rFonts w:ascii="Times New Roman" w:hAnsi="Times New Roman" w:cs="Times New Roman"/>
                <w:rFonts w:ascii="Times New Roman" w:hAnsi="Times New Roman"/>
                <w:b w:val="0"/>
                <w:i w:val="0"/>
                <w:sz w:val="24"/>
              </w:rPr>
              <w:t>Konzeptionell</w:t>
            </w:r>
          </w:p>
        </w:tc>
        <w:tc>
          <w:tcPr>
            <w:tcW w:type="dxa" w:w="1984"/>
          </w:tcPr>
          <w:p>
            <w:pPr>
              <w:jc w:val="left"/>
            </w:pPr>
            <w:r/>
            <w:r>
              <w:rPr>
                <w:rFonts w:ascii="Times New Roman" w:hAnsi="Times New Roman" w:cs="Times New Roman"/>
                <w:rFonts w:ascii="Times New Roman" w:hAnsi="Times New Roman"/>
                <w:b w:val="0"/>
                <w:i w:val="0"/>
                <w:sz w:val="24"/>
              </w:rPr>
              <w:t>Erganezend</w:t>
            </w:r>
          </w:p>
        </w:tc>
        <w:tc>
          <w:tcPr>
            <w:tcW w:type="dxa" w:w="2835"/>
          </w:tcPr>
          <w:p>
            <w:pPr>
              <w:jc w:val="left"/>
            </w:pPr>
            <w:r/>
            <w:r>
              <w:rPr>
                <w:rFonts w:ascii="Times New Roman" w:hAnsi="Times New Roman" w:cs="Times New Roman"/>
                <w:rFonts w:ascii="Times New Roman" w:hAnsi="Times New Roman"/>
                <w:b w:val="0"/>
                <w:i w:val="0"/>
                <w:sz w:val="24"/>
              </w:rPr>
              <w:t>Hauptmodell</w:t>
            </w:r>
          </w:p>
        </w:tc>
      </w:tr>
    </w:tbl>
    <w:p/>
    <w:p>
      <w:pPr>
        <w:spacing w:before="120" w:after="120"/>
      </w:pPr>
      <w:r>
        <w:rPr>
          <w:rFonts w:ascii="Times New Roman" w:hAnsi="Times New Roman"/>
          <w:color w:val="CCCCCC"/>
          <w:sz w:val="16"/>
        </w:rPr>
        <w:t>────────────────────────────────────────────────────────────────────────────────</w:t>
      </w:r>
    </w:p>
    <w:p>
      <w:pPr>
        <w:spacing w:before="240" w:after="120" w:line="360" w:lineRule="exact"/>
      </w:pPr>
      <w:r>
        <w:rPr>
          <w:rFonts w:ascii="Times New Roman" w:hAnsi="Times New Roman" w:cs="Times New Roman"/>
          <w:rFonts w:ascii="Times New Roman" w:hAnsi="Times New Roman"/>
          <w:b/>
          <w:i w:val="0"/>
          <w:sz w:val="24"/>
        </w:rPr>
        <w:t>2.5  Benchmarking im Kontext des Sondermaschinenbaus</w:t>
      </w:r>
    </w:p>
    <w:p>
      <w:pPr>
        <w:spacing w:before="0" w:after="120" w:line="360" w:lineRule="exact"/>
        <w:jc w:val="both"/>
      </w:pPr>
      <w:r>
        <w:rPr>
          <w:rFonts w:ascii="Times New Roman" w:hAnsi="Times New Roman" w:cs="Times New Roman"/>
          <w:rFonts w:ascii="Times New Roman" w:hAnsi="Times New Roman"/>
          <w:b w:val="0"/>
          <w:i w:val="0"/>
          <w:sz w:val="24"/>
        </w:rPr>
        <w:t>Der Sondermaschinenbau weist branchenspezifische Eigenschaften auf, die die Anwendung des Benchmarkings erschweren, gleichzeitig aber seinen strategischen Mehrwert begruenden. Sondermaschinenbauer fertigen kundenindividuelle Loesungen in der Regel als Einzelstuecke oder in sehr kleinen Serien; standardisierte Leistungskennzahlen, wie sie in der Serienfertigung selbstverstaendlich sind, existieren hier oft nicht (Spendolini, 1992, S. 78).</w:t>
      </w:r>
    </w:p>
    <w:p>
      <w:pPr>
        <w:spacing w:before="0" w:after="120" w:line="360" w:lineRule="exact"/>
        <w:jc w:val="both"/>
      </w:pPr>
      <w:r>
        <w:rPr>
          <w:rFonts w:ascii="Times New Roman" w:hAnsi="Times New Roman" w:cs="Times New Roman"/>
          <w:rFonts w:ascii="Times New Roman" w:hAnsi="Times New Roman"/>
          <w:b w:val="0"/>
          <w:i w:val="0"/>
          <w:sz w:val="24"/>
        </w:rPr>
        <w:t>Die Branche ist mit etwa 6.800 Unternehmen und rund 952.000 Beschaeftigten einer der bedeutendsten Industriezweige Deutschlands. Der Gesamtumsatz des deutschen Maschinenbaus betrug im Jahr 2023 rund 254,4 Milliarden Euro, wovon ein erheblicher Anteil auf den Sondermaschinenbau entfaellt (VDMA, 2024, S. 4). Angesichts des zunehmenden Kostendrucks durch internationale Anbieter, insbesondere aus China und Suedostasien, gewinnt die strategische Selbstverortung durch Benchmarking an Bedeutung.</w:t>
      </w:r>
    </w:p>
    <w:p>
      <w:pPr>
        <w:spacing w:before="0" w:after="120" w:line="360" w:lineRule="exact"/>
        <w:jc w:val="both"/>
      </w:pPr>
      <w:r>
        <w:rPr>
          <w:rFonts w:ascii="Times New Roman" w:hAnsi="Times New Roman" w:cs="Times New Roman"/>
          <w:rFonts w:ascii="Times New Roman" w:hAnsi="Times New Roman"/>
          <w:b w:val="0"/>
          <w:i w:val="0"/>
          <w:sz w:val="24"/>
        </w:rPr>
        <w:t>Fuer das strategische Benchmarking im Sondermaschinenbau ergeben sich drei zentrale Herausforderungen: Erstens ist die Datenverfuegbarkeit begrenzt, da viele Marktteilnehmer nicht publizitaetspflichtig sind. Zweitens erschwert die Heterogenitaet der Produkte und Kundensegmente einen direkten Kennzahlenvergleich (Vergleichbarkeitsproblem). Drittens besteht ein Interessenkonflikt zwischen der Notwendigkeit zur Offenlegung eigener Daten und dem Wunsch nach Wahrung von Betriebsgeheimnissen (Camp, 1994, S. 67).</w:t>
      </w:r>
    </w:p>
    <w:p>
      <w:pPr>
        <w:spacing w:before="0" w:after="120" w:line="360" w:lineRule="exact"/>
        <w:jc w:val="both"/>
      </w:pPr>
      <w:r>
        <w:rPr>
          <w:rFonts w:ascii="Times New Roman" w:hAnsi="Times New Roman" w:cs="Times New Roman"/>
          <w:rFonts w:ascii="Times New Roman" w:hAnsi="Times New Roman"/>
          <w:b w:val="0"/>
          <w:i w:val="0"/>
          <w:sz w:val="24"/>
        </w:rPr>
        <w:t>Diese Einschraenkungen koennen durch methodische Massnahmen teilweise kompensiert werden: Normierung absoluter Kennzahlen durch relative Indikatoren, Erweiterung des Vergleichsfelds auf branchenverwandte Unternehmen sowie systematische Sekundaerdatenanalyse auf Basis oeffentlich verfuegbarer Geschaeftsberichte und Branchenstatistiken. Das methodische Vorgehen dieser Arbeit traegt diesen Besonderheiten Rechnung (vgl. Kapitel 4).</w:t>
      </w:r>
    </w:p>
    <w:p>
      <w:pPr>
        <w:spacing w:before="120" w:after="120"/>
      </w:pPr>
      <w:r>
        <w:rPr>
          <w:rFonts w:ascii="Times New Roman" w:hAnsi="Times New Roman"/>
          <w:color w:val="CCCCCC"/>
          <w:sz w:val="16"/>
        </w:rPr>
        <w:t>────────────────────────────────────────────────────────────────────────────────</w:t>
      </w:r>
    </w:p>
    <w:p>
      <w:pPr>
        <w:spacing w:before="360" w:after="120" w:line="360" w:lineRule="exact"/>
      </w:pPr>
      <w:r>
        <w:rPr>
          <w:rFonts w:ascii="Times New Roman" w:hAnsi="Times New Roman" w:cs="Times New Roman"/>
          <w:rFonts w:ascii="Times New Roman" w:hAnsi="Times New Roman"/>
          <w:b/>
          <w:i w:val="0"/>
          <w:sz w:val="28"/>
        </w:rPr>
        <w:t>Literaturverzeichnis (Kapitel 2)</w:t>
      </w:r>
    </w:p>
    <w:p>
      <w:pPr>
        <w:spacing w:after="80" w:line="360" w:lineRule="exact"/>
        <w:ind w:left="709" w:hanging="709"/>
      </w:pPr>
      <w:r>
        <w:rPr>
          <w:rFonts w:ascii="Times New Roman" w:hAnsi="Times New Roman" w:cs="Times New Roman"/>
          <w:rFonts w:ascii="Times New Roman" w:hAnsi="Times New Roman"/>
          <w:b w:val="0"/>
          <w:i w:val="0"/>
          <w:sz w:val="24"/>
        </w:rPr>
        <w:t>APQC. (2022). Open Standards Benchmarking. American Productivity and Quality Center. https://www.apqc.org/benchmarking</w:t>
      </w:r>
    </w:p>
    <w:p>
      <w:pPr>
        <w:spacing w:after="80" w:line="360" w:lineRule="exact"/>
        <w:ind w:left="709" w:hanging="709"/>
      </w:pPr>
      <w:r>
        <w:rPr>
          <w:rFonts w:ascii="Times New Roman" w:hAnsi="Times New Roman" w:cs="Times New Roman"/>
          <w:rFonts w:ascii="Times New Roman" w:hAnsi="Times New Roman"/>
          <w:b w:val="0"/>
          <w:i w:val="0"/>
          <w:sz w:val="24"/>
        </w:rPr>
        <w:t>Camp, R. C. (1994). Benchmarking: The Search for Industry Best Practices that Lead to Superior Performance. ASQC Quality Press.</w:t>
      </w:r>
    </w:p>
    <w:p>
      <w:pPr>
        <w:spacing w:after="80" w:line="360" w:lineRule="exact"/>
        <w:ind w:left="709" w:hanging="709"/>
      </w:pPr>
      <w:r>
        <w:rPr>
          <w:rFonts w:ascii="Times New Roman" w:hAnsi="Times New Roman" w:cs="Times New Roman"/>
          <w:rFonts w:ascii="Times New Roman" w:hAnsi="Times New Roman"/>
          <w:b w:val="0"/>
          <w:i w:val="0"/>
          <w:sz w:val="24"/>
        </w:rPr>
        <w:t>Fraunhofer IZB. (2023). Benchmarking im Mittelstand: Das Fraunhofer-Modell. Fraunhofer-Institut fuer Zuverlaessigkeit und Mikrointegration.</w:t>
      </w:r>
    </w:p>
    <w:p>
      <w:pPr>
        <w:spacing w:after="80" w:line="360" w:lineRule="exact"/>
        <w:ind w:left="709" w:hanging="709"/>
      </w:pPr>
      <w:r>
        <w:rPr>
          <w:rFonts w:ascii="Times New Roman" w:hAnsi="Times New Roman" w:cs="Times New Roman"/>
          <w:rFonts w:ascii="Times New Roman" w:hAnsi="Times New Roman"/>
          <w:b w:val="0"/>
          <w:i w:val="0"/>
          <w:sz w:val="24"/>
        </w:rPr>
        <w:t>Kounev, S., Lange, K.-D., &amp; von Kistowski, J. (2020). Systems Benchmarking: For Scientists and Engineers. Springer International Publishing. https://doi.org/10.1007/978-3-030-41705-5</w:t>
      </w:r>
    </w:p>
    <w:p>
      <w:pPr>
        <w:spacing w:after="80" w:line="360" w:lineRule="exact"/>
        <w:ind w:left="709" w:hanging="709"/>
      </w:pPr>
      <w:r>
        <w:rPr>
          <w:rFonts w:ascii="Times New Roman" w:hAnsi="Times New Roman" w:cs="Times New Roman"/>
          <w:rFonts w:ascii="Times New Roman" w:hAnsi="Times New Roman"/>
          <w:b w:val="0"/>
          <w:i w:val="0"/>
          <w:sz w:val="24"/>
        </w:rPr>
        <w:t>Spendolini, M. J. (1992). The Benchmarking Book. AMACOM.</w:t>
      </w:r>
    </w:p>
    <w:p>
      <w:pPr>
        <w:spacing w:after="80" w:line="360" w:lineRule="exact"/>
        <w:ind w:left="709" w:hanging="709"/>
      </w:pPr>
      <w:r>
        <w:rPr>
          <w:rFonts w:ascii="Times New Roman" w:hAnsi="Times New Roman" w:cs="Times New Roman"/>
          <w:rFonts w:ascii="Times New Roman" w:hAnsi="Times New Roman"/>
          <w:b w:val="0"/>
          <w:i w:val="0"/>
          <w:sz w:val="24"/>
        </w:rPr>
        <w:t>VDMA. (2024). Maschinenbau in Zahl und Bild 2024. Verband Deutscher Maschinen- und Anlagenbau e. V.</w:t>
      </w:r>
    </w:p>
    <w:p>
      <w:pPr>
        <w:spacing w:after="80" w:line="360" w:lineRule="exact"/>
        <w:ind w:left="709" w:hanging="709"/>
      </w:pPr>
      <w:r>
        <w:rPr>
          <w:rFonts w:ascii="Times New Roman" w:hAnsi="Times New Roman" w:cs="Times New Roman"/>
          <w:rFonts w:ascii="Times New Roman" w:hAnsi="Times New Roman"/>
          <w:b w:val="0"/>
          <w:i w:val="0"/>
          <w:sz w:val="24"/>
        </w:rPr>
        <w:t>Watson, G. H. (1993). Strategic Benchmarking: How to Rate Your Company's Performance Against the World's Best. Wiley.</w:t>
      </w:r>
    </w:p>
    <w:sectPr w:rsidR="00FC693F" w:rsidRPr="0006063C" w:rsidSect="00034616">
      <w:pgSz w:w="11906" w:h="16838"/>
      <w:pgMar w:top="1417"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