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b/>
          <w:color w:val="000000"/>
          <w:sz w:val="28"/>
        </w:rPr>
        <w:t>3  Strategische Unternehmens- und Wettbewerbsanalyse</w:t>
      </w:r>
    </w:p>
    <w:p>
      <w:pPr>
        <w:spacing w:after="120"/>
        <w:ind w:firstLine="0"/>
        <w:jc w:val="both"/>
      </w:pPr>
      <w:r>
        <w:rPr>
          <w:rFonts w:ascii="Times New Roman" w:hAnsi="Times New Roman"/>
          <w:sz w:val="24"/>
        </w:rPr>
        <w:t>Das folgende Kapitel liefert die empirische und analytische Grundlage für den in Kapitel 5 durchgeführten Unternehmensvergleich. Zunächst wird Schaeffler SMB als Untersuchungsobjekt vorgestellt (3.1), bevor die relevante Branche systematisch analysiert wird (3.2). Daran schließt sich eine Wettbewerbsanalyse an (3.3), die mit einer internen Unternehmensbetrachtung (3.4) abgerundet wird.</w:t>
      </w:r>
    </w:p>
    <w:p>
      <w:pPr>
        <w:pStyle w:val="Heading2"/>
        <w:spacing w:before="280" w:after="120"/>
      </w:pPr>
      <w:r>
        <w:rPr>
          <w:rFonts w:ascii="Times New Roman" w:hAnsi="Times New Roman"/>
          <w:b/>
          <w:color w:val="000000"/>
          <w:sz w:val="26"/>
        </w:rPr>
        <w:t>3.1  Unternehmensportrait Schaeffler SMB</w:t>
      </w:r>
    </w:p>
    <w:p>
      <w:pPr>
        <w:pStyle w:val="Heading3"/>
        <w:spacing w:before="200" w:after="80"/>
      </w:pPr>
      <w:r>
        <w:rPr>
          <w:rFonts w:ascii="Times New Roman" w:hAnsi="Times New Roman"/>
          <w:b/>
          <w:i w:val="0"/>
          <w:color w:val="000000"/>
          <w:sz w:val="24"/>
        </w:rPr>
        <w:t>3.1.1  Gründung, Rechtsform, Eigentümerstruktur und Standorte</w:t>
      </w:r>
    </w:p>
    <w:p>
      <w:pPr>
        <w:spacing w:after="120"/>
        <w:ind w:firstLine="0"/>
        <w:jc w:val="both"/>
      </w:pPr>
      <w:r>
        <w:rPr>
          <w:rFonts w:ascii="Times New Roman" w:hAnsi="Times New Roman"/>
          <w:sz w:val="24"/>
        </w:rPr>
        <w:t>Schaeffler SMB (Sondermaschinenbau) wurde im Jahr 1970 gegründet und ist als spezialisierte Einheit innerhalb der Schaeffler-Gruppe für die Entwicklung und Fertigung kundenspezifischer Sondermaschinen tätig. Die Schaeffler-Gruppe zählt zu den weltweit führenden Unternehmen in der Herstellung von Wälzlagern, Linearsystemen und Präzisionskomponenten für die Automobil- und Industrietechnik. Schaeffler SMB agiert dabei als kompetenter interner und externer Maschinenlieferant im Rahmen dieses globalen Industriekonzerns.</w:t>
      </w:r>
    </w:p>
    <w:p>
      <w:pPr>
        <w:spacing w:after="120"/>
        <w:ind w:firstLine="0"/>
        <w:jc w:val="both"/>
      </w:pPr>
      <w:r>
        <w:rPr>
          <w:rFonts w:ascii="Times New Roman" w:hAnsi="Times New Roman"/>
          <w:sz w:val="24"/>
        </w:rPr>
        <w:t>Rechtsform: [Platzhalter – bitte ergänzen, z. B. GmbH oder eigenständige Abteilung]</w:t>
      </w:r>
    </w:p>
    <w:p>
      <w:pPr>
        <w:spacing w:after="120"/>
        <w:ind w:firstLine="0"/>
        <w:jc w:val="both"/>
      </w:pPr>
      <w:r>
        <w:rPr>
          <w:rFonts w:ascii="Times New Roman" w:hAnsi="Times New Roman"/>
          <w:sz w:val="24"/>
        </w:rPr>
        <w:t>Eigentümerstruktur: Schaeffler SMB ist Teil der Schaeffler-Gruppe, die mehrheitlich im Familienbesitz der Gesellschafterfamilien Schaeffler-Thumann und Schaeffler gehalten wird. [Platzhalter – ggf. spezifizieren, ob SMB als eigenständige juristische Person oder als Geschäftsbereich geführt wird]</w:t>
      </w:r>
    </w:p>
    <w:p>
      <w:pPr>
        <w:spacing w:after="120"/>
        <w:ind w:firstLine="0"/>
        <w:jc w:val="both"/>
      </w:pPr>
      <w:r>
        <w:rPr>
          <w:rFonts w:ascii="Times New Roman" w:hAnsi="Times New Roman"/>
          <w:sz w:val="24"/>
        </w:rPr>
        <w:t>Standorte: Schaeffler SMB ist weltweit tätig. [Platzhalter – Hauptstandort(e) und internationale Niederlassungen ergänzen]</w:t>
      </w:r>
    </w:p>
    <w:p>
      <w:pPr>
        <w:pStyle w:val="Heading3"/>
        <w:spacing w:before="200" w:after="80"/>
      </w:pPr>
      <w:r>
        <w:rPr>
          <w:rFonts w:ascii="Times New Roman" w:hAnsi="Times New Roman"/>
          <w:b/>
          <w:i w:val="0"/>
          <w:color w:val="000000"/>
          <w:sz w:val="24"/>
        </w:rPr>
        <w:t>3.1.2  Geschäftsmodell &amp; Leistungsportfolio</w:t>
      </w:r>
    </w:p>
    <w:p>
      <w:pPr>
        <w:spacing w:after="120"/>
        <w:ind w:firstLine="0"/>
        <w:jc w:val="both"/>
      </w:pPr>
      <w:r>
        <w:rPr>
          <w:rFonts w:ascii="Times New Roman" w:hAnsi="Times New Roman"/>
          <w:sz w:val="24"/>
        </w:rPr>
        <w:t>Das Geschäftsmodell von Schaeffler SMB basiert auf der Entwicklung, Konstruktion und Fertigung von Sondermaschinen, die auf die spezifischen Produktions- und Prozessanforderungen der Kunden zugeschnitten sind. Im Gegensatz zu Herstellern von Standardmaschinen operiert Schaeffler SMB im projektgetriebenen Einzelauftragsgeschäft (Engineer-to-Order): Jede Maschine wird in enger Abstimmung mit dem Kunden konzipiert und realisiert. Das Leistungsportfolio umfasst neben der Maschinenkonstruktion typischerweise auch Montage, Inbetriebnahme, Schulung und Aftersales-Service.</w:t>
      </w:r>
    </w:p>
    <w:p>
      <w:pPr>
        <w:spacing w:after="120"/>
        <w:ind w:firstLine="0"/>
        <w:jc w:val="both"/>
      </w:pPr>
      <w:r>
        <w:rPr>
          <w:rFonts w:ascii="Times New Roman" w:hAnsi="Times New Roman"/>
          <w:sz w:val="24"/>
        </w:rPr>
        <w:t>[Platzhalter – spezifische Produktlinien, Technologiebereiche und Branchenschwerpunkte ergänzen]</w:t>
      </w:r>
    </w:p>
    <w:p>
      <w:pPr>
        <w:pStyle w:val="Heading3"/>
        <w:spacing w:before="200" w:after="80"/>
      </w:pPr>
      <w:r>
        <w:rPr>
          <w:rFonts w:ascii="Times New Roman" w:hAnsi="Times New Roman"/>
          <w:b/>
          <w:i w:val="0"/>
          <w:color w:val="000000"/>
          <w:sz w:val="24"/>
        </w:rPr>
        <w:t>3.1.3  Aktuelle Marktposition &amp; Kennzahlen</w:t>
      </w:r>
    </w:p>
    <w:tbl>
      <w:tblPr>
        <w:tblStyle w:val="TableGrid"/>
        <w:tblW w:type="auto" w:w="0"/>
        <w:tblLook w:firstColumn="1" w:firstRow="1" w:lastColumn="0" w:lastRow="0" w:noHBand="0" w:noVBand="1" w:val="04A0"/>
      </w:tblPr>
      <w:tblGrid>
        <w:gridCol w:w="4394"/>
        <w:gridCol w:w="4394"/>
      </w:tblGrid>
      <w:tr>
        <w:tc>
          <w:tcPr>
            <w:tcW w:type="dxa" w:w="4394"/>
          </w:tcPr>
          <w:p>
            <w:pPr>
              <w:jc w:val="center"/>
            </w:pPr>
            <w:r>
              <w:rPr>
                <w:rFonts w:ascii="Times New Roman" w:hAnsi="Times New Roman"/>
                <w:b/>
                <w:sz w:val="22"/>
              </w:rPr>
              <w:t>Kennzahl</w:t>
            </w:r>
          </w:p>
        </w:tc>
        <w:tc>
          <w:tcPr>
            <w:tcW w:type="dxa" w:w="4394"/>
          </w:tcPr>
          <w:p>
            <w:pPr>
              <w:jc w:val="center"/>
            </w:pPr>
            <w:r>
              <w:rPr>
                <w:rFonts w:ascii="Times New Roman" w:hAnsi="Times New Roman"/>
                <w:b/>
                <w:sz w:val="22"/>
              </w:rPr>
              <w:t>Wert</w:t>
            </w:r>
          </w:p>
        </w:tc>
      </w:tr>
      <w:tr>
        <w:tc>
          <w:tcPr>
            <w:tcW w:type="dxa" w:w="4394"/>
          </w:tcPr>
          <w:p>
            <w:pPr>
              <w:jc w:val="left"/>
            </w:pPr>
            <w:r>
              <w:rPr>
                <w:rFonts w:ascii="Times New Roman" w:hAnsi="Times New Roman"/>
                <w:sz w:val="20"/>
              </w:rPr>
              <w:t>Gründungsjahr</w:t>
            </w:r>
          </w:p>
        </w:tc>
        <w:tc>
          <w:tcPr>
            <w:tcW w:type="dxa" w:w="4394"/>
          </w:tcPr>
          <w:p>
            <w:pPr>
              <w:jc w:val="left"/>
            </w:pPr>
            <w:r>
              <w:rPr>
                <w:rFonts w:ascii="Times New Roman" w:hAnsi="Times New Roman"/>
                <w:sz w:val="20"/>
              </w:rPr>
              <w:t>1970</w:t>
            </w:r>
          </w:p>
        </w:tc>
      </w:tr>
      <w:tr>
        <w:tc>
          <w:tcPr>
            <w:tcW w:type="dxa" w:w="4394"/>
          </w:tcPr>
          <w:p>
            <w:pPr>
              <w:jc w:val="left"/>
            </w:pPr>
            <w:r>
              <w:rPr>
                <w:rFonts w:ascii="Times New Roman" w:hAnsi="Times New Roman"/>
                <w:sz w:val="20"/>
              </w:rPr>
              <w:t>Mitarbeiter (weltweit)</w:t>
            </w:r>
          </w:p>
        </w:tc>
        <w:tc>
          <w:tcPr>
            <w:tcW w:type="dxa" w:w="4394"/>
          </w:tcPr>
          <w:p>
            <w:pPr>
              <w:jc w:val="left"/>
            </w:pPr>
            <w:r>
              <w:rPr>
                <w:rFonts w:ascii="Times New Roman" w:hAnsi="Times New Roman"/>
                <w:sz w:val="20"/>
              </w:rPr>
              <w:t>ca. 1.600</w:t>
            </w:r>
          </w:p>
        </w:tc>
      </w:tr>
      <w:tr>
        <w:tc>
          <w:tcPr>
            <w:tcW w:type="dxa" w:w="4394"/>
          </w:tcPr>
          <w:p>
            <w:pPr>
              <w:jc w:val="left"/>
            </w:pPr>
            <w:r>
              <w:rPr>
                <w:rFonts w:ascii="Times New Roman" w:hAnsi="Times New Roman"/>
                <w:sz w:val="20"/>
              </w:rPr>
              <w:t>Umsatz</w:t>
            </w:r>
          </w:p>
        </w:tc>
        <w:tc>
          <w:tcPr>
            <w:tcW w:type="dxa" w:w="4394"/>
          </w:tcPr>
          <w:p>
            <w:pPr>
              <w:jc w:val="left"/>
            </w:pPr>
            <w:r>
              <w:rPr>
                <w:rFonts w:ascii="Times New Roman" w:hAnsi="Times New Roman"/>
                <w:sz w:val="20"/>
              </w:rPr>
              <w:t>Hoher zweistelliger Millionenbereich (€)</w:t>
            </w:r>
          </w:p>
        </w:tc>
      </w:tr>
      <w:tr>
        <w:tc>
          <w:tcPr>
            <w:tcW w:type="dxa" w:w="4394"/>
          </w:tcPr>
          <w:p>
            <w:pPr>
              <w:jc w:val="left"/>
            </w:pPr>
            <w:r>
              <w:rPr>
                <w:rFonts w:ascii="Times New Roman" w:hAnsi="Times New Roman"/>
                <w:sz w:val="20"/>
              </w:rPr>
              <w:t>Rechtsform</w:t>
            </w:r>
          </w:p>
        </w:tc>
        <w:tc>
          <w:tcPr>
            <w:tcW w:type="dxa" w:w="4394"/>
          </w:tcPr>
          <w:p>
            <w:pPr>
              <w:jc w:val="left"/>
            </w:pPr>
            <w:r>
              <w:rPr>
                <w:rFonts w:ascii="Times New Roman" w:hAnsi="Times New Roman"/>
                <w:sz w:val="20"/>
              </w:rPr>
              <w:t>[Platzhalter]</w:t>
            </w:r>
          </w:p>
        </w:tc>
      </w:tr>
      <w:tr>
        <w:tc>
          <w:tcPr>
            <w:tcW w:type="dxa" w:w="4394"/>
          </w:tcPr>
          <w:p>
            <w:pPr>
              <w:jc w:val="left"/>
            </w:pPr>
            <w:r>
              <w:rPr>
                <w:rFonts w:ascii="Times New Roman" w:hAnsi="Times New Roman"/>
                <w:sz w:val="20"/>
              </w:rPr>
              <w:t>Hauptstandort</w:t>
            </w:r>
          </w:p>
        </w:tc>
        <w:tc>
          <w:tcPr>
            <w:tcW w:type="dxa" w:w="4394"/>
          </w:tcPr>
          <w:p>
            <w:pPr>
              <w:jc w:val="left"/>
            </w:pPr>
            <w:r>
              <w:rPr>
                <w:rFonts w:ascii="Times New Roman" w:hAnsi="Times New Roman"/>
                <w:sz w:val="20"/>
              </w:rPr>
              <w:t>[Platzhalter]</w:t>
            </w:r>
          </w:p>
        </w:tc>
      </w:tr>
      <w:tr>
        <w:tc>
          <w:tcPr>
            <w:tcW w:type="dxa" w:w="4394"/>
          </w:tcPr>
          <w:p>
            <w:pPr>
              <w:jc w:val="left"/>
            </w:pPr>
            <w:r>
              <w:rPr>
                <w:rFonts w:ascii="Times New Roman" w:hAnsi="Times New Roman"/>
                <w:sz w:val="20"/>
              </w:rPr>
              <w:t>Märkte</w:t>
            </w:r>
          </w:p>
        </w:tc>
        <w:tc>
          <w:tcPr>
            <w:tcW w:type="dxa" w:w="4394"/>
          </w:tcPr>
          <w:p>
            <w:pPr>
              <w:jc w:val="left"/>
            </w:pPr>
            <w:r>
              <w:rPr>
                <w:rFonts w:ascii="Times New Roman" w:hAnsi="Times New Roman"/>
                <w:sz w:val="20"/>
              </w:rPr>
              <w:t>International / weltweit</w:t>
            </w:r>
          </w:p>
        </w:tc>
      </w:tr>
      <w:tr>
        <w:tc>
          <w:tcPr>
            <w:tcW w:type="dxa" w:w="4394"/>
          </w:tcPr>
          <w:p>
            <w:pPr>
              <w:jc w:val="left"/>
            </w:pPr>
            <w:r>
              <w:rPr>
                <w:rFonts w:ascii="Times New Roman" w:hAnsi="Times New Roman"/>
                <w:sz w:val="20"/>
              </w:rPr>
              <w:t>Muttergesellschaft</w:t>
            </w:r>
          </w:p>
        </w:tc>
        <w:tc>
          <w:tcPr>
            <w:tcW w:type="dxa" w:w="4394"/>
          </w:tcPr>
          <w:p>
            <w:pPr>
              <w:jc w:val="left"/>
            </w:pPr>
            <w:r>
              <w:rPr>
                <w:rFonts w:ascii="Times New Roman" w:hAnsi="Times New Roman"/>
                <w:sz w:val="20"/>
              </w:rPr>
              <w:t>Schaeffler-Gruppe</w:t>
            </w:r>
          </w:p>
        </w:tc>
      </w:tr>
    </w:tbl>
    <w:p>
      <w:pPr>
        <w:spacing w:before="40" w:after="160"/>
        <w:jc w:val="left"/>
      </w:pPr>
      <w:r>
        <w:rPr>
          <w:rFonts w:ascii="Times New Roman" w:hAnsi="Times New Roman"/>
          <w:i/>
          <w:sz w:val="20"/>
        </w:rPr>
        <w:t>Tabelle 3.1: Eckdaten Schaeffler SMB. Quelle: Eigene Darstellung.</w:t>
      </w:r>
    </w:p>
    <w:p>
      <w:pPr>
        <w:spacing w:after="120"/>
        <w:ind w:firstLine="0"/>
        <w:jc w:val="both"/>
      </w:pPr>
      <w:r>
        <w:rPr>
          <w:rFonts w:ascii="Times New Roman" w:hAnsi="Times New Roman"/>
          <w:sz w:val="24"/>
        </w:rPr>
        <w:t>Mit rund 1.600 Mitarbeiterinnen und Mitarbeitern und einem Umsatz im hohen zweistelligen Millionenbereich positioniert sich Schaeffler SMB als mittelgroßer, hochspezialisierter Anbieter im Sondermaschinenbau. Die Einbindung in die Schaeffler-Gruppe verleiht dem Unternehmen Zugang zu globalem Know-how, internationalen Produktionsnetzwerken und einem etablierten Kundenstamm in der Automobil- und Industrietechnik.</w:t>
      </w:r>
    </w:p>
    <w:p>
      <w:pPr>
        <w:pStyle w:val="Heading2"/>
        <w:spacing w:before="280" w:after="120"/>
      </w:pPr>
      <w:r>
        <w:rPr>
          <w:rFonts w:ascii="Times New Roman" w:hAnsi="Times New Roman"/>
          <w:b/>
          <w:color w:val="000000"/>
          <w:sz w:val="26"/>
        </w:rPr>
        <w:t>3.2  Branchenanalyse</w:t>
      </w:r>
    </w:p>
    <w:p>
      <w:pPr>
        <w:spacing w:after="120"/>
        <w:ind w:firstLine="0"/>
        <w:jc w:val="both"/>
      </w:pPr>
      <w:r>
        <w:rPr>
          <w:rFonts w:ascii="Times New Roman" w:hAnsi="Times New Roman"/>
          <w:sz w:val="24"/>
        </w:rPr>
        <w:t>Die strategische Positionierung eines Unternehmens lässt sich nur im Kontext der relevanten Branche beurteilen. Nachfolgend wird der Markt für Sondermaschinenbau hinsichtlich Struktur, Größe, Trends und Wettbewerbsdynamik analysiert.</w:t>
      </w:r>
    </w:p>
    <w:p>
      <w:pPr>
        <w:pStyle w:val="Heading3"/>
        <w:spacing w:before="200" w:after="80"/>
      </w:pPr>
      <w:r>
        <w:rPr>
          <w:rFonts w:ascii="Times New Roman" w:hAnsi="Times New Roman"/>
          <w:b/>
          <w:i w:val="0"/>
          <w:color w:val="000000"/>
          <w:sz w:val="24"/>
        </w:rPr>
        <w:t>3.2.1  Marktstruktur &amp; Marktgröße</w:t>
      </w:r>
    </w:p>
    <w:p>
      <w:pPr>
        <w:spacing w:after="120"/>
        <w:ind w:firstLine="0"/>
        <w:jc w:val="both"/>
      </w:pPr>
      <w:r>
        <w:rPr>
          <w:rFonts w:ascii="Times New Roman" w:hAnsi="Times New Roman"/>
          <w:sz w:val="24"/>
        </w:rPr>
        <w:t>Der Sondermaschinenbau ist ein Teilsegment des deutschen Maschinenbaus, der insgesamt zur bedeutendsten Industriebranche Deutschlands zählt. Nach Angaben des Verbands Deutscher Maschinen- und Anlagenbau (VDMA) erzielte die Branche im Jahr 2024 einen Gesamtumsatz von 254,4 Milliarden Euro und beschäftigte rund 952.000 Personen in Betrieben mit mindestens 50 Mitarbeitenden (VDMA, 2025). Trotz eines Rückgangs gegenüber dem Rekordjahr 2023 (262,9 Mrd. €) bleibt der Maschinenbau das Rückgrat der deutschen Industrie.</w:t>
      </w:r>
    </w:p>
    <w:p>
      <w:pPr>
        <w:spacing w:after="120"/>
        <w:ind w:firstLine="0"/>
        <w:jc w:val="both"/>
      </w:pPr>
      <w:r>
        <w:rPr>
          <w:rFonts w:ascii="Times New Roman" w:hAnsi="Times New Roman"/>
          <w:sz w:val="24"/>
        </w:rPr>
        <w:t>Der Sondermaschinenbau als Spezialsegment zeichnet sich durch eine ausgeprägte Fragmentierung aus: Einer kleinen Anzahl großer Systemlieferanten steht eine Vielzahl mittelständischer Nischenanbieter gegenüber, die sich auf spezifische Branchen oder Technologiebereiche spezialisiert haben. Die Exportquote ist mit 199,6 Milliarden Euro im Jahr 2024 außerordentlich hoch, was die internationale Wettbewerbsfähigkeit des Segments unterstreicht (VDMA, 2025).</w:t>
      </w:r>
    </w:p>
    <w:p>
      <w:pPr>
        <w:spacing w:after="120"/>
        <w:ind w:firstLine="0"/>
        <w:jc w:val="both"/>
      </w:pPr>
      <w:r>
        <w:rPr>
          <w:rFonts w:ascii="Times New Roman" w:hAnsi="Times New Roman"/>
          <w:sz w:val="24"/>
        </w:rPr>
        <w:t>[Platzhalter – sofern verfügbar: spezifische Marktvolumendaten für den Sondermaschinenbau ergänzen, z. B. VDMA-Fachabteilung oder einschlägige Marktstudien]</w:t>
      </w:r>
    </w:p>
    <w:p>
      <w:pPr>
        <w:pStyle w:val="Heading3"/>
        <w:spacing w:before="200" w:after="80"/>
      </w:pPr>
      <w:r>
        <w:rPr>
          <w:rFonts w:ascii="Times New Roman" w:hAnsi="Times New Roman"/>
          <w:b/>
          <w:i w:val="0"/>
          <w:color w:val="000000"/>
          <w:sz w:val="24"/>
        </w:rPr>
        <w:t>3.2.2  Markttrends &amp; Treiber</w:t>
      </w:r>
    </w:p>
    <w:p>
      <w:pPr>
        <w:spacing w:after="120"/>
        <w:ind w:firstLine="0"/>
        <w:jc w:val="both"/>
      </w:pPr>
      <w:r>
        <w:rPr>
          <w:rFonts w:ascii="Times New Roman" w:hAnsi="Times New Roman"/>
          <w:sz w:val="24"/>
        </w:rPr>
        <w:t>Die Branche unterliegt einem tiefgreifenden strukturellen Wandel, der durch mehrere übergeordnete Trends getrieben wird (Grant, 2024, [S. X]; Whittington et al., 2024, [S. X]):</w:t>
      </w:r>
    </w:p>
    <w:p>
      <w:pPr>
        <w:spacing w:after="120"/>
        <w:ind w:firstLine="0"/>
        <w:jc w:val="both"/>
      </w:pPr>
      <w:r>
        <w:rPr>
          <w:rFonts w:ascii="Times New Roman" w:hAnsi="Times New Roman"/>
          <w:b/>
          <w:sz w:val="24"/>
        </w:rPr>
        <w:t>Digitalisierung und Industrie 4.0:</w:t>
      </w:r>
      <w:r>
        <w:rPr>
          <w:rFonts w:ascii="Times New Roman" w:hAnsi="Times New Roman"/>
          <w:sz w:val="24"/>
        </w:rPr>
        <w:t xml:space="preserve"> Die Integration von Sensorik, Konnektivität und Datenanalyse in Maschinen und Produktionssysteme verändert das Leistungsangebot im Sondermaschinenbau grundlegend. Kunden erwarten zunehmend Maschinen, die sich in übergeordnete MES- und ERP-Systeme integrieren lassen und Predictive-Maintenance-Funktionen bieten.</w:t>
      </w:r>
    </w:p>
    <w:p>
      <w:pPr>
        <w:spacing w:after="120"/>
        <w:ind w:firstLine="0"/>
        <w:jc w:val="both"/>
      </w:pPr>
      <w:r>
        <w:rPr>
          <w:rFonts w:ascii="Times New Roman" w:hAnsi="Times New Roman"/>
          <w:b/>
          <w:sz w:val="24"/>
        </w:rPr>
        <w:t>Automatisierung:</w:t>
      </w:r>
      <w:r>
        <w:rPr>
          <w:rFonts w:ascii="Times New Roman" w:hAnsi="Times New Roman"/>
          <w:sz w:val="24"/>
        </w:rPr>
        <w:t xml:space="preserve"> Der anhaltende Trend zur Automatisierung manueller Produktionsprozesse steigert die Nachfrage nach Sondermaschinen, insbesondere in lohnkostenintensiven Branchen wie der Automobilindustrie.</w:t>
      </w:r>
    </w:p>
    <w:p>
      <w:pPr>
        <w:spacing w:after="120"/>
        <w:ind w:firstLine="0"/>
        <w:jc w:val="both"/>
      </w:pPr>
      <w:r>
        <w:rPr>
          <w:rFonts w:ascii="Times New Roman" w:hAnsi="Times New Roman"/>
          <w:b/>
          <w:sz w:val="24"/>
        </w:rPr>
        <w:t>Reshoring und Nearshoring:</w:t>
      </w:r>
      <w:r>
        <w:rPr>
          <w:rFonts w:ascii="Times New Roman" w:hAnsi="Times New Roman"/>
          <w:sz w:val="24"/>
        </w:rPr>
        <w:t xml:space="preserve"> Geopolitische Unsicherheiten und Lieferkettenunterbrechungen veranlassen Unternehmen, Produktionskapazitäten zurück nach Europa zu verlagern. Dies schafft Nachfragepotenzial für neue Produktionsanlagen und damit für Sondermaschinen-hersteller.</w:t>
      </w:r>
    </w:p>
    <w:p>
      <w:pPr>
        <w:spacing w:after="120"/>
        <w:ind w:firstLine="0"/>
        <w:jc w:val="both"/>
      </w:pPr>
      <w:r>
        <w:rPr>
          <w:rFonts w:ascii="Times New Roman" w:hAnsi="Times New Roman"/>
          <w:b/>
          <w:sz w:val="24"/>
        </w:rPr>
        <w:t>Fachkräftemangel:</w:t>
      </w:r>
      <w:r>
        <w:rPr>
          <w:rFonts w:ascii="Times New Roman" w:hAnsi="Times New Roman"/>
          <w:sz w:val="24"/>
        </w:rPr>
        <w:t xml:space="preserve"> Der demografisch bedingte Rückgang des Erwerbspersonenpotenzials trifft den Sondermaschinenbau besonders hart, da die Branche auf hochqualifizierte Ingenieure und Facharbeiter angewiesen ist (VDMA, 2025).</w:t>
      </w:r>
    </w:p>
    <w:p>
      <w:pPr>
        <w:spacing w:after="120"/>
        <w:ind w:firstLine="0"/>
        <w:jc w:val="both"/>
      </w:pPr>
      <w:r>
        <w:rPr>
          <w:rFonts w:ascii="Times New Roman" w:hAnsi="Times New Roman"/>
          <w:b/>
          <w:sz w:val="24"/>
        </w:rPr>
        <w:t>Konsolidierungstendenzen:</w:t>
      </w:r>
      <w:r>
        <w:rPr>
          <w:rFonts w:ascii="Times New Roman" w:hAnsi="Times New Roman"/>
          <w:sz w:val="24"/>
        </w:rPr>
        <w:t xml:space="preserve"> Wachsender Kostendruck und steigende Anforderungen an die digitale Kompetenz begünstigen Zusammenschlüsse und Übernahmen, insbesondere unter kleineren Anbietern (Grant, 2024, [S. X]).</w:t>
      </w:r>
    </w:p>
    <w:p>
      <w:pPr>
        <w:pStyle w:val="Heading3"/>
        <w:spacing w:before="200" w:after="80"/>
      </w:pPr>
      <w:r>
        <w:rPr>
          <w:rFonts w:ascii="Times New Roman" w:hAnsi="Times New Roman"/>
          <w:b/>
          <w:i w:val="0"/>
          <w:color w:val="000000"/>
          <w:sz w:val="24"/>
        </w:rPr>
        <w:t>3.2.3  PESTEL-Analyse</w:t>
      </w:r>
    </w:p>
    <w:p>
      <w:pPr>
        <w:spacing w:after="120"/>
        <w:ind w:firstLine="0"/>
        <w:jc w:val="both"/>
      </w:pPr>
      <w:r>
        <w:rPr>
          <w:rFonts w:ascii="Times New Roman" w:hAnsi="Times New Roman"/>
          <w:sz w:val="24"/>
        </w:rPr>
        <w:t>Die PESTEL-Analyse ist ein etabliertes Instrument zur systematischen Erfassung der makroökonomischen Umweltfaktoren, die auf ein Unternehmen und seine Branche einwirken (Whittington et al., 2024, [S. X]). Sie gliedert sich in sechs Dimensionen: politische (Political), wirtschaftliche (Economic), sozio-kulturelle (Social), technologische (Technological), ökologische (Environmental) und rechtliche (Legal) Faktoren.</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2"/>
              </w:rPr>
              <w:t>Faktor</w:t>
            </w:r>
          </w:p>
        </w:tc>
        <w:tc>
          <w:tcPr>
            <w:tcW w:type="dxa" w:w="2929"/>
          </w:tcPr>
          <w:p>
            <w:pPr>
              <w:jc w:val="center"/>
            </w:pPr>
            <w:r>
              <w:rPr>
                <w:rFonts w:ascii="Times New Roman" w:hAnsi="Times New Roman"/>
                <w:b/>
                <w:sz w:val="22"/>
              </w:rPr>
              <w:t>Ausprägung im Sondermaschinenbau</w:t>
            </w:r>
          </w:p>
        </w:tc>
        <w:tc>
          <w:tcPr>
            <w:tcW w:type="dxa" w:w="2929"/>
          </w:tcPr>
          <w:p>
            <w:pPr>
              <w:jc w:val="center"/>
            </w:pPr>
            <w:r>
              <w:rPr>
                <w:rFonts w:ascii="Times New Roman" w:hAnsi="Times New Roman"/>
                <w:b/>
                <w:sz w:val="22"/>
              </w:rPr>
              <w:t>Bewertung</w:t>
            </w:r>
          </w:p>
        </w:tc>
      </w:tr>
      <w:tr>
        <w:tc>
          <w:tcPr>
            <w:tcW w:type="dxa" w:w="2929"/>
          </w:tcPr>
          <w:p>
            <w:pPr>
              <w:jc w:val="left"/>
            </w:pPr>
            <w:r>
              <w:rPr>
                <w:rFonts w:ascii="Times New Roman" w:hAnsi="Times New Roman"/>
                <w:sz w:val="20"/>
              </w:rPr>
              <w:t>Politisch (P)</w:t>
            </w:r>
          </w:p>
        </w:tc>
        <w:tc>
          <w:tcPr>
            <w:tcW w:type="dxa" w:w="2929"/>
          </w:tcPr>
          <w:p>
            <w:pPr>
              <w:jc w:val="left"/>
            </w:pPr>
            <w:r>
              <w:rPr>
                <w:rFonts w:ascii="Times New Roman" w:hAnsi="Times New Roman"/>
                <w:sz w:val="20"/>
              </w:rPr>
              <w:t>Handelspolitische Spannungen (v. a. USA–China) erschweren internationale Projektgeschäfte; Exportkontrollregularien für Dual-Use-Güter (AWG, EAR) erhöhen Compliance-Aufwand; Förderung von Industrieautomatisierung durch EU-Industriepolitik (IPCEI, Chips Act).</w:t>
            </w:r>
          </w:p>
        </w:tc>
        <w:tc>
          <w:tcPr>
            <w:tcW w:type="dxa" w:w="2929"/>
          </w:tcPr>
          <w:p>
            <w:pPr>
              <w:jc w:val="left"/>
            </w:pPr>
            <w:r>
              <w:rPr>
                <w:rFonts w:ascii="Times New Roman" w:hAnsi="Times New Roman"/>
                <w:sz w:val="20"/>
              </w:rPr>
              <w:t>Mittel</w:t>
              <w:br/>
              <w:t>Relevanz steigt durch geopolitische Fragmentierung</w:t>
            </w:r>
          </w:p>
        </w:tc>
      </w:tr>
      <w:tr>
        <w:tc>
          <w:tcPr>
            <w:tcW w:type="dxa" w:w="2929"/>
          </w:tcPr>
          <w:p>
            <w:pPr>
              <w:jc w:val="left"/>
            </w:pPr>
            <w:r>
              <w:rPr>
                <w:rFonts w:ascii="Times New Roman" w:hAnsi="Times New Roman"/>
                <w:sz w:val="20"/>
              </w:rPr>
              <w:t>Ökonomisch (E)</w:t>
            </w:r>
          </w:p>
        </w:tc>
        <w:tc>
          <w:tcPr>
            <w:tcW w:type="dxa" w:w="2929"/>
          </w:tcPr>
          <w:p>
            <w:pPr>
              <w:jc w:val="left"/>
            </w:pPr>
            <w:r>
              <w:rPr>
                <w:rFonts w:ascii="Times New Roman" w:hAnsi="Times New Roman"/>
                <w:sz w:val="20"/>
              </w:rPr>
              <w:t>Investitionszyklen der Abnehmerindustrien (v. a. Automobil) bestimmen die Nachfrage; höheres Zinsniveau (2022–2024) dämpft Investitionsbereitschaft; Energiepreise beeinflussen Produktionskosten und Wettbewerbsfähigkeit der Kunden.</w:t>
            </w:r>
          </w:p>
        </w:tc>
        <w:tc>
          <w:tcPr>
            <w:tcW w:type="dxa" w:w="2929"/>
          </w:tcPr>
          <w:p>
            <w:pPr>
              <w:jc w:val="left"/>
            </w:pPr>
            <w:r>
              <w:rPr>
                <w:rFonts w:ascii="Times New Roman" w:hAnsi="Times New Roman"/>
                <w:sz w:val="20"/>
              </w:rPr>
              <w:t>Hoch</w:t>
              <w:br/>
              <w:t>Direkte Wirkung auf Auftragseingang</w:t>
            </w:r>
          </w:p>
        </w:tc>
      </w:tr>
      <w:tr>
        <w:tc>
          <w:tcPr>
            <w:tcW w:type="dxa" w:w="2929"/>
          </w:tcPr>
          <w:p>
            <w:pPr>
              <w:jc w:val="left"/>
            </w:pPr>
            <w:r>
              <w:rPr>
                <w:rFonts w:ascii="Times New Roman" w:hAnsi="Times New Roman"/>
                <w:sz w:val="20"/>
              </w:rPr>
              <w:t>Sozio-kulturell (S)</w:t>
            </w:r>
          </w:p>
        </w:tc>
        <w:tc>
          <w:tcPr>
            <w:tcW w:type="dxa" w:w="2929"/>
          </w:tcPr>
          <w:p>
            <w:pPr>
              <w:jc w:val="left"/>
            </w:pPr>
            <w:r>
              <w:rPr>
                <w:rFonts w:ascii="Times New Roman" w:hAnsi="Times New Roman"/>
                <w:sz w:val="20"/>
              </w:rPr>
              <w:t>Akuter Fachkräftemangel bei MINT-Berufen; demografischer Wandel reduziert Arbeitskräfteangebot langfristig; steigende Ansprüche an Arbeitsbedingungen und Work-Life-Balance (VDMA, 2025).</w:t>
            </w:r>
          </w:p>
        </w:tc>
        <w:tc>
          <w:tcPr>
            <w:tcW w:type="dxa" w:w="2929"/>
          </w:tcPr>
          <w:p>
            <w:pPr>
              <w:jc w:val="left"/>
            </w:pPr>
            <w:r>
              <w:rPr>
                <w:rFonts w:ascii="Times New Roman" w:hAnsi="Times New Roman"/>
                <w:sz w:val="20"/>
              </w:rPr>
              <w:t>Hoch</w:t>
              <w:br/>
              <w:t>Strategisches Risiko für Personalverfügbarkeit</w:t>
            </w:r>
          </w:p>
        </w:tc>
      </w:tr>
      <w:tr>
        <w:tc>
          <w:tcPr>
            <w:tcW w:type="dxa" w:w="2929"/>
          </w:tcPr>
          <w:p>
            <w:pPr>
              <w:jc w:val="left"/>
            </w:pPr>
            <w:r>
              <w:rPr>
                <w:rFonts w:ascii="Times New Roman" w:hAnsi="Times New Roman"/>
                <w:sz w:val="20"/>
              </w:rPr>
              <w:t>Technologisch (T)</w:t>
            </w:r>
          </w:p>
        </w:tc>
        <w:tc>
          <w:tcPr>
            <w:tcW w:type="dxa" w:w="2929"/>
          </w:tcPr>
          <w:p>
            <w:pPr>
              <w:jc w:val="left"/>
            </w:pPr>
            <w:r>
              <w:rPr>
                <w:rFonts w:ascii="Times New Roman" w:hAnsi="Times New Roman"/>
                <w:sz w:val="20"/>
              </w:rPr>
              <w:t>Industrie 4.0, KI-Integration (ML für Qualitätsprüfung), digitale Zwillinge (Simulation vor Bau), Kollaborationsroboter (Cobots); Plattformisierung der Maschinensteuerung.</w:t>
            </w:r>
          </w:p>
        </w:tc>
        <w:tc>
          <w:tcPr>
            <w:tcW w:type="dxa" w:w="2929"/>
          </w:tcPr>
          <w:p>
            <w:pPr>
              <w:jc w:val="left"/>
            </w:pPr>
            <w:r>
              <w:rPr>
                <w:rFonts w:ascii="Times New Roman" w:hAnsi="Times New Roman"/>
                <w:sz w:val="20"/>
              </w:rPr>
              <w:t>Sehr hoch</w:t>
              <w:br/>
              <w:t>Disruptives Potenzial und Chancen</w:t>
            </w:r>
          </w:p>
        </w:tc>
      </w:tr>
      <w:tr>
        <w:tc>
          <w:tcPr>
            <w:tcW w:type="dxa" w:w="2929"/>
          </w:tcPr>
          <w:p>
            <w:pPr>
              <w:jc w:val="left"/>
            </w:pPr>
            <w:r>
              <w:rPr>
                <w:rFonts w:ascii="Times New Roman" w:hAnsi="Times New Roman"/>
                <w:sz w:val="20"/>
              </w:rPr>
              <w:t>Ökologisch (E)</w:t>
            </w:r>
          </w:p>
        </w:tc>
        <w:tc>
          <w:tcPr>
            <w:tcW w:type="dxa" w:w="2929"/>
          </w:tcPr>
          <w:p>
            <w:pPr>
              <w:jc w:val="left"/>
            </w:pPr>
            <w:r>
              <w:rPr>
                <w:rFonts w:ascii="Times New Roman" w:hAnsi="Times New Roman"/>
                <w:sz w:val="20"/>
              </w:rPr>
              <w:t>EU-Taxonomie und CSRD erhöhen Nachhaltigkeitsanforderungen; Energieeffizienzanforderungen an Maschinen steigen (Ökodesign-Verordnung); Kreislaufwirtschaftsanforderungen für Maschinenbaukomponenten.</w:t>
            </w:r>
          </w:p>
        </w:tc>
        <w:tc>
          <w:tcPr>
            <w:tcW w:type="dxa" w:w="2929"/>
          </w:tcPr>
          <w:p>
            <w:pPr>
              <w:jc w:val="left"/>
            </w:pPr>
            <w:r>
              <w:rPr>
                <w:rFonts w:ascii="Times New Roman" w:hAnsi="Times New Roman"/>
                <w:sz w:val="20"/>
              </w:rPr>
              <w:t>Mittel–Hoch</w:t>
              <w:br/>
              <w:t>Wächst regulatorisch</w:t>
            </w:r>
          </w:p>
        </w:tc>
      </w:tr>
      <w:tr>
        <w:tc>
          <w:tcPr>
            <w:tcW w:type="dxa" w:w="2929"/>
          </w:tcPr>
          <w:p>
            <w:pPr>
              <w:jc w:val="left"/>
            </w:pPr>
            <w:r>
              <w:rPr>
                <w:rFonts w:ascii="Times New Roman" w:hAnsi="Times New Roman"/>
                <w:sz w:val="20"/>
              </w:rPr>
              <w:t>Legal (L)</w:t>
            </w:r>
          </w:p>
        </w:tc>
        <w:tc>
          <w:tcPr>
            <w:tcW w:type="dxa" w:w="2929"/>
          </w:tcPr>
          <w:p>
            <w:pPr>
              <w:jc w:val="left"/>
            </w:pPr>
            <w:r>
              <w:rPr>
                <w:rFonts w:ascii="Times New Roman" w:hAnsi="Times New Roman"/>
                <w:sz w:val="20"/>
              </w:rPr>
              <w:t>EU-Maschinenverordnung 2023/1230/EU (ersetzt Richtlinie 2006/42/EG); CE-Kennzeichnungspflicht; Produkthaftungsgesetz; DSGVO für vernetzte Maschinen; KI-Verordnung (AI Act) bei KI-gestützten Maschinen.</w:t>
            </w:r>
          </w:p>
        </w:tc>
        <w:tc>
          <w:tcPr>
            <w:tcW w:type="dxa" w:w="2929"/>
          </w:tcPr>
          <w:p>
            <w:pPr>
              <w:jc w:val="left"/>
            </w:pPr>
            <w:r>
              <w:rPr>
                <w:rFonts w:ascii="Times New Roman" w:hAnsi="Times New Roman"/>
                <w:sz w:val="20"/>
              </w:rPr>
              <w:t>Hoch</w:t>
              <w:br/>
              <w:t>Compliance-Aufwand steigt kontinuierlich</w:t>
            </w:r>
          </w:p>
        </w:tc>
      </w:tr>
    </w:tbl>
    <w:p>
      <w:pPr>
        <w:spacing w:before="40" w:after="160"/>
        <w:jc w:val="left"/>
      </w:pPr>
      <w:r>
        <w:rPr>
          <w:rFonts w:ascii="Times New Roman" w:hAnsi="Times New Roman"/>
          <w:i/>
          <w:sz w:val="20"/>
        </w:rPr>
        <w:t>Tabelle 3.2: PESTEL-Analyse Sondermaschinenbau. Quelle: Eigene Darstellung in Anlehnung an Whittington et al. (2024, [S. X]); VDMA (2025).</w:t>
      </w:r>
    </w:p>
    <w:p>
      <w:pPr>
        <w:pStyle w:val="Heading3"/>
        <w:spacing w:before="200" w:after="80"/>
      </w:pPr>
      <w:r>
        <w:rPr>
          <w:rFonts w:ascii="Times New Roman" w:hAnsi="Times New Roman"/>
          <w:b/>
          <w:i w:val="0"/>
          <w:color w:val="000000"/>
          <w:sz w:val="24"/>
        </w:rPr>
        <w:t>3.2.4  Branchenstrukturanalyse nach Porter (Five Forces)</w:t>
      </w:r>
    </w:p>
    <w:p>
      <w:pPr>
        <w:spacing w:after="120"/>
        <w:ind w:firstLine="0"/>
        <w:jc w:val="both"/>
      </w:pPr>
      <w:r>
        <w:rPr>
          <w:rFonts w:ascii="Times New Roman" w:hAnsi="Times New Roman"/>
          <w:sz w:val="24"/>
        </w:rPr>
        <w:t>Das von Porter (1980) entwickelte Fünf-Kräfte-Modell analysiert die strukturellen Wettbewerbskräfte einer Branche und ermöglicht eine Einschätzung ihrer langfristigen Attraktivität (Porter, 1980; Porter, 2008). Die fünf Kräfte umfassen die Rivalität bestehender Wettbewerber, die Verhandlungsmacht von Lieferanten und Kunden sowie die Bedrohung durch Substitute und Neueintreter.</w:t>
      </w:r>
    </w:p>
    <w:p>
      <w:pPr>
        <w:spacing w:after="120"/>
        <w:ind w:firstLine="0"/>
        <w:jc w:val="both"/>
      </w:pPr>
      <w:r>
        <w:rPr>
          <w:rFonts w:ascii="Times New Roman" w:hAnsi="Times New Roman"/>
          <w:b/>
          <w:sz w:val="24"/>
        </w:rPr>
        <w:t>Rivalität der bestehenden Wettbewerber (mittel–hoch):</w:t>
      </w:r>
      <w:r>
        <w:rPr>
          <w:rFonts w:ascii="Times New Roman" w:hAnsi="Times New Roman"/>
          <w:sz w:val="24"/>
        </w:rPr>
        <w:t xml:space="preserve"> Der Sondermaschinenbau ist durch eine hohe Anbieterfragmentierung gekennzeichnet. Neben einigen wenigen Großanbietern konkurrieren zahlreiche mittelständische Spezialisten um Projekte. Da Aufträge in der Regel über Ausschreibungen vergeben werden, besteht ein erheblicher Preis- und Leistungswettbewerb. Technologisches Know-how schützt etablierte Anbieter jedoch vor schnellem Verdrängungswettbewerb (Porter, 2008, S. 79).</w:t>
      </w:r>
    </w:p>
    <w:p>
      <w:pPr>
        <w:spacing w:after="120"/>
        <w:ind w:firstLine="0"/>
        <w:jc w:val="both"/>
      </w:pPr>
      <w:r>
        <w:rPr>
          <w:rFonts w:ascii="Times New Roman" w:hAnsi="Times New Roman"/>
          <w:b/>
          <w:sz w:val="24"/>
        </w:rPr>
        <w:t>Verhandlungsmacht der Lieferanten (mittel):</w:t>
      </w:r>
      <w:r>
        <w:rPr>
          <w:rFonts w:ascii="Times New Roman" w:hAnsi="Times New Roman"/>
          <w:sz w:val="24"/>
        </w:rPr>
        <w:t xml:space="preserve"> Schlüsselkomponenten wie Antriebssysteme, Steuerungen und Sensorik stammen häufig von spezialisierten Zulieferern (z. B. Siemens, Bosch Rexroth, Fanuc). Diese besitzen durch ihre Marktstellung eine gewisse Lieferantenmacht. Gleichzeitig besteht für viele Standardkomponenten ein ausreichend breiter Lieferantenmarkt (Porter, 1980, [S. X]).</w:t>
      </w:r>
    </w:p>
    <w:p>
      <w:pPr>
        <w:spacing w:after="120"/>
        <w:ind w:firstLine="0"/>
        <w:jc w:val="both"/>
      </w:pPr>
      <w:r>
        <w:rPr>
          <w:rFonts w:ascii="Times New Roman" w:hAnsi="Times New Roman"/>
          <w:b/>
          <w:sz w:val="24"/>
        </w:rPr>
        <w:t>Verhandlungsmacht der Kunden (mittel–hoch):</w:t>
      </w:r>
      <w:r>
        <w:rPr>
          <w:rFonts w:ascii="Times New Roman" w:hAnsi="Times New Roman"/>
          <w:sz w:val="24"/>
        </w:rPr>
        <w:t xml:space="preserve"> Im Sondermaschinenbau handelt es sich typischerweise um Großkunden aus der Automobil-, Elektronik- oder Prozessindustrie, die über erhebliche Nachfragemacht verfügen. Auf der anderen Seite entstehen durch die Spezifität der Maschinen hohe Wechselkosten, da der Lieferantenwechsel hohe Transaktionskosten verursacht (Porter, 1980, [S. X]).</w:t>
      </w:r>
    </w:p>
    <w:p>
      <w:pPr>
        <w:spacing w:after="120"/>
        <w:ind w:firstLine="0"/>
        <w:jc w:val="both"/>
      </w:pPr>
      <w:r>
        <w:rPr>
          <w:rFonts w:ascii="Times New Roman" w:hAnsi="Times New Roman"/>
          <w:b/>
          <w:sz w:val="24"/>
        </w:rPr>
        <w:t>Bedrohung durch Substitute (niedrig):</w:t>
      </w:r>
      <w:r>
        <w:rPr>
          <w:rFonts w:ascii="Times New Roman" w:hAnsi="Times New Roman"/>
          <w:sz w:val="24"/>
        </w:rPr>
        <w:t xml:space="preserve"> Sondermaschinen sind per Definition auf spezifische Prozesse zugeschnitten und nicht direkt durch Standardmaschinen substituierbar. Eine gewisse Bedrohung besteht durch das Insourcing seitens großer Kunden sowie durch modulare Automatisierungsplattformen (Porter, 2008, S. 82).</w:t>
      </w:r>
    </w:p>
    <w:p>
      <w:pPr>
        <w:spacing w:after="120"/>
        <w:ind w:firstLine="0"/>
        <w:jc w:val="both"/>
      </w:pPr>
      <w:r>
        <w:rPr>
          <w:rFonts w:ascii="Times New Roman" w:hAnsi="Times New Roman"/>
          <w:b/>
          <w:sz w:val="24"/>
        </w:rPr>
        <w:t>Bedrohung durch Neueintreter (niedrig–mittel):</w:t>
      </w:r>
      <w:r>
        <w:rPr>
          <w:rFonts w:ascii="Times New Roman" w:hAnsi="Times New Roman"/>
          <w:sz w:val="24"/>
        </w:rPr>
        <w:t xml:space="preserve"> Die Eintrittsbarrieren in den Sondermaschinenbau sind erheblich: Neben technologischem Know-how sind langjährige Kundenreferenzen, Prüfzertifizierungen und spezifisches Applikationswissen erforderlich. Dennoch können neue Technologieanbieter – etwa aus dem Bereich der Softwareautomatisierung oder Robotik – mit disruptiven Plattformansätzen in Teilsegmente eindringen (Grant, 2024, [S. X]).</w:t>
      </w:r>
    </w:p>
    <w:p>
      <w:pPr>
        <w:spacing w:after="120"/>
        <w:ind w:firstLine="0"/>
        <w:jc w:val="both"/>
      </w:pPr>
      <w:r>
        <w:rPr>
          <w:rFonts w:ascii="Times New Roman" w:hAnsi="Times New Roman"/>
          <w:b/>
          <w:sz w:val="24"/>
        </w:rPr>
        <w:t>Fazit zur Branchenattraktivität:</w:t>
      </w:r>
      <w:r>
        <w:rPr>
          <w:rFonts w:ascii="Times New Roman" w:hAnsi="Times New Roman"/>
          <w:sz w:val="24"/>
        </w:rPr>
        <w:t xml:space="preserve"> In der Gesamtschau zeigt die Branchenstrukturanalyse eine moderat attraktive Branche. Hohe Eintrittsbarrieren und geringe Substituierbarkeit bieten Schutz für etablierte Anbieter. Gleichzeitig dämpfen die Verhandlungsmacht großer Kunden und der intensive Wettbewerb unter den Anbietern die Rentabilität. Die strukturelle Attraktivität hängt stark von der Fähigkeit des einzelnen Unternehmens ab, durch Differenzierung der direkten Vergleichbarkeit mit Wettbewerbern zu entgehen (Porter, 2008, S. 93).</w:t>
      </w:r>
    </w:p>
    <w:p>
      <w:pPr>
        <w:pStyle w:val="Heading2"/>
        <w:spacing w:before="280" w:after="120"/>
      </w:pPr>
      <w:r>
        <w:rPr>
          <w:rFonts w:ascii="Times New Roman" w:hAnsi="Times New Roman"/>
          <w:b/>
          <w:color w:val="000000"/>
          <w:sz w:val="26"/>
        </w:rPr>
        <w:t>3.3  Wettbewerbsanalyse</w:t>
      </w:r>
    </w:p>
    <w:p>
      <w:pPr>
        <w:pStyle w:val="Heading3"/>
        <w:spacing w:before="200" w:after="80"/>
      </w:pPr>
      <w:r>
        <w:rPr>
          <w:rFonts w:ascii="Times New Roman" w:hAnsi="Times New Roman"/>
          <w:b/>
          <w:i w:val="0"/>
          <w:color w:val="000000"/>
          <w:sz w:val="24"/>
        </w:rPr>
        <w:t>3.3.1  Identifikation der relevanten Wettbewerber</w:t>
      </w:r>
    </w:p>
    <w:p>
      <w:pPr>
        <w:spacing w:after="120"/>
        <w:ind w:firstLine="0"/>
        <w:jc w:val="both"/>
      </w:pPr>
      <w:r>
        <w:rPr>
          <w:rFonts w:ascii="Times New Roman" w:hAnsi="Times New Roman"/>
          <w:sz w:val="24"/>
        </w:rPr>
        <w:t>Die Identifikation relevanter Wettbewerber erfordert eine klare Abgrenzung des Wettbewerbsfelds. Porter (1980, [S. X]) unterscheidet dabei zwischen direkten Wettbewerbern, die dasselbe Kundensegment mit ähnlichen Produkten und Strategien bedienen, und indirekten Wettbewerbern, die über substituierende Produkte oder alternative Lösungsansätze in Konkurrenz treten.</w:t>
      </w:r>
    </w:p>
    <w:p>
      <w:pPr>
        <w:spacing w:after="120"/>
        <w:ind w:firstLine="0"/>
        <w:jc w:val="both"/>
      </w:pPr>
      <w:r>
        <w:rPr>
          <w:rFonts w:ascii="Times New Roman" w:hAnsi="Times New Roman"/>
          <w:sz w:val="24"/>
        </w:rPr>
        <w:t>Für Schaeffler SMB lassen sich folgende Abgrenzungskriterien definieren:</w:t>
      </w:r>
    </w:p>
    <w:p>
      <w:pPr>
        <w:spacing w:after="120"/>
        <w:ind w:firstLine="0"/>
        <w:jc w:val="both"/>
      </w:pPr>
      <w:r>
        <w:rPr>
          <w:rFonts w:ascii="Times New Roman" w:hAnsi="Times New Roman"/>
          <w:b/>
          <w:sz w:val="24"/>
        </w:rPr>
        <w:t>Direkte Wettbewerber:</w:t>
      </w:r>
      <w:r>
        <w:rPr>
          <w:rFonts w:ascii="Times New Roman" w:hAnsi="Times New Roman"/>
          <w:sz w:val="24"/>
        </w:rPr>
        <w:t xml:space="preserve"> Unternehmen, die ebenfalls im Sondermaschinenbau tätig sind, kundenspezifische Maschinen für vergleichbare Zielindustrien (Automobil, Präzisionsfertigung) anbieten und eine ähnliche Unternehmensgröße aufweisen. [Platzhalter – konkrete Wettbewerbernamen auf Basis eigener Marktrecherche ergänzen]</w:t>
      </w:r>
    </w:p>
    <w:p>
      <w:pPr>
        <w:spacing w:after="120"/>
        <w:ind w:firstLine="0"/>
        <w:jc w:val="both"/>
      </w:pPr>
      <w:r>
        <w:rPr>
          <w:rFonts w:ascii="Times New Roman" w:hAnsi="Times New Roman"/>
          <w:b/>
          <w:sz w:val="24"/>
        </w:rPr>
        <w:t>Indirekte Wettbewerber:</w:t>
      </w:r>
      <w:r>
        <w:rPr>
          <w:rFonts w:ascii="Times New Roman" w:hAnsi="Times New Roman"/>
          <w:sz w:val="24"/>
        </w:rPr>
        <w:t xml:space="preserve"> Anbieter von modularen Automatisierungsplattformen, Systemintegratoren sowie interne Maschinenbauabteilungen großer Industriekonzerne, die potenzielle Aufträge im Eigenauftrag realisieren (Porter, 1980, [S. X]).</w:t>
      </w:r>
    </w:p>
    <w:p>
      <w:pPr>
        <w:pStyle w:val="Heading3"/>
        <w:spacing w:before="200" w:after="80"/>
      </w:pPr>
      <w:r>
        <w:rPr>
          <w:rFonts w:ascii="Times New Roman" w:hAnsi="Times New Roman"/>
          <w:b/>
          <w:i w:val="0"/>
          <w:color w:val="000000"/>
          <w:sz w:val="24"/>
        </w:rPr>
        <w:t>3.3.2  Strategische Gruppen &amp; Positionierung</w:t>
      </w:r>
    </w:p>
    <w:p>
      <w:pPr>
        <w:spacing w:after="120"/>
        <w:ind w:firstLine="0"/>
        <w:jc w:val="both"/>
      </w:pPr>
      <w:r>
        <w:rPr>
          <w:rFonts w:ascii="Times New Roman" w:hAnsi="Times New Roman"/>
          <w:sz w:val="24"/>
        </w:rPr>
        <w:t>Das Konzept der strategischen Gruppen beschreibt Cluster von Unternehmen innerhalb einer Branche, die ähnliche strategische Positionen einnehmen – etwa hinsichtlich Preisniveau, Qualitätssegment, geografischer Reichweite oder Grad der Spezialisierung (Porter, 1980, [S. X]). Eine Strategic-Group-Map erlaubt es, die relative Positionierung von Schaeffler SMB im Wettbewerbsumfeld zu visualisieren.</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2"/>
              </w:rPr>
              <w:t>Strategische Gruppe</w:t>
            </w:r>
          </w:p>
        </w:tc>
        <w:tc>
          <w:tcPr>
            <w:tcW w:type="dxa" w:w="2929"/>
          </w:tcPr>
          <w:p>
            <w:pPr>
              <w:jc w:val="center"/>
            </w:pPr>
            <w:r>
              <w:rPr>
                <w:rFonts w:ascii="Times New Roman" w:hAnsi="Times New Roman"/>
                <w:b/>
                <w:sz w:val="22"/>
              </w:rPr>
              <w:t>Merkmale</w:t>
            </w:r>
          </w:p>
        </w:tc>
        <w:tc>
          <w:tcPr>
            <w:tcW w:type="dxa" w:w="2929"/>
          </w:tcPr>
          <w:p>
            <w:pPr>
              <w:jc w:val="center"/>
            </w:pPr>
            <w:r>
              <w:rPr>
                <w:rFonts w:ascii="Times New Roman" w:hAnsi="Times New Roman"/>
                <w:b/>
                <w:sz w:val="22"/>
              </w:rPr>
              <w:t>Einordnung Schaeffler SMB</w:t>
            </w:r>
          </w:p>
        </w:tc>
      </w:tr>
      <w:tr>
        <w:tc>
          <w:tcPr>
            <w:tcW w:type="dxa" w:w="2929"/>
          </w:tcPr>
          <w:p>
            <w:pPr>
              <w:jc w:val="left"/>
            </w:pPr>
            <w:r>
              <w:rPr>
                <w:rFonts w:ascii="Times New Roman" w:hAnsi="Times New Roman"/>
                <w:sz w:val="20"/>
              </w:rPr>
              <w:t>Konzernintegrierte</w:t>
              <w:br/>
              <w:t>Sondermaschinenbauer</w:t>
            </w:r>
          </w:p>
        </w:tc>
        <w:tc>
          <w:tcPr>
            <w:tcW w:type="dxa" w:w="2929"/>
          </w:tcPr>
          <w:p>
            <w:pPr>
              <w:jc w:val="left"/>
            </w:pPr>
            <w:r>
              <w:rPr>
                <w:rFonts w:ascii="Times New Roman" w:hAnsi="Times New Roman"/>
                <w:sz w:val="20"/>
              </w:rPr>
              <w:t>Tochterunternehmen/Abt. großer Industriekonzerne; breites Leistungsspektrum; Konzernnetzwerk als Vorteil</w:t>
            </w:r>
          </w:p>
        </w:tc>
        <w:tc>
          <w:tcPr>
            <w:tcW w:type="dxa" w:w="2929"/>
          </w:tcPr>
          <w:p>
            <w:pPr>
              <w:jc w:val="left"/>
            </w:pPr>
            <w:r>
              <w:rPr>
                <w:rFonts w:ascii="Times New Roman" w:hAnsi="Times New Roman"/>
                <w:sz w:val="20"/>
              </w:rPr>
              <w:t>✓ Zutreffend</w:t>
              <w:br/>
              <w:t>(Schaeffler-Gruppe)</w:t>
            </w:r>
          </w:p>
        </w:tc>
      </w:tr>
      <w:tr>
        <w:tc>
          <w:tcPr>
            <w:tcW w:type="dxa" w:w="2929"/>
          </w:tcPr>
          <w:p>
            <w:pPr>
              <w:jc w:val="left"/>
            </w:pPr>
            <w:r>
              <w:rPr>
                <w:rFonts w:ascii="Times New Roman" w:hAnsi="Times New Roman"/>
                <w:sz w:val="20"/>
              </w:rPr>
              <w:t>Mittelständische</w:t>
              <w:br/>
              <w:t>Spezialisten</w:t>
            </w:r>
          </w:p>
        </w:tc>
        <w:tc>
          <w:tcPr>
            <w:tcW w:type="dxa" w:w="2929"/>
          </w:tcPr>
          <w:p>
            <w:pPr>
              <w:jc w:val="left"/>
            </w:pPr>
            <w:r>
              <w:rPr>
                <w:rFonts w:ascii="Times New Roman" w:hAnsi="Times New Roman"/>
                <w:sz w:val="20"/>
              </w:rPr>
              <w:t>Fokus auf wenige Branchen/Technologien; hohes Nischenwissen; begrenzte Skalierung; projektgetrieben</w:t>
            </w:r>
          </w:p>
        </w:tc>
        <w:tc>
          <w:tcPr>
            <w:tcW w:type="dxa" w:w="2929"/>
          </w:tcPr>
          <w:p>
            <w:pPr>
              <w:jc w:val="left"/>
            </w:pPr>
            <w:r>
              <w:rPr>
                <w:rFonts w:ascii="Times New Roman" w:hAnsi="Times New Roman"/>
                <w:sz w:val="20"/>
              </w:rPr>
              <w:t>Teilweise – durch Spezialisierung im Sondermaschinenbau</w:t>
            </w:r>
          </w:p>
        </w:tc>
      </w:tr>
      <w:tr>
        <w:tc>
          <w:tcPr>
            <w:tcW w:type="dxa" w:w="2929"/>
          </w:tcPr>
          <w:p>
            <w:pPr>
              <w:jc w:val="left"/>
            </w:pPr>
            <w:r>
              <w:rPr>
                <w:rFonts w:ascii="Times New Roman" w:hAnsi="Times New Roman"/>
                <w:sz w:val="20"/>
              </w:rPr>
              <w:t>Große Systemintegratoren</w:t>
            </w:r>
          </w:p>
        </w:tc>
        <w:tc>
          <w:tcPr>
            <w:tcW w:type="dxa" w:w="2929"/>
          </w:tcPr>
          <w:p>
            <w:pPr>
              <w:jc w:val="left"/>
            </w:pPr>
            <w:r>
              <w:rPr>
                <w:rFonts w:ascii="Times New Roman" w:hAnsi="Times New Roman"/>
                <w:sz w:val="20"/>
              </w:rPr>
              <w:t>Breites Portfolio; Standard- + Sonderlösungen; internationale Präsenz; hoher Digitalisierungsgrad</w:t>
            </w:r>
          </w:p>
        </w:tc>
        <w:tc>
          <w:tcPr>
            <w:tcW w:type="dxa" w:w="2929"/>
          </w:tcPr>
          <w:p>
            <w:pPr>
              <w:jc w:val="left"/>
            </w:pPr>
            <w:r>
              <w:rPr>
                <w:rFonts w:ascii="Times New Roman" w:hAnsi="Times New Roman"/>
                <w:sz w:val="20"/>
              </w:rPr>
              <w:t>Weniger zutreffend – kein breites Standardportfolio</w:t>
            </w:r>
          </w:p>
        </w:tc>
      </w:tr>
      <w:tr>
        <w:tc>
          <w:tcPr>
            <w:tcW w:type="dxa" w:w="2929"/>
          </w:tcPr>
          <w:p>
            <w:pPr>
              <w:jc w:val="left"/>
            </w:pPr>
            <w:r>
              <w:rPr>
                <w:rFonts w:ascii="Times New Roman" w:hAnsi="Times New Roman"/>
                <w:sz w:val="20"/>
              </w:rPr>
              <w:t>Start-ups / Disruptoren</w:t>
            </w:r>
          </w:p>
        </w:tc>
        <w:tc>
          <w:tcPr>
            <w:tcW w:type="dxa" w:w="2929"/>
          </w:tcPr>
          <w:p>
            <w:pPr>
              <w:jc w:val="left"/>
            </w:pPr>
            <w:r>
              <w:rPr>
                <w:rFonts w:ascii="Times New Roman" w:hAnsi="Times New Roman"/>
                <w:sz w:val="20"/>
              </w:rPr>
              <w:t>Plattformbasierte Automatisierung; Software-first; häufig ohne eigene Fertigung</w:t>
            </w:r>
          </w:p>
        </w:tc>
        <w:tc>
          <w:tcPr>
            <w:tcW w:type="dxa" w:w="2929"/>
          </w:tcPr>
          <w:p>
            <w:pPr>
              <w:jc w:val="left"/>
            </w:pPr>
            <w:r>
              <w:rPr>
                <w:rFonts w:ascii="Times New Roman" w:hAnsi="Times New Roman"/>
                <w:sz w:val="20"/>
              </w:rPr>
              <w:t>Nicht zutreffend</w:t>
            </w:r>
          </w:p>
        </w:tc>
      </w:tr>
    </w:tbl>
    <w:p>
      <w:pPr>
        <w:spacing w:before="40" w:after="160"/>
        <w:jc w:val="left"/>
      </w:pPr>
      <w:r>
        <w:rPr>
          <w:rFonts w:ascii="Times New Roman" w:hAnsi="Times New Roman"/>
          <w:i/>
          <w:sz w:val="20"/>
        </w:rPr>
        <w:t>Tabelle 3.3: Strategische Gruppen im Sondermaschinenbau. Quelle: Eigene Darstellung in Anlehnung an Porter (1980, [S. X]).</w:t>
      </w:r>
    </w:p>
    <w:p>
      <w:pPr>
        <w:spacing w:after="120"/>
        <w:ind w:firstLine="0"/>
        <w:jc w:val="both"/>
      </w:pPr>
      <w:r>
        <w:rPr>
          <w:rFonts w:ascii="Times New Roman" w:hAnsi="Times New Roman"/>
          <w:sz w:val="24"/>
        </w:rPr>
        <w:t>Schaeffler SMB ist aufgrund seiner Konzernanbindung, der globalen Präsenz und des spezialisierten Fokus primär der ersten strategischen Gruppe zuzuordnen. [Platzhalter – auf Basis konkreter Wettbewerbsdaten präzisieren; Strategic-Group-Map als Grafik empfohlen]</w:t>
      </w:r>
    </w:p>
    <w:p>
      <w:pPr>
        <w:pStyle w:val="Heading3"/>
        <w:spacing w:before="200" w:after="80"/>
      </w:pPr>
      <w:r>
        <w:rPr>
          <w:rFonts w:ascii="Times New Roman" w:hAnsi="Times New Roman"/>
          <w:b/>
          <w:i w:val="0"/>
          <w:color w:val="000000"/>
          <w:sz w:val="24"/>
        </w:rPr>
        <w:t>3.3.3  Benchmarking-relevante Wettbewerbsprofile</w:t>
      </w:r>
    </w:p>
    <w:p>
      <w:pPr>
        <w:spacing w:after="120"/>
        <w:ind w:firstLine="0"/>
        <w:jc w:val="both"/>
      </w:pPr>
      <w:r>
        <w:rPr>
          <w:rFonts w:ascii="Times New Roman" w:hAnsi="Times New Roman"/>
          <w:sz w:val="24"/>
        </w:rPr>
        <w:t>Für den in Kapitel 5 durchgeführten Unternehmensvergleich ist die Auswahl einer validen Peer-Group entscheidend. Als Benchmarking-Partner kommen Unternehmen in Frage, die in Bezug auf Branche, Unternehmensgröße, Geschäftsmodell und strategische Ausrichtung mit Schaeffler SMB vergleichbar sind (Kounev et al., 2020, [S. X]).</w:t>
      </w:r>
    </w:p>
    <w:p>
      <w:pPr>
        <w:spacing w:after="120"/>
        <w:ind w:firstLine="0"/>
        <w:jc w:val="both"/>
      </w:pPr>
      <w:r>
        <w:rPr>
          <w:rFonts w:ascii="Times New Roman" w:hAnsi="Times New Roman"/>
          <w:sz w:val="24"/>
        </w:rPr>
        <w:t>Auswahlkriterien für die Peer-Group:</w:t>
      </w:r>
    </w:p>
    <w:p>
      <w:pPr>
        <w:pStyle w:val="ListBullet"/>
        <w:spacing w:after="40"/>
        <w:ind w:left="567"/>
      </w:pPr>
      <w:r>
        <w:rPr>
          <w:rFonts w:ascii="Times New Roman" w:hAnsi="Times New Roman"/>
          <w:sz w:val="24"/>
        </w:rPr>
        <w:t>Branchenzugehörigkeit: Sondermaschinenbau oder verwandter Bereich der Fertigungstechnik</w:t>
      </w:r>
    </w:p>
    <w:p>
      <w:pPr>
        <w:pStyle w:val="ListBullet"/>
        <w:spacing w:after="40"/>
        <w:ind w:left="567"/>
      </w:pPr>
      <w:r>
        <w:rPr>
          <w:rFonts w:ascii="Times New Roman" w:hAnsi="Times New Roman"/>
          <w:sz w:val="24"/>
        </w:rPr>
        <w:t>Unternehmensgröße: Vergleichbare Mitarbeiter- und Umsatzbasis (ca. 500–3.000 MA, Umsatz €50–200 Mio.)</w:t>
      </w:r>
    </w:p>
    <w:p>
      <w:pPr>
        <w:pStyle w:val="ListBullet"/>
        <w:spacing w:after="40"/>
        <w:ind w:left="567"/>
      </w:pPr>
      <w:r>
        <w:rPr>
          <w:rFonts w:ascii="Times New Roman" w:hAnsi="Times New Roman"/>
          <w:sz w:val="24"/>
        </w:rPr>
        <w:t>Internationaler Footprint: Mindestens europäische, idealerweise globale Präsenz</w:t>
      </w:r>
    </w:p>
    <w:p>
      <w:pPr>
        <w:pStyle w:val="ListBullet"/>
        <w:spacing w:after="40"/>
        <w:ind w:left="567"/>
      </w:pPr>
      <w:r>
        <w:rPr>
          <w:rFonts w:ascii="Times New Roman" w:hAnsi="Times New Roman"/>
          <w:sz w:val="24"/>
        </w:rPr>
        <w:t>Geschäftsmodell: Engineer-to-Order oder projektbasiertes Maschinengeschäft</w:t>
      </w:r>
    </w:p>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pPr>
            <w:r>
              <w:rPr>
                <w:rFonts w:ascii="Times New Roman" w:hAnsi="Times New Roman"/>
                <w:b/>
                <w:sz w:val="22"/>
              </w:rPr>
              <w:t>Unternehmen</w:t>
            </w:r>
          </w:p>
        </w:tc>
        <w:tc>
          <w:tcPr>
            <w:tcW w:type="dxa" w:w="2197"/>
          </w:tcPr>
          <w:p>
            <w:pPr>
              <w:jc w:val="center"/>
            </w:pPr>
            <w:r>
              <w:rPr>
                <w:rFonts w:ascii="Times New Roman" w:hAnsi="Times New Roman"/>
                <w:b/>
                <w:sz w:val="22"/>
              </w:rPr>
              <w:t>Sitz</w:t>
            </w:r>
          </w:p>
        </w:tc>
        <w:tc>
          <w:tcPr>
            <w:tcW w:type="dxa" w:w="2197"/>
          </w:tcPr>
          <w:p>
            <w:pPr>
              <w:jc w:val="center"/>
            </w:pPr>
            <w:r>
              <w:rPr>
                <w:rFonts w:ascii="Times New Roman" w:hAnsi="Times New Roman"/>
                <w:b/>
                <w:sz w:val="22"/>
              </w:rPr>
              <w:t>Größe (MA / Umsatz ca.)</w:t>
            </w:r>
          </w:p>
        </w:tc>
        <w:tc>
          <w:tcPr>
            <w:tcW w:type="dxa" w:w="2197"/>
          </w:tcPr>
          <w:p>
            <w:pPr>
              <w:jc w:val="center"/>
            </w:pPr>
            <w:r>
              <w:rPr>
                <w:rFonts w:ascii="Times New Roman" w:hAnsi="Times New Roman"/>
                <w:b/>
                <w:sz w:val="22"/>
              </w:rPr>
              <w:t>Auswahlbegründung</w:t>
            </w:r>
          </w:p>
        </w:tc>
      </w:tr>
      <w:tr>
        <w:tc>
          <w:tcPr>
            <w:tcW w:type="dxa" w:w="2197"/>
          </w:tcPr>
          <w:p>
            <w:pPr>
              <w:jc w:val="left"/>
            </w:pPr>
            <w:r>
              <w:rPr>
                <w:rFonts w:ascii="Times New Roman" w:hAnsi="Times New Roman"/>
                <w:sz w:val="20"/>
              </w:rPr>
              <w:t>[Wettbewerber 1]</w:t>
            </w:r>
          </w:p>
        </w:tc>
        <w:tc>
          <w:tcPr>
            <w:tcW w:type="dxa" w:w="2197"/>
          </w:tcPr>
          <w:p>
            <w:pPr>
              <w:jc w:val="left"/>
            </w:pPr>
            <w:r>
              <w:rPr>
                <w:rFonts w:ascii="Times New Roman" w:hAnsi="Times New Roman"/>
                <w:sz w:val="20"/>
              </w:rPr>
              <w:t>[Platzhalter]</w:t>
            </w:r>
          </w:p>
        </w:tc>
        <w:tc>
          <w:tcPr>
            <w:tcW w:type="dxa" w:w="2197"/>
          </w:tcPr>
          <w:p>
            <w:pPr>
              <w:jc w:val="left"/>
            </w:pPr>
            <w:r>
              <w:rPr>
                <w:rFonts w:ascii="Times New Roman" w:hAnsi="Times New Roman"/>
                <w:sz w:val="20"/>
              </w:rPr>
              <w:t>[Platzhalter]</w:t>
            </w:r>
          </w:p>
        </w:tc>
        <w:tc>
          <w:tcPr>
            <w:tcW w:type="dxa" w:w="2197"/>
          </w:tcPr>
          <w:p>
            <w:pPr>
              <w:jc w:val="left"/>
            </w:pPr>
            <w:r>
              <w:rPr>
                <w:rFonts w:ascii="Times New Roman" w:hAnsi="Times New Roman"/>
                <w:sz w:val="20"/>
              </w:rPr>
              <w:t>[Platzhalter]</w:t>
            </w:r>
          </w:p>
        </w:tc>
      </w:tr>
      <w:tr>
        <w:tc>
          <w:tcPr>
            <w:tcW w:type="dxa" w:w="2197"/>
          </w:tcPr>
          <w:p>
            <w:pPr>
              <w:jc w:val="left"/>
            </w:pPr>
            <w:r>
              <w:rPr>
                <w:rFonts w:ascii="Times New Roman" w:hAnsi="Times New Roman"/>
                <w:sz w:val="20"/>
              </w:rPr>
              <w:t>[Wettbewerber 2]</w:t>
            </w:r>
          </w:p>
        </w:tc>
        <w:tc>
          <w:tcPr>
            <w:tcW w:type="dxa" w:w="2197"/>
          </w:tcPr>
          <w:p>
            <w:pPr>
              <w:jc w:val="left"/>
            </w:pPr>
            <w:r>
              <w:rPr>
                <w:rFonts w:ascii="Times New Roman" w:hAnsi="Times New Roman"/>
                <w:sz w:val="20"/>
              </w:rPr>
              <w:t>[Platzhalter]</w:t>
            </w:r>
          </w:p>
        </w:tc>
        <w:tc>
          <w:tcPr>
            <w:tcW w:type="dxa" w:w="2197"/>
          </w:tcPr>
          <w:p>
            <w:pPr>
              <w:jc w:val="left"/>
            </w:pPr>
            <w:r>
              <w:rPr>
                <w:rFonts w:ascii="Times New Roman" w:hAnsi="Times New Roman"/>
                <w:sz w:val="20"/>
              </w:rPr>
              <w:t>[Platzhalter]</w:t>
            </w:r>
          </w:p>
        </w:tc>
        <w:tc>
          <w:tcPr>
            <w:tcW w:type="dxa" w:w="2197"/>
          </w:tcPr>
          <w:p>
            <w:pPr>
              <w:jc w:val="left"/>
            </w:pPr>
            <w:r>
              <w:rPr>
                <w:rFonts w:ascii="Times New Roman" w:hAnsi="Times New Roman"/>
                <w:sz w:val="20"/>
              </w:rPr>
              <w:t>[Platzhalter]</w:t>
            </w:r>
          </w:p>
        </w:tc>
      </w:tr>
      <w:tr>
        <w:tc>
          <w:tcPr>
            <w:tcW w:type="dxa" w:w="2197"/>
          </w:tcPr>
          <w:p>
            <w:pPr>
              <w:jc w:val="left"/>
            </w:pPr>
            <w:r>
              <w:rPr>
                <w:rFonts w:ascii="Times New Roman" w:hAnsi="Times New Roman"/>
                <w:sz w:val="20"/>
              </w:rPr>
              <w:t>[Wettbewerber 3]</w:t>
            </w:r>
          </w:p>
        </w:tc>
        <w:tc>
          <w:tcPr>
            <w:tcW w:type="dxa" w:w="2197"/>
          </w:tcPr>
          <w:p>
            <w:pPr>
              <w:jc w:val="left"/>
            </w:pPr>
            <w:r>
              <w:rPr>
                <w:rFonts w:ascii="Times New Roman" w:hAnsi="Times New Roman"/>
                <w:sz w:val="20"/>
              </w:rPr>
              <w:t>[Platzhalter]</w:t>
            </w:r>
          </w:p>
        </w:tc>
        <w:tc>
          <w:tcPr>
            <w:tcW w:type="dxa" w:w="2197"/>
          </w:tcPr>
          <w:p>
            <w:pPr>
              <w:jc w:val="left"/>
            </w:pPr>
            <w:r>
              <w:rPr>
                <w:rFonts w:ascii="Times New Roman" w:hAnsi="Times New Roman"/>
                <w:sz w:val="20"/>
              </w:rPr>
              <w:t>[Platzhalter]</w:t>
            </w:r>
          </w:p>
        </w:tc>
        <w:tc>
          <w:tcPr>
            <w:tcW w:type="dxa" w:w="2197"/>
          </w:tcPr>
          <w:p>
            <w:pPr>
              <w:jc w:val="left"/>
            </w:pPr>
            <w:r>
              <w:rPr>
                <w:rFonts w:ascii="Times New Roman" w:hAnsi="Times New Roman"/>
                <w:sz w:val="20"/>
              </w:rPr>
              <w:t>[Platzhalter]</w:t>
            </w:r>
          </w:p>
        </w:tc>
      </w:tr>
    </w:tbl>
    <w:p>
      <w:pPr>
        <w:spacing w:before="40" w:after="160"/>
        <w:jc w:val="left"/>
      </w:pPr>
      <w:r>
        <w:rPr>
          <w:rFonts w:ascii="Times New Roman" w:hAnsi="Times New Roman"/>
          <w:i/>
          <w:sz w:val="20"/>
        </w:rPr>
        <w:t>Tabelle 3.4: Benchmarking-Peer-Group Schaeffler SMB. Quelle: Eigene Darstellung.</w:t>
      </w:r>
    </w:p>
    <w:p>
      <w:pPr>
        <w:pStyle w:val="Heading3"/>
        <w:spacing w:before="200" w:after="80"/>
      </w:pPr>
      <w:r>
        <w:rPr>
          <w:rFonts w:ascii="Times New Roman" w:hAnsi="Times New Roman"/>
          <w:b/>
          <w:i w:val="0"/>
          <w:color w:val="000000"/>
          <w:sz w:val="24"/>
        </w:rPr>
        <w:t>3.3.4  Wettbewerbsintensität &amp; Differenzierungsmerkmale</w:t>
      </w:r>
    </w:p>
    <w:p>
      <w:pPr>
        <w:spacing w:after="120"/>
        <w:ind w:firstLine="0"/>
        <w:jc w:val="both"/>
      </w:pPr>
      <w:r>
        <w:rPr>
          <w:rFonts w:ascii="Times New Roman" w:hAnsi="Times New Roman"/>
          <w:sz w:val="24"/>
        </w:rPr>
        <w:t>Auf Basis der Five-Forces-Analyse (Abschnitt 3.2.4) und der strategischen Gruppenstruktur lässt sich die Wettbewerbsintensität für Schaeffler SMB differenziert einschätzen. Porter (1985, [S. X]) betont, dass nachhaltige Wettbewerbsvorteile entweder durch Kostenführerschaft oder durch Differenzierung entstehen. Im Sondermaschinenbau ist eine reine Kostenstrategie kaum tragfähig, da die Individualität des Produkts und die Projektgebundenheit des Geschäfts einer Massenproduktion entgegenstehen. Differenzierung entsteht daher primär durch technologische Kompetenz, Kundennähe, Liefergeschwindigkeit und den Grad der Integration in die Wertschöpfungsprozesse des Kunden (Grant, 2024, [S. X]).</w:t>
      </w:r>
    </w:p>
    <w:p>
      <w:pPr>
        <w:spacing w:after="120"/>
        <w:ind w:firstLine="0"/>
        <w:jc w:val="both"/>
      </w:pPr>
      <w:r>
        <w:rPr>
          <w:rFonts w:ascii="Times New Roman" w:hAnsi="Times New Roman"/>
          <w:sz w:val="24"/>
        </w:rPr>
        <w:t>Schaeffler SMB verfügt durch die Konzernzugehörigkeit über spezifische Differenzierungsmerkmale: Zugang zu Schaeffler-eigenen Technologien und Komponenten (insbesondere Wälzlager, Linearsysteme), ein globales Vertriebs- und Servicenetzwerk sowie das Vertrauen eines etablierten Markennamens. [Platzhalter – strategische Lücken und konkrete USPs auf Basis interner Analyse ergänzen]</w:t>
      </w:r>
    </w:p>
    <w:p>
      <w:pPr>
        <w:pStyle w:val="Heading2"/>
        <w:spacing w:before="280" w:after="120"/>
      </w:pPr>
      <w:r>
        <w:rPr>
          <w:rFonts w:ascii="Times New Roman" w:hAnsi="Times New Roman"/>
          <w:b/>
          <w:color w:val="000000"/>
          <w:sz w:val="26"/>
        </w:rPr>
        <w:t>3.4  Interne Unternehmensanalyse</w:t>
      </w:r>
    </w:p>
    <w:p>
      <w:pPr>
        <w:spacing w:after="120"/>
        <w:ind w:firstLine="0"/>
        <w:jc w:val="both"/>
      </w:pPr>
      <w:r>
        <w:rPr>
          <w:rFonts w:ascii="Times New Roman" w:hAnsi="Times New Roman"/>
          <w:sz w:val="24"/>
        </w:rPr>
        <w:t>Die interne Unternehmensanalyse beleuchtet die Ressourcen, Kompetenzen und Aktivitäten von Schaeffler SMB, die als Grundlage für Wettbewerbsvorteile dienen. Sie folgt dem ressourcenbasierten Ansatz sowie der Wertkettenanalyse nach Porter (1985) und mündet in einer integrierten SWOT-Betrachtung.</w:t>
      </w:r>
    </w:p>
    <w:p>
      <w:pPr>
        <w:pStyle w:val="Heading3"/>
        <w:spacing w:before="200" w:after="80"/>
      </w:pPr>
      <w:r>
        <w:rPr>
          <w:rFonts w:ascii="Times New Roman" w:hAnsi="Times New Roman"/>
          <w:b/>
          <w:i w:val="0"/>
          <w:color w:val="000000"/>
          <w:sz w:val="24"/>
        </w:rPr>
        <w:t>3.4.1  Ressourcen- &amp; Kompetenzanalyse (Resource-Based View)</w:t>
      </w:r>
    </w:p>
    <w:p>
      <w:pPr>
        <w:spacing w:after="120"/>
        <w:ind w:firstLine="0"/>
        <w:jc w:val="both"/>
      </w:pPr>
      <w:r>
        <w:rPr>
          <w:rFonts w:ascii="Times New Roman" w:hAnsi="Times New Roman"/>
          <w:sz w:val="24"/>
        </w:rPr>
        <w:t>Der Resource-Based View (RBV) versteht das Unternehmen als ein Bündel heterogener, schwer imitierbarer Ressourcen und Kompetenzen, die die Grundlage für nachhaltigen Wettbewerbsvorteil bilden (Barney, 1991, S. 101). Nach Barney (1991, S. 106) sind Ressourcen dann strategisch wertvoll, wenn sie die VRIN-Kriterien erfüllen: wertvoll (valuable), selten (rare), nicht imitierbar (inimitable) und nicht substituierbar (non-substitutable).</w:t>
      </w:r>
    </w:p>
    <w:p>
      <w:pPr>
        <w:spacing w:after="120"/>
        <w:ind w:firstLine="0"/>
        <w:jc w:val="both"/>
      </w:pPr>
      <w:r>
        <w:rPr>
          <w:rFonts w:ascii="Times New Roman" w:hAnsi="Times New Roman"/>
          <w:sz w:val="24"/>
        </w:rPr>
        <w:t>Prahalad und Hamel (1990, S. 82) ergänzen diesen Ansatz um das Konzept der Kernkompetenz: eine kollektiv erworbene organisationale Fähigkeit, die schwer zu imitieren ist, Zugang zu einer Vielzahl von Märkten schafft und zum wahrgenommenen Kundenwert beiträgt.</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2"/>
              </w:rPr>
              <w:t>Ressourcenkategorie</w:t>
            </w:r>
          </w:p>
        </w:tc>
        <w:tc>
          <w:tcPr>
            <w:tcW w:type="dxa" w:w="2929"/>
          </w:tcPr>
          <w:p>
            <w:pPr>
              <w:jc w:val="center"/>
            </w:pPr>
            <w:r>
              <w:rPr>
                <w:rFonts w:ascii="Times New Roman" w:hAnsi="Times New Roman"/>
                <w:b/>
                <w:sz w:val="22"/>
              </w:rPr>
              <w:t>Ressourcen Schaeffler SMB</w:t>
            </w:r>
          </w:p>
        </w:tc>
        <w:tc>
          <w:tcPr>
            <w:tcW w:type="dxa" w:w="2929"/>
          </w:tcPr>
          <w:p>
            <w:pPr>
              <w:jc w:val="center"/>
            </w:pPr>
            <w:r>
              <w:rPr>
                <w:rFonts w:ascii="Times New Roman" w:hAnsi="Times New Roman"/>
                <w:b/>
                <w:sz w:val="22"/>
              </w:rPr>
              <w:t>Strategische Bedeutung (VRIN)</w:t>
            </w:r>
          </w:p>
        </w:tc>
      </w:tr>
      <w:tr>
        <w:tc>
          <w:tcPr>
            <w:tcW w:type="dxa" w:w="2929"/>
          </w:tcPr>
          <w:p>
            <w:pPr>
              <w:jc w:val="left"/>
            </w:pPr>
            <w:r>
              <w:rPr>
                <w:rFonts w:ascii="Times New Roman" w:hAnsi="Times New Roman"/>
                <w:sz w:val="20"/>
              </w:rPr>
              <w:t>Finanziell</w:t>
            </w:r>
          </w:p>
        </w:tc>
        <w:tc>
          <w:tcPr>
            <w:tcW w:type="dxa" w:w="2929"/>
          </w:tcPr>
          <w:p>
            <w:pPr>
              <w:jc w:val="left"/>
            </w:pPr>
            <w:r>
              <w:rPr>
                <w:rFonts w:ascii="Times New Roman" w:hAnsi="Times New Roman"/>
                <w:sz w:val="20"/>
              </w:rPr>
              <w:t>Rückhalt der Schaeffler-Gruppe; [Platzhalter: Eigenkapitalquote, Kreditlinie]</w:t>
            </w:r>
          </w:p>
        </w:tc>
        <w:tc>
          <w:tcPr>
            <w:tcW w:type="dxa" w:w="2929"/>
          </w:tcPr>
          <w:p>
            <w:pPr>
              <w:jc w:val="left"/>
            </w:pPr>
            <w:r>
              <w:rPr>
                <w:rFonts w:ascii="Times New Roman" w:hAnsi="Times New Roman"/>
                <w:sz w:val="20"/>
              </w:rPr>
              <w:t>Mittel – Absicherung gegen Investitionsschwankungen im Projektgeschäft</w:t>
            </w:r>
          </w:p>
        </w:tc>
      </w:tr>
      <w:tr>
        <w:tc>
          <w:tcPr>
            <w:tcW w:type="dxa" w:w="2929"/>
          </w:tcPr>
          <w:p>
            <w:pPr>
              <w:jc w:val="left"/>
            </w:pPr>
            <w:r>
              <w:rPr>
                <w:rFonts w:ascii="Times New Roman" w:hAnsi="Times New Roman"/>
                <w:sz w:val="20"/>
              </w:rPr>
              <w:t>Physisch</w:t>
            </w:r>
          </w:p>
        </w:tc>
        <w:tc>
          <w:tcPr>
            <w:tcW w:type="dxa" w:w="2929"/>
          </w:tcPr>
          <w:p>
            <w:pPr>
              <w:jc w:val="left"/>
            </w:pPr>
            <w:r>
              <w:rPr>
                <w:rFonts w:ascii="Times New Roman" w:hAnsi="Times New Roman"/>
                <w:sz w:val="20"/>
              </w:rPr>
              <w:t>Produktions- und Montagestandorte weltweit; spezialisierte Fertigungsausstattung</w:t>
            </w:r>
          </w:p>
        </w:tc>
        <w:tc>
          <w:tcPr>
            <w:tcW w:type="dxa" w:w="2929"/>
          </w:tcPr>
          <w:p>
            <w:pPr>
              <w:jc w:val="left"/>
            </w:pPr>
            <w:r>
              <w:rPr>
                <w:rFonts w:ascii="Times New Roman" w:hAnsi="Times New Roman"/>
                <w:sz w:val="20"/>
              </w:rPr>
              <w:t>Mittel – notwendige Infrastruktur, aber replizierbar</w:t>
            </w:r>
          </w:p>
        </w:tc>
      </w:tr>
      <w:tr>
        <w:tc>
          <w:tcPr>
            <w:tcW w:type="dxa" w:w="2929"/>
          </w:tcPr>
          <w:p>
            <w:pPr>
              <w:jc w:val="left"/>
            </w:pPr>
            <w:r>
              <w:rPr>
                <w:rFonts w:ascii="Times New Roman" w:hAnsi="Times New Roman"/>
                <w:sz w:val="20"/>
              </w:rPr>
              <w:t>Human</w:t>
            </w:r>
          </w:p>
        </w:tc>
        <w:tc>
          <w:tcPr>
            <w:tcW w:type="dxa" w:w="2929"/>
          </w:tcPr>
          <w:p>
            <w:pPr>
              <w:jc w:val="left"/>
            </w:pPr>
            <w:r>
              <w:rPr>
                <w:rFonts w:ascii="Times New Roman" w:hAnsi="Times New Roman"/>
                <w:sz w:val="20"/>
              </w:rPr>
              <w:t>Ca. 1.600 Mitarbeitende; hoher Anteil Ingenieure und Facharbeiter; [Platzhalter: Fluktuationsrate, Ausbildungsquote]</w:t>
            </w:r>
          </w:p>
        </w:tc>
        <w:tc>
          <w:tcPr>
            <w:tcW w:type="dxa" w:w="2929"/>
          </w:tcPr>
          <w:p>
            <w:pPr>
              <w:jc w:val="left"/>
            </w:pPr>
            <w:r>
              <w:rPr>
                <w:rFonts w:ascii="Times New Roman" w:hAnsi="Times New Roman"/>
                <w:sz w:val="20"/>
              </w:rPr>
              <w:t>Hoch – kritische Ressource angesichts Fachkräftemangels; schwer replizierbar</w:t>
            </w:r>
          </w:p>
        </w:tc>
      </w:tr>
      <w:tr>
        <w:tc>
          <w:tcPr>
            <w:tcW w:type="dxa" w:w="2929"/>
          </w:tcPr>
          <w:p>
            <w:pPr>
              <w:jc w:val="left"/>
            </w:pPr>
            <w:r>
              <w:rPr>
                <w:rFonts w:ascii="Times New Roman" w:hAnsi="Times New Roman"/>
                <w:sz w:val="20"/>
              </w:rPr>
              <w:t>Immateriell</w:t>
            </w:r>
          </w:p>
        </w:tc>
        <w:tc>
          <w:tcPr>
            <w:tcW w:type="dxa" w:w="2929"/>
          </w:tcPr>
          <w:p>
            <w:pPr>
              <w:jc w:val="left"/>
            </w:pPr>
            <w:r>
              <w:rPr>
                <w:rFonts w:ascii="Times New Roman" w:hAnsi="Times New Roman"/>
                <w:sz w:val="20"/>
              </w:rPr>
              <w:t>Schaeffler-Marke; Applikations-Know-how; Patente; langjährige Kundenbeziehungen; Zertifizierungen</w:t>
            </w:r>
          </w:p>
        </w:tc>
        <w:tc>
          <w:tcPr>
            <w:tcW w:type="dxa" w:w="2929"/>
          </w:tcPr>
          <w:p>
            <w:pPr>
              <w:jc w:val="left"/>
            </w:pPr>
            <w:r>
              <w:rPr>
                <w:rFonts w:ascii="Times New Roman" w:hAnsi="Times New Roman"/>
                <w:sz w:val="20"/>
              </w:rPr>
              <w:t>Sehr hoch – VRIN-konform (Barney, 1991); schwer imitierbar</w:t>
            </w:r>
          </w:p>
        </w:tc>
      </w:tr>
    </w:tbl>
    <w:p>
      <w:pPr>
        <w:spacing w:before="40" w:after="160"/>
        <w:jc w:val="left"/>
      </w:pPr>
      <w:r>
        <w:rPr>
          <w:rFonts w:ascii="Times New Roman" w:hAnsi="Times New Roman"/>
          <w:i/>
          <w:sz w:val="20"/>
        </w:rPr>
        <w:t>Tabelle 3.5: Ressourcenanalyse Schaeffler SMB nach RBV. Quelle: Eigene Darstellung in Anlehnung an Barney (1991, S. 105–107).</w:t>
      </w:r>
    </w:p>
    <w:p>
      <w:pPr>
        <w:spacing w:after="120"/>
        <w:ind w:firstLine="0"/>
        <w:jc w:val="both"/>
      </w:pPr>
      <w:r>
        <w:rPr>
          <w:rFonts w:ascii="Times New Roman" w:hAnsi="Times New Roman"/>
          <w:sz w:val="24"/>
        </w:rPr>
        <w:t>Die Kernkompetenz von Schaeffler SMB liegt in der integrierten Engineering- und Fertigungskompetenz für hochpräzise Sondermaschinen, kombiniert mit dem Zugang zu Schaeffler-Komponenten-Know-how. Diese Kombination ist für externe Wettbewerber schwer zu replizieren (Prahalad &amp; Hamel, 1990, S. 83–84). [Platzhalter – weitere spezifische Kernkompetenzen aus interner Befragung oder Dokumentenanalyse ergänzen]</w:t>
      </w:r>
    </w:p>
    <w:p>
      <w:pPr>
        <w:pStyle w:val="Heading3"/>
        <w:spacing w:before="200" w:after="80"/>
      </w:pPr>
      <w:r>
        <w:rPr>
          <w:rFonts w:ascii="Times New Roman" w:hAnsi="Times New Roman"/>
          <w:b/>
          <w:i w:val="0"/>
          <w:color w:val="000000"/>
          <w:sz w:val="24"/>
        </w:rPr>
        <w:t>3.4.2  Wertkettenanalyse nach Porter</w:t>
      </w:r>
    </w:p>
    <w:p>
      <w:pPr>
        <w:spacing w:after="120"/>
        <w:ind w:firstLine="0"/>
        <w:jc w:val="both"/>
      </w:pPr>
      <w:r>
        <w:rPr>
          <w:rFonts w:ascii="Times New Roman" w:hAnsi="Times New Roman"/>
          <w:sz w:val="24"/>
        </w:rPr>
        <w:t>Die Wertkette nach Porter (1985, [S. X]) zergliedert das Unternehmen in seine wertschöpfenden Aktivitäten und macht sichtbar, wo Kosten entstehen und wo Quellen von Wettbewerbsvorteil liegen. Sie unterscheidet zwischen primären Aktivitäten, die direkt zur Leistungserstellung beitragen, und Unterstützungsaktivitäten, die die Primäraktivitäten ermöglichen.</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2"/>
              </w:rPr>
              <w:t>Aktivität</w:t>
            </w:r>
          </w:p>
        </w:tc>
        <w:tc>
          <w:tcPr>
            <w:tcW w:type="dxa" w:w="2929"/>
          </w:tcPr>
          <w:p>
            <w:pPr>
              <w:jc w:val="center"/>
            </w:pPr>
            <w:r>
              <w:rPr>
                <w:rFonts w:ascii="Times New Roman" w:hAnsi="Times New Roman"/>
                <w:b/>
                <w:sz w:val="22"/>
              </w:rPr>
              <w:t>Beschreibung für Schaeffler SMB</w:t>
            </w:r>
          </w:p>
        </w:tc>
        <w:tc>
          <w:tcPr>
            <w:tcW w:type="dxa" w:w="2929"/>
          </w:tcPr>
          <w:p>
            <w:pPr>
              <w:jc w:val="center"/>
            </w:pPr>
            <w:r>
              <w:rPr>
                <w:rFonts w:ascii="Times New Roman" w:hAnsi="Times New Roman"/>
                <w:b/>
                <w:sz w:val="22"/>
              </w:rPr>
              <w:t>Kostenrelevanz / Werttreiber</w:t>
            </w:r>
          </w:p>
        </w:tc>
      </w:tr>
      <w:tr>
        <w:tc>
          <w:tcPr>
            <w:tcW w:type="dxa" w:w="2929"/>
          </w:tcPr>
          <w:p>
            <w:pPr>
              <w:jc w:val="left"/>
            </w:pPr>
            <w:r>
              <w:rPr>
                <w:rFonts w:ascii="Times New Roman" w:hAnsi="Times New Roman"/>
                <w:sz w:val="20"/>
              </w:rPr>
              <w:t>PRIMÄRE AKTIVITÄTEN</w:t>
            </w:r>
          </w:p>
        </w:tc>
        <w:tc>
          <w:tcPr>
            <w:tcW w:type="dxa" w:w="2929"/>
          </w:tcPr>
          <w:p>
            <w:pPr>
              <w:jc w:val="left"/>
            </w:pPr>
            <w:r>
              <w:rPr>
                <w:rFonts w:ascii="Times New Roman" w:hAnsi="Times New Roman"/>
                <w:sz w:val="20"/>
              </w:rPr>
            </w:r>
          </w:p>
        </w:tc>
        <w:tc>
          <w:tcPr>
            <w:tcW w:type="dxa" w:w="2929"/>
          </w:tcPr>
          <w:p>
            <w:pPr>
              <w:jc w:val="left"/>
            </w:pPr>
            <w:r>
              <w:rPr>
                <w:rFonts w:ascii="Times New Roman" w:hAnsi="Times New Roman"/>
                <w:sz w:val="20"/>
              </w:rPr>
            </w:r>
          </w:p>
        </w:tc>
      </w:tr>
      <w:tr>
        <w:tc>
          <w:tcPr>
            <w:tcW w:type="dxa" w:w="2929"/>
          </w:tcPr>
          <w:p>
            <w:pPr>
              <w:jc w:val="left"/>
            </w:pPr>
            <w:r>
              <w:rPr>
                <w:rFonts w:ascii="Times New Roman" w:hAnsi="Times New Roman"/>
                <w:sz w:val="20"/>
              </w:rPr>
              <w:t>Eingangslogistik</w:t>
            </w:r>
          </w:p>
        </w:tc>
        <w:tc>
          <w:tcPr>
            <w:tcW w:type="dxa" w:w="2929"/>
          </w:tcPr>
          <w:p>
            <w:pPr>
              <w:jc w:val="left"/>
            </w:pPr>
            <w:r>
              <w:rPr>
                <w:rFonts w:ascii="Times New Roman" w:hAnsi="Times New Roman"/>
                <w:sz w:val="20"/>
              </w:rPr>
              <w:t>Beschaffung von Antriebssystemen, Steuerungen, Strukturbauteilen; Synergien durch Schaeffler-interne Beschaffungsorganisation</w:t>
            </w:r>
          </w:p>
        </w:tc>
        <w:tc>
          <w:tcPr>
            <w:tcW w:type="dxa" w:w="2929"/>
          </w:tcPr>
          <w:p>
            <w:pPr>
              <w:jc w:val="left"/>
            </w:pPr>
            <w:r>
              <w:rPr>
                <w:rFonts w:ascii="Times New Roman" w:hAnsi="Times New Roman"/>
                <w:sz w:val="20"/>
              </w:rPr>
              <w:t>Kostenrelevant; Skaleneffekte durch Konzernanbindung</w:t>
            </w:r>
          </w:p>
        </w:tc>
      </w:tr>
      <w:tr>
        <w:tc>
          <w:tcPr>
            <w:tcW w:type="dxa" w:w="2929"/>
          </w:tcPr>
          <w:p>
            <w:pPr>
              <w:jc w:val="left"/>
            </w:pPr>
            <w:r>
              <w:rPr>
                <w:rFonts w:ascii="Times New Roman" w:hAnsi="Times New Roman"/>
                <w:sz w:val="20"/>
              </w:rPr>
              <w:t>Operationen</w:t>
            </w:r>
          </w:p>
        </w:tc>
        <w:tc>
          <w:tcPr>
            <w:tcW w:type="dxa" w:w="2929"/>
          </w:tcPr>
          <w:p>
            <w:pPr>
              <w:jc w:val="left"/>
            </w:pPr>
            <w:r>
              <w:rPr>
                <w:rFonts w:ascii="Times New Roman" w:hAnsi="Times New Roman"/>
                <w:sz w:val="20"/>
              </w:rPr>
              <w:t>Konstruktion &amp; Engineering; mechanische Bearbeitung; Montage; SW-/Steuerungsentwicklung; Qualitätssicherung und Abnahmetests</w:t>
            </w:r>
          </w:p>
        </w:tc>
        <w:tc>
          <w:tcPr>
            <w:tcW w:type="dxa" w:w="2929"/>
          </w:tcPr>
          <w:p>
            <w:pPr>
              <w:jc w:val="left"/>
            </w:pPr>
            <w:r>
              <w:rPr>
                <w:rFonts w:ascii="Times New Roman" w:hAnsi="Times New Roman"/>
                <w:sz w:val="20"/>
              </w:rPr>
              <w:t>Höchste Wertentstehung; Kernkompetenz</w:t>
            </w:r>
          </w:p>
        </w:tc>
      </w:tr>
      <w:tr>
        <w:tc>
          <w:tcPr>
            <w:tcW w:type="dxa" w:w="2929"/>
          </w:tcPr>
          <w:p>
            <w:pPr>
              <w:jc w:val="left"/>
            </w:pPr>
            <w:r>
              <w:rPr>
                <w:rFonts w:ascii="Times New Roman" w:hAnsi="Times New Roman"/>
                <w:sz w:val="20"/>
              </w:rPr>
              <w:t>Ausgangslogistik</w:t>
            </w:r>
          </w:p>
        </w:tc>
        <w:tc>
          <w:tcPr>
            <w:tcW w:type="dxa" w:w="2929"/>
          </w:tcPr>
          <w:p>
            <w:pPr>
              <w:jc w:val="left"/>
            </w:pPr>
            <w:r>
              <w:rPr>
                <w:rFonts w:ascii="Times New Roman" w:hAnsi="Times New Roman"/>
                <w:sz w:val="20"/>
              </w:rPr>
              <w:t>Transport und Installation beim Kunden weltweit; Inbetriebnahme und Qualifizierung der Maschinen</w:t>
            </w:r>
          </w:p>
        </w:tc>
        <w:tc>
          <w:tcPr>
            <w:tcW w:type="dxa" w:w="2929"/>
          </w:tcPr>
          <w:p>
            <w:pPr>
              <w:jc w:val="left"/>
            </w:pPr>
            <w:r>
              <w:rPr>
                <w:rFonts w:ascii="Times New Roman" w:hAnsi="Times New Roman"/>
                <w:sz w:val="20"/>
              </w:rPr>
              <w:t>Servicequalität als Differenzierungsmerkmal</w:t>
            </w:r>
          </w:p>
        </w:tc>
      </w:tr>
      <w:tr>
        <w:tc>
          <w:tcPr>
            <w:tcW w:type="dxa" w:w="2929"/>
          </w:tcPr>
          <w:p>
            <w:pPr>
              <w:jc w:val="left"/>
            </w:pPr>
            <w:r>
              <w:rPr>
                <w:rFonts w:ascii="Times New Roman" w:hAnsi="Times New Roman"/>
                <w:sz w:val="20"/>
              </w:rPr>
              <w:t>Marketing &amp; Vertrieb</w:t>
            </w:r>
          </w:p>
        </w:tc>
        <w:tc>
          <w:tcPr>
            <w:tcW w:type="dxa" w:w="2929"/>
          </w:tcPr>
          <w:p>
            <w:pPr>
              <w:jc w:val="left"/>
            </w:pPr>
            <w:r>
              <w:rPr>
                <w:rFonts w:ascii="Times New Roman" w:hAnsi="Times New Roman"/>
                <w:sz w:val="20"/>
              </w:rPr>
              <w:t>Projektakquise über Ausschreibungen und Direktansprache; Nutzung des globalen Schaeffler-Vertriebsnetzwerks</w:t>
            </w:r>
          </w:p>
        </w:tc>
        <w:tc>
          <w:tcPr>
            <w:tcW w:type="dxa" w:w="2929"/>
          </w:tcPr>
          <w:p>
            <w:pPr>
              <w:jc w:val="left"/>
            </w:pPr>
            <w:r>
              <w:rPr>
                <w:rFonts w:ascii="Times New Roman" w:hAnsi="Times New Roman"/>
                <w:sz w:val="20"/>
              </w:rPr>
              <w:t>Indirekte Wertschöpfung; Konzernsynergie</w:t>
            </w:r>
          </w:p>
        </w:tc>
      </w:tr>
      <w:tr>
        <w:tc>
          <w:tcPr>
            <w:tcW w:type="dxa" w:w="2929"/>
          </w:tcPr>
          <w:p>
            <w:pPr>
              <w:jc w:val="left"/>
            </w:pPr>
            <w:r>
              <w:rPr>
                <w:rFonts w:ascii="Times New Roman" w:hAnsi="Times New Roman"/>
                <w:sz w:val="20"/>
              </w:rPr>
              <w:t>Service</w:t>
            </w:r>
          </w:p>
        </w:tc>
        <w:tc>
          <w:tcPr>
            <w:tcW w:type="dxa" w:w="2929"/>
          </w:tcPr>
          <w:p>
            <w:pPr>
              <w:jc w:val="left"/>
            </w:pPr>
            <w:r>
              <w:rPr>
                <w:rFonts w:ascii="Times New Roman" w:hAnsi="Times New Roman"/>
                <w:sz w:val="20"/>
              </w:rPr>
              <w:t>Wartung, Reparatur, Umbau; Ersatzteilversorgung; Remote-Support; [Platzhalter: Anteil Service am Umsatz]</w:t>
            </w:r>
          </w:p>
        </w:tc>
        <w:tc>
          <w:tcPr>
            <w:tcW w:type="dxa" w:w="2929"/>
          </w:tcPr>
          <w:p>
            <w:pPr>
              <w:jc w:val="left"/>
            </w:pPr>
            <w:r>
              <w:rPr>
                <w:rFonts w:ascii="Times New Roman" w:hAnsi="Times New Roman"/>
                <w:sz w:val="20"/>
              </w:rPr>
              <w:t>Wachsender Ertragsbeitrag; Kundenbindung</w:t>
            </w:r>
          </w:p>
        </w:tc>
      </w:tr>
      <w:tr>
        <w:tc>
          <w:tcPr>
            <w:tcW w:type="dxa" w:w="2929"/>
          </w:tcPr>
          <w:p>
            <w:pPr>
              <w:jc w:val="left"/>
            </w:pPr>
            <w:r>
              <w:rPr>
                <w:rFonts w:ascii="Times New Roman" w:hAnsi="Times New Roman"/>
                <w:sz w:val="20"/>
              </w:rPr>
              <w:t>UNTERSTÜTZUNGSAKTIVITÄTEN</w:t>
            </w:r>
          </w:p>
        </w:tc>
        <w:tc>
          <w:tcPr>
            <w:tcW w:type="dxa" w:w="2929"/>
          </w:tcPr>
          <w:p>
            <w:pPr>
              <w:jc w:val="left"/>
            </w:pPr>
            <w:r>
              <w:rPr>
                <w:rFonts w:ascii="Times New Roman" w:hAnsi="Times New Roman"/>
                <w:sz w:val="20"/>
              </w:rPr>
            </w:r>
          </w:p>
        </w:tc>
        <w:tc>
          <w:tcPr>
            <w:tcW w:type="dxa" w:w="2929"/>
          </w:tcPr>
          <w:p>
            <w:pPr>
              <w:jc w:val="left"/>
            </w:pPr>
            <w:r>
              <w:rPr>
                <w:rFonts w:ascii="Times New Roman" w:hAnsi="Times New Roman"/>
                <w:sz w:val="20"/>
              </w:rPr>
            </w:r>
          </w:p>
        </w:tc>
      </w:tr>
      <w:tr>
        <w:tc>
          <w:tcPr>
            <w:tcW w:type="dxa" w:w="2929"/>
          </w:tcPr>
          <w:p>
            <w:pPr>
              <w:jc w:val="left"/>
            </w:pPr>
            <w:r>
              <w:rPr>
                <w:rFonts w:ascii="Times New Roman" w:hAnsi="Times New Roman"/>
                <w:sz w:val="20"/>
              </w:rPr>
              <w:t>Unternehmensinfrastruktur</w:t>
            </w:r>
          </w:p>
        </w:tc>
        <w:tc>
          <w:tcPr>
            <w:tcW w:type="dxa" w:w="2929"/>
          </w:tcPr>
          <w:p>
            <w:pPr>
              <w:jc w:val="left"/>
            </w:pPr>
            <w:r>
              <w:rPr>
                <w:rFonts w:ascii="Times New Roman" w:hAnsi="Times New Roman"/>
                <w:sz w:val="20"/>
              </w:rPr>
              <w:t>Management, Controlling, Finanzierung durch Schaeffler-Gruppe; IT-Infrastruktur</w:t>
            </w:r>
          </w:p>
        </w:tc>
        <w:tc>
          <w:tcPr>
            <w:tcW w:type="dxa" w:w="2929"/>
          </w:tcPr>
          <w:p>
            <w:pPr>
              <w:jc w:val="left"/>
            </w:pPr>
            <w:r>
              <w:rPr>
                <w:rFonts w:ascii="Times New Roman" w:hAnsi="Times New Roman"/>
                <w:sz w:val="20"/>
              </w:rPr>
              <w:t>Fixkostenblock; Konzernsynergie</w:t>
            </w:r>
          </w:p>
        </w:tc>
      </w:tr>
      <w:tr>
        <w:tc>
          <w:tcPr>
            <w:tcW w:type="dxa" w:w="2929"/>
          </w:tcPr>
          <w:p>
            <w:pPr>
              <w:jc w:val="left"/>
            </w:pPr>
            <w:r>
              <w:rPr>
                <w:rFonts w:ascii="Times New Roman" w:hAnsi="Times New Roman"/>
                <w:sz w:val="20"/>
              </w:rPr>
              <w:t>Personalwirtschaft</w:t>
            </w:r>
          </w:p>
        </w:tc>
        <w:tc>
          <w:tcPr>
            <w:tcW w:type="dxa" w:w="2929"/>
          </w:tcPr>
          <w:p>
            <w:pPr>
              <w:jc w:val="left"/>
            </w:pPr>
            <w:r>
              <w:rPr>
                <w:rFonts w:ascii="Times New Roman" w:hAnsi="Times New Roman"/>
                <w:sz w:val="20"/>
              </w:rPr>
              <w:t>Rekrutierung, Weiterbildung, Mitarbeiterbindung – kritisch in Zeiten des Fachkräftemangels</w:t>
            </w:r>
          </w:p>
        </w:tc>
        <w:tc>
          <w:tcPr>
            <w:tcW w:type="dxa" w:w="2929"/>
          </w:tcPr>
          <w:p>
            <w:pPr>
              <w:jc w:val="left"/>
            </w:pPr>
            <w:r>
              <w:rPr>
                <w:rFonts w:ascii="Times New Roman" w:hAnsi="Times New Roman"/>
                <w:sz w:val="20"/>
              </w:rPr>
              <w:t>Strategisch kritisch; Differenzierungspotenzial</w:t>
            </w:r>
          </w:p>
        </w:tc>
      </w:tr>
      <w:tr>
        <w:tc>
          <w:tcPr>
            <w:tcW w:type="dxa" w:w="2929"/>
          </w:tcPr>
          <w:p>
            <w:pPr>
              <w:jc w:val="left"/>
            </w:pPr>
            <w:r>
              <w:rPr>
                <w:rFonts w:ascii="Times New Roman" w:hAnsi="Times New Roman"/>
                <w:sz w:val="20"/>
              </w:rPr>
              <w:t>Technologieentwicklung</w:t>
            </w:r>
          </w:p>
        </w:tc>
        <w:tc>
          <w:tcPr>
            <w:tcW w:type="dxa" w:w="2929"/>
          </w:tcPr>
          <w:p>
            <w:pPr>
              <w:jc w:val="left"/>
            </w:pPr>
            <w:r>
              <w:rPr>
                <w:rFonts w:ascii="Times New Roman" w:hAnsi="Times New Roman"/>
                <w:sz w:val="20"/>
              </w:rPr>
              <w:t>F&amp;E; Digitalisierung der Maschinenplattform (IoT, digitaler Zwilling)</w:t>
            </w:r>
          </w:p>
        </w:tc>
        <w:tc>
          <w:tcPr>
            <w:tcW w:type="dxa" w:w="2929"/>
          </w:tcPr>
          <w:p>
            <w:pPr>
              <w:jc w:val="left"/>
            </w:pPr>
            <w:r>
              <w:rPr>
                <w:rFonts w:ascii="Times New Roman" w:hAnsi="Times New Roman"/>
                <w:sz w:val="20"/>
              </w:rPr>
              <w:t>Investition in zukünftige Wettbewerbsfähigkeit</w:t>
            </w:r>
          </w:p>
        </w:tc>
      </w:tr>
      <w:tr>
        <w:tc>
          <w:tcPr>
            <w:tcW w:type="dxa" w:w="2929"/>
          </w:tcPr>
          <w:p>
            <w:pPr>
              <w:jc w:val="left"/>
            </w:pPr>
            <w:r>
              <w:rPr>
                <w:rFonts w:ascii="Times New Roman" w:hAnsi="Times New Roman"/>
                <w:sz w:val="20"/>
              </w:rPr>
              <w:t>Beschaffung</w:t>
            </w:r>
          </w:p>
        </w:tc>
        <w:tc>
          <w:tcPr>
            <w:tcW w:type="dxa" w:w="2929"/>
          </w:tcPr>
          <w:p>
            <w:pPr>
              <w:jc w:val="left"/>
            </w:pPr>
            <w:r>
              <w:rPr>
                <w:rFonts w:ascii="Times New Roman" w:hAnsi="Times New Roman"/>
                <w:sz w:val="20"/>
              </w:rPr>
              <w:t>Strategisches Lieferantenmanagement; Nutzung von Skaleneffekten innerhalb der Schaeffler-Gruppe</w:t>
            </w:r>
          </w:p>
        </w:tc>
        <w:tc>
          <w:tcPr>
            <w:tcW w:type="dxa" w:w="2929"/>
          </w:tcPr>
          <w:p>
            <w:pPr>
              <w:jc w:val="left"/>
            </w:pPr>
            <w:r>
              <w:rPr>
                <w:rFonts w:ascii="Times New Roman" w:hAnsi="Times New Roman"/>
                <w:sz w:val="20"/>
              </w:rPr>
              <w:t>Kostensenkungspotenzial</w:t>
            </w:r>
          </w:p>
        </w:tc>
      </w:tr>
    </w:tbl>
    <w:p>
      <w:pPr>
        <w:spacing w:before="40" w:after="160"/>
        <w:jc w:val="left"/>
      </w:pPr>
      <w:r>
        <w:rPr>
          <w:rFonts w:ascii="Times New Roman" w:hAnsi="Times New Roman"/>
          <w:i/>
          <w:sz w:val="20"/>
        </w:rPr>
        <w:t>Tabelle 3.6: Wertkettenanalyse Schaeffler SMB. Quelle: Eigene Darstellung in Anlehnung an Porter (1985, [S. X]).</w:t>
      </w:r>
    </w:p>
    <w:p>
      <w:pPr>
        <w:spacing w:after="120"/>
        <w:ind w:firstLine="0"/>
        <w:jc w:val="both"/>
      </w:pPr>
      <w:r>
        <w:rPr>
          <w:rFonts w:ascii="Times New Roman" w:hAnsi="Times New Roman"/>
          <w:sz w:val="24"/>
        </w:rPr>
        <w:t>[Platzhalter – Wertkettenanalyse auf Basis konkreter Kostendaten und Interviews vertiefen; grafische Darstellung der Wertkette als Abbildung empfohlen]</w:t>
      </w:r>
    </w:p>
    <w:p>
      <w:pPr>
        <w:pStyle w:val="Heading3"/>
        <w:spacing w:before="200" w:after="80"/>
      </w:pPr>
      <w:r>
        <w:rPr>
          <w:rFonts w:ascii="Times New Roman" w:hAnsi="Times New Roman"/>
          <w:b/>
          <w:i w:val="0"/>
          <w:color w:val="000000"/>
          <w:sz w:val="24"/>
        </w:rPr>
        <w:t>3.4.3  SWOT-Analyse</w:t>
      </w:r>
    </w:p>
    <w:p>
      <w:pPr>
        <w:spacing w:after="120"/>
        <w:ind w:firstLine="0"/>
        <w:jc w:val="both"/>
      </w:pPr>
      <w:r>
        <w:rPr>
          <w:rFonts w:ascii="Times New Roman" w:hAnsi="Times New Roman"/>
          <w:sz w:val="24"/>
        </w:rPr>
        <w:t>Die SWOT-Analyse integriert die Erkenntnisse der externen Umfeldanalyse (Kapitel 3.2) und der internen Ressourcenanalyse (Kapitel 3.4.1–3.4.2) zu einer übergreifenden strategischen Beurteilung (Whittington et al., 2024, [S. X]). Sie identifiziert interne Stärken (Strengths) und Schwächen (Weaknesses) sowie externe Chancen (Opportunities) und Risiken (Threats).</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2"/>
              </w:rPr>
            </w:r>
          </w:p>
        </w:tc>
        <w:tc>
          <w:tcPr>
            <w:tcW w:type="dxa" w:w="2929"/>
          </w:tcPr>
          <w:p>
            <w:pPr>
              <w:jc w:val="center"/>
            </w:pPr>
            <w:r>
              <w:rPr>
                <w:rFonts w:ascii="Times New Roman" w:hAnsi="Times New Roman"/>
                <w:b/>
                <w:sz w:val="22"/>
              </w:rPr>
              <w:t>Intern positiv – Stärken (S)</w:t>
            </w:r>
          </w:p>
        </w:tc>
        <w:tc>
          <w:tcPr>
            <w:tcW w:type="dxa" w:w="2929"/>
          </w:tcPr>
          <w:p>
            <w:pPr>
              <w:jc w:val="center"/>
            </w:pPr>
            <w:r>
              <w:rPr>
                <w:rFonts w:ascii="Times New Roman" w:hAnsi="Times New Roman"/>
                <w:b/>
                <w:sz w:val="22"/>
              </w:rPr>
              <w:t>Intern negativ – Schwächen (W)</w:t>
            </w:r>
          </w:p>
        </w:tc>
      </w:tr>
      <w:tr>
        <w:tc>
          <w:tcPr>
            <w:tcW w:type="dxa" w:w="2929"/>
          </w:tcPr>
          <w:p>
            <w:pPr>
              <w:jc w:val="left"/>
            </w:pPr>
            <w:r>
              <w:rPr>
                <w:rFonts w:ascii="Times New Roman" w:hAnsi="Times New Roman"/>
                <w:sz w:val="20"/>
              </w:rPr>
              <w:t>Extern positiv</w:t>
              <w:br/>
              <w:t>Chancen (O)</w:t>
            </w:r>
          </w:p>
        </w:tc>
        <w:tc>
          <w:tcPr>
            <w:tcW w:type="dxa" w:w="2929"/>
          </w:tcPr>
          <w:p>
            <w:pPr>
              <w:jc w:val="left"/>
            </w:pPr>
            <w:r>
              <w:rPr>
                <w:rFonts w:ascii="Times New Roman" w:hAnsi="Times New Roman"/>
                <w:sz w:val="20"/>
              </w:rPr>
              <w:t>• Einbindung in globalen Schaeffler-Konzern</w:t>
              <w:br/>
              <w:t>• Technologische Tiefe im Sondermaschinenbau</w:t>
              <w:br/>
              <w:t>• Etablierter Kundenstamm (Automobil, Industrie)</w:t>
              <w:br/>
              <w:t>• Internationales Produktions- und Servicenetz</w:t>
              <w:br/>
              <w:t>[Platzhalter: weitere Stärken ergänzen]</w:t>
            </w:r>
          </w:p>
        </w:tc>
        <w:tc>
          <w:tcPr>
            <w:tcW w:type="dxa" w:w="2929"/>
          </w:tcPr>
          <w:p>
            <w:pPr>
              <w:jc w:val="left"/>
            </w:pPr>
            <w:r>
              <w:rPr>
                <w:rFonts w:ascii="Times New Roman" w:hAnsi="Times New Roman"/>
                <w:sz w:val="20"/>
              </w:rPr>
              <w:t>• [Platzhalter: z. B. Abhängigkeit vom Mutterkonzern]</w:t>
              <w:br/>
              <w:t>• Begrenzte externe Marketingpräsenz</w:t>
              <w:br/>
              <w:t>[Platzhalter: weitere Schwächen ergänzen]</w:t>
            </w:r>
          </w:p>
        </w:tc>
      </w:tr>
      <w:tr>
        <w:tc>
          <w:tcPr>
            <w:tcW w:type="dxa" w:w="2929"/>
          </w:tcPr>
          <w:p>
            <w:pPr>
              <w:jc w:val="left"/>
            </w:pPr>
            <w:r>
              <w:rPr>
                <w:rFonts w:ascii="Times New Roman" w:hAnsi="Times New Roman"/>
                <w:sz w:val="20"/>
              </w:rPr>
              <w:t>Extern negativ</w:t>
              <w:br/>
              <w:t>Risiken (T)</w:t>
            </w:r>
          </w:p>
        </w:tc>
        <w:tc>
          <w:tcPr>
            <w:tcW w:type="dxa" w:w="2929"/>
          </w:tcPr>
          <w:p>
            <w:pPr>
              <w:jc w:val="left"/>
            </w:pPr>
            <w:r>
              <w:rPr>
                <w:rFonts w:ascii="Times New Roman" w:hAnsi="Times New Roman"/>
                <w:sz w:val="20"/>
              </w:rPr>
              <w:t>• Wachstum durch Automatisierungstrend</w:t>
              <w:br/>
              <w:t>• Reshoring-Investitionen europäischer Industrie</w:t>
              <w:br/>
              <w:t>• Nachfrage nach IoT-fähigen Maschinen</w:t>
              <w:br/>
              <w:t>• Neue Märkte durch Energiewende-Fertigung</w:t>
              <w:br/>
              <w:t>[Platzhalter: weitere Chancen ergänzen]</w:t>
            </w:r>
          </w:p>
        </w:tc>
        <w:tc>
          <w:tcPr>
            <w:tcW w:type="dxa" w:w="2929"/>
          </w:tcPr>
          <w:p>
            <w:pPr>
              <w:jc w:val="left"/>
            </w:pPr>
            <w:r>
              <w:rPr>
                <w:rFonts w:ascii="Times New Roman" w:hAnsi="Times New Roman"/>
                <w:sz w:val="20"/>
              </w:rPr>
              <w:t>• Fachkräftemangel (MINT)</w:t>
              <w:br/>
              <w:t>• Konjunkturabhängigkeit von Abnehmerindustrien</w:t>
              <w:br/>
              <w:t>• Geopolitische Risiken (Export, Lieferketten)</w:t>
              <w:br/>
              <w:t>• Neue Tech-Wettbewerber aus Software/Robotik</w:t>
              <w:br/>
              <w:t>[Platzhalter: weitere Risiken ergänzen]</w:t>
            </w:r>
          </w:p>
        </w:tc>
      </w:tr>
    </w:tbl>
    <w:p>
      <w:pPr>
        <w:spacing w:before="40" w:after="160"/>
        <w:jc w:val="left"/>
      </w:pPr>
      <w:r>
        <w:rPr>
          <w:rFonts w:ascii="Times New Roman" w:hAnsi="Times New Roman"/>
          <w:i/>
          <w:sz w:val="20"/>
        </w:rPr>
        <w:t>Tabelle 3.7: SWOT-Matrix Schaeffler SMB. Quelle: Eigene Darstellung.</w:t>
      </w:r>
    </w:p>
    <w:p>
      <w:pPr>
        <w:spacing w:after="120"/>
        <w:ind w:firstLine="0"/>
        <w:jc w:val="both"/>
      </w:pPr>
      <w:r>
        <w:rPr>
          <w:rFonts w:ascii="Times New Roman" w:hAnsi="Times New Roman"/>
          <w:b/>
          <w:sz w:val="24"/>
        </w:rPr>
        <w:t>Normstrategien-Ableitung:</w:t>
      </w:r>
      <w:r>
        <w:rPr>
          <w:rFonts w:ascii="Times New Roman" w:hAnsi="Times New Roman"/>
          <w:sz w:val="24"/>
        </w:rPr>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b/>
                <w:sz w:val="22"/>
              </w:rPr>
            </w:r>
          </w:p>
        </w:tc>
        <w:tc>
          <w:tcPr>
            <w:tcW w:type="dxa" w:w="2929"/>
          </w:tcPr>
          <w:p>
            <w:pPr>
              <w:jc w:val="center"/>
            </w:pPr>
            <w:r>
              <w:rPr>
                <w:rFonts w:ascii="Times New Roman" w:hAnsi="Times New Roman"/>
                <w:b/>
                <w:sz w:val="22"/>
              </w:rPr>
              <w:t>Chancen (O)</w:t>
            </w:r>
          </w:p>
        </w:tc>
        <w:tc>
          <w:tcPr>
            <w:tcW w:type="dxa" w:w="2929"/>
          </w:tcPr>
          <w:p>
            <w:pPr>
              <w:jc w:val="center"/>
            </w:pPr>
            <w:r>
              <w:rPr>
                <w:rFonts w:ascii="Times New Roman" w:hAnsi="Times New Roman"/>
                <w:b/>
                <w:sz w:val="22"/>
              </w:rPr>
              <w:t>Risiken (T)</w:t>
            </w:r>
          </w:p>
        </w:tc>
      </w:tr>
      <w:tr>
        <w:tc>
          <w:tcPr>
            <w:tcW w:type="dxa" w:w="2929"/>
          </w:tcPr>
          <w:p>
            <w:pPr>
              <w:jc w:val="left"/>
            </w:pPr>
            <w:r>
              <w:rPr>
                <w:rFonts w:ascii="Times New Roman" w:hAnsi="Times New Roman"/>
                <w:sz w:val="20"/>
              </w:rPr>
              <w:t>Stärken (S)</w:t>
            </w:r>
          </w:p>
        </w:tc>
        <w:tc>
          <w:tcPr>
            <w:tcW w:type="dxa" w:w="2929"/>
          </w:tcPr>
          <w:p>
            <w:pPr>
              <w:jc w:val="left"/>
            </w:pPr>
            <w:r>
              <w:rPr>
                <w:rFonts w:ascii="Times New Roman" w:hAnsi="Times New Roman"/>
                <w:sz w:val="20"/>
              </w:rPr>
              <w:t>SO-Strategien:</w:t>
              <w:br/>
              <w:t>• Schaeffler-Technologie nutzen, um IoT-fähige Maschinen als Wachstumssegment zu erschließen</w:t>
              <w:br/>
              <w:t>• Globales Schaeffler-Netz für Reshoring-Kunden aktivieren</w:t>
            </w:r>
          </w:p>
        </w:tc>
        <w:tc>
          <w:tcPr>
            <w:tcW w:type="dxa" w:w="2929"/>
          </w:tcPr>
          <w:p>
            <w:pPr>
              <w:jc w:val="left"/>
            </w:pPr>
            <w:r>
              <w:rPr>
                <w:rFonts w:ascii="Times New Roman" w:hAnsi="Times New Roman"/>
                <w:sz w:val="20"/>
              </w:rPr>
              <w:t>ST-Strategien:</w:t>
              <w:br/>
              <w:t>• Schaeffler-Markenstärke als Differenzierungsmerkmal gegen neue Tech-Wettbewerber einsetzen</w:t>
              <w:br/>
              <w:t>• Langfristige Kundenverträge zur Absicherung gegen Konjunkturschwankungen nutzen</w:t>
            </w:r>
          </w:p>
        </w:tc>
      </w:tr>
      <w:tr>
        <w:tc>
          <w:tcPr>
            <w:tcW w:type="dxa" w:w="2929"/>
          </w:tcPr>
          <w:p>
            <w:pPr>
              <w:jc w:val="left"/>
            </w:pPr>
            <w:r>
              <w:rPr>
                <w:rFonts w:ascii="Times New Roman" w:hAnsi="Times New Roman"/>
                <w:sz w:val="20"/>
              </w:rPr>
              <w:t>Schwächen (W)</w:t>
            </w:r>
          </w:p>
        </w:tc>
        <w:tc>
          <w:tcPr>
            <w:tcW w:type="dxa" w:w="2929"/>
          </w:tcPr>
          <w:p>
            <w:pPr>
              <w:jc w:val="left"/>
            </w:pPr>
            <w:r>
              <w:rPr>
                <w:rFonts w:ascii="Times New Roman" w:hAnsi="Times New Roman"/>
                <w:sz w:val="20"/>
              </w:rPr>
              <w:t>WO-Strategien:</w:t>
              <w:br/>
              <w:t>• Digitalisierungsinvestitionen nutzen, um Effizienzlücken zu schließen und neue datenbasierte Services zu schaffen</w:t>
              <w:br/>
              <w:t>[Platzhalter: weitere WO-Strategien]</w:t>
            </w:r>
          </w:p>
        </w:tc>
        <w:tc>
          <w:tcPr>
            <w:tcW w:type="dxa" w:w="2929"/>
          </w:tcPr>
          <w:p>
            <w:pPr>
              <w:jc w:val="left"/>
            </w:pPr>
            <w:r>
              <w:rPr>
                <w:rFonts w:ascii="Times New Roman" w:hAnsi="Times New Roman"/>
                <w:sz w:val="20"/>
              </w:rPr>
              <w:t>WT-Strategien:</w:t>
              <w:br/>
              <w:t>• Kundenbranchen diversifizieren zur Risikostreuung</w:t>
              <w:br/>
              <w:t>• Fachkräftebindung durch Weiterbildungsprogramme stärken</w:t>
            </w:r>
          </w:p>
        </w:tc>
      </w:tr>
    </w:tbl>
    <w:p>
      <w:pPr>
        <w:spacing w:before="40" w:after="160"/>
        <w:jc w:val="left"/>
      </w:pPr>
      <w:r>
        <w:rPr>
          <w:rFonts w:ascii="Times New Roman" w:hAnsi="Times New Roman"/>
          <w:i/>
          <w:sz w:val="20"/>
        </w:rPr>
        <w:t>Tabelle 3.8: SWOT-Normstrategien Schaeffler SMB. Quelle: Eigene Darstellung in Anlehnung an Whittington et al. (2024, [S. X]).</w:t>
      </w:r>
    </w:p>
    <w:p>
      <w:pPr>
        <w:spacing w:after="120"/>
        <w:ind w:firstLine="0"/>
        <w:jc w:val="both"/>
      </w:pPr>
      <w:r>
        <w:rPr>
          <w:rFonts w:ascii="Times New Roman" w:hAnsi="Times New Roman"/>
          <w:sz w:val="24"/>
        </w:rPr>
        <w:t>Die SWOT-Analyse verdeutlicht, dass Schaeffler SMB über eine robuste Ressourcenbasis verfügt, die durch die Konzerneinbindung gestärkt wird. Die größten strategischen Herausforderungen liegen in der Bewältigung des Fachkräftemangels, der Konjunkturabhängigkeit und den notwendigen Digitalisierungsinvestitionen. Die identifizierten SO-Strategien bilden die Grundlage für die Benchmarking-Kennzahlen in Kapitel 5.</w:t>
      </w:r>
    </w:p>
    <w:p>
      <w:r>
        <w:br w:type="page"/>
      </w:r>
    </w:p>
    <w:p>
      <w:pPr>
        <w:pStyle w:val="Heading1"/>
        <w:spacing w:before="360" w:after="160"/>
      </w:pPr>
      <w:r>
        <w:rPr>
          <w:rFonts w:ascii="Times New Roman" w:hAnsi="Times New Roman"/>
          <w:b/>
          <w:color w:val="000000"/>
          <w:sz w:val="28"/>
        </w:rPr>
        <w:t>Literaturverzeichnis (Kapitel 3)</w:t>
      </w:r>
    </w:p>
    <w:p>
      <w:pPr>
        <w:spacing w:after="80"/>
        <w:ind w:left="567" w:hanging="567"/>
      </w:pPr>
      <w:r>
        <w:rPr>
          <w:rFonts w:ascii="Times New Roman" w:hAnsi="Times New Roman"/>
          <w:sz w:val="24"/>
        </w:rPr>
        <w:t xml:space="preserve">Barney, J. (1991). Firm resources and sustained competitive advantage. </w:t>
      </w:r>
      <w:r>
        <w:rPr>
          <w:rFonts w:ascii="Times New Roman" w:hAnsi="Times New Roman"/>
          <w:i/>
          <w:sz w:val="24"/>
        </w:rPr>
        <w:t>Journal of Management</w:t>
      </w:r>
      <w:r>
        <w:rPr>
          <w:rFonts w:ascii="Times New Roman" w:hAnsi="Times New Roman"/>
          <w:sz w:val="24"/>
        </w:rPr>
        <w:t>, 17(1), 99–120. https://doi.org/10.1177/014920639101700108</w:t>
      </w:r>
    </w:p>
    <w:p>
      <w:pPr>
        <w:spacing w:after="80"/>
        <w:ind w:left="567" w:hanging="567"/>
      </w:pPr>
      <w:r>
        <w:rPr>
          <w:rFonts w:ascii="Times New Roman" w:hAnsi="Times New Roman"/>
          <w:sz w:val="24"/>
        </w:rPr>
        <w:t xml:space="preserve">Grant, R. M. (2024). </w:t>
      </w:r>
      <w:r>
        <w:rPr>
          <w:rFonts w:ascii="Times New Roman" w:hAnsi="Times New Roman"/>
          <w:i/>
          <w:sz w:val="24"/>
        </w:rPr>
        <w:t>Contemporary strategy analysis</w:t>
      </w:r>
      <w:r>
        <w:rPr>
          <w:rFonts w:ascii="Times New Roman" w:hAnsi="Times New Roman"/>
          <w:sz w:val="24"/>
        </w:rPr>
        <w:t xml:space="preserve"> (12. Aufl.). Wiley. ISBN 978-1-394-25159-9</w:t>
      </w:r>
    </w:p>
    <w:p>
      <w:pPr>
        <w:spacing w:after="80"/>
        <w:ind w:left="567" w:hanging="567"/>
      </w:pPr>
      <w:r>
        <w:rPr>
          <w:rFonts w:ascii="Times New Roman" w:hAnsi="Times New Roman"/>
          <w:sz w:val="24"/>
        </w:rPr>
        <w:t xml:space="preserve">Kounev, S., Lange, K.-D., &amp; von Kistowski, J. (2020). </w:t>
      </w:r>
      <w:r>
        <w:rPr>
          <w:rFonts w:ascii="Times New Roman" w:hAnsi="Times New Roman"/>
          <w:i/>
          <w:sz w:val="24"/>
        </w:rPr>
        <w:t>Systems benchmarking: For scientists and engineers.</w:t>
      </w:r>
      <w:r>
        <w:rPr>
          <w:rFonts w:ascii="Times New Roman" w:hAnsi="Times New Roman"/>
          <w:sz w:val="24"/>
        </w:rPr>
        <w:t xml:space="preserve"> Springer International Publishing. https://doi.org/10.1007/978-3-030-41705-5</w:t>
      </w:r>
    </w:p>
    <w:p>
      <w:pPr>
        <w:spacing w:after="80"/>
        <w:ind w:left="567" w:hanging="567"/>
      </w:pPr>
      <w:r>
        <w:rPr>
          <w:rFonts w:ascii="Times New Roman" w:hAnsi="Times New Roman"/>
          <w:sz w:val="24"/>
        </w:rPr>
        <w:t xml:space="preserve">Porter, M. E. (1980). </w:t>
      </w:r>
      <w:r>
        <w:rPr>
          <w:rFonts w:ascii="Times New Roman" w:hAnsi="Times New Roman"/>
          <w:i/>
          <w:sz w:val="24"/>
        </w:rPr>
        <w:t>Competitive strategy: Techniques for analyzing industries and competitors.</w:t>
      </w:r>
      <w:r>
        <w:rPr>
          <w:rFonts w:ascii="Times New Roman" w:hAnsi="Times New Roman"/>
          <w:sz w:val="24"/>
        </w:rPr>
        <w:t xml:space="preserve"> The Free Press. ISBN 978-0-02-925360-1</w:t>
      </w:r>
    </w:p>
    <w:p>
      <w:pPr>
        <w:spacing w:after="80"/>
        <w:ind w:left="567" w:hanging="567"/>
      </w:pPr>
      <w:r>
        <w:rPr>
          <w:rFonts w:ascii="Times New Roman" w:hAnsi="Times New Roman"/>
          <w:sz w:val="24"/>
        </w:rPr>
        <w:t xml:space="preserve">Porter, M. E. (1985). </w:t>
      </w:r>
      <w:r>
        <w:rPr>
          <w:rFonts w:ascii="Times New Roman" w:hAnsi="Times New Roman"/>
          <w:i/>
          <w:sz w:val="24"/>
        </w:rPr>
        <w:t>Competitive advantage: Creating and sustaining superior performance.</w:t>
      </w:r>
      <w:r>
        <w:rPr>
          <w:rFonts w:ascii="Times New Roman" w:hAnsi="Times New Roman"/>
          <w:sz w:val="24"/>
        </w:rPr>
        <w:t xml:space="preserve"> The Free Press. ISBN 978-0-02-925090-7</w:t>
      </w:r>
    </w:p>
    <w:p>
      <w:pPr>
        <w:spacing w:after="80"/>
        <w:ind w:left="567" w:hanging="567"/>
      </w:pPr>
      <w:r>
        <w:rPr>
          <w:rFonts w:ascii="Times New Roman" w:hAnsi="Times New Roman"/>
          <w:sz w:val="24"/>
        </w:rPr>
        <w:t xml:space="preserve">Porter, M. E. (2008). The five competitive forces that shape strategy. </w:t>
      </w:r>
      <w:r>
        <w:rPr>
          <w:rFonts w:ascii="Times New Roman" w:hAnsi="Times New Roman"/>
          <w:i/>
          <w:sz w:val="24"/>
        </w:rPr>
        <w:t>Harvard Business Review</w:t>
      </w:r>
      <w:r>
        <w:rPr>
          <w:rFonts w:ascii="Times New Roman" w:hAnsi="Times New Roman"/>
          <w:sz w:val="24"/>
        </w:rPr>
        <w:t>, 86(1), 78–93.</w:t>
      </w:r>
    </w:p>
    <w:p>
      <w:pPr>
        <w:spacing w:after="80"/>
        <w:ind w:left="567" w:hanging="567"/>
      </w:pPr>
      <w:r>
        <w:rPr>
          <w:rFonts w:ascii="Times New Roman" w:hAnsi="Times New Roman"/>
          <w:sz w:val="24"/>
        </w:rPr>
        <w:t xml:space="preserve">Prahalad, C. K., &amp; Hamel, G. (1990). The core competence of the corporation. </w:t>
      </w:r>
      <w:r>
        <w:rPr>
          <w:rFonts w:ascii="Times New Roman" w:hAnsi="Times New Roman"/>
          <w:i/>
          <w:sz w:val="24"/>
        </w:rPr>
        <w:t>Harvard Business Review</w:t>
      </w:r>
      <w:r>
        <w:rPr>
          <w:rFonts w:ascii="Times New Roman" w:hAnsi="Times New Roman"/>
          <w:sz w:val="24"/>
        </w:rPr>
        <w:t>, 68(3), 79–91.</w:t>
      </w:r>
    </w:p>
    <w:p>
      <w:pPr>
        <w:spacing w:after="80"/>
        <w:ind w:left="567" w:hanging="567"/>
      </w:pPr>
      <w:r>
        <w:rPr>
          <w:rFonts w:ascii="Times New Roman" w:hAnsi="Times New Roman"/>
          <w:sz w:val="24"/>
        </w:rPr>
        <w:t xml:space="preserve">VDMA. (2025). </w:t>
      </w:r>
      <w:r>
        <w:rPr>
          <w:rFonts w:ascii="Times New Roman" w:hAnsi="Times New Roman"/>
          <w:i/>
          <w:sz w:val="24"/>
        </w:rPr>
        <w:t>Jahresbilanz Maschinenbau 2024.</w:t>
      </w:r>
      <w:r>
        <w:rPr>
          <w:rFonts w:ascii="Times New Roman" w:hAnsi="Times New Roman"/>
          <w:sz w:val="24"/>
        </w:rPr>
        <w:t xml:space="preserve"> Verband Deutscher Maschinen- und Anlagenbau. https://www.vdma.org</w:t>
      </w:r>
    </w:p>
    <w:p>
      <w:pPr>
        <w:spacing w:after="80"/>
        <w:ind w:left="567" w:hanging="567"/>
      </w:pPr>
      <w:r>
        <w:rPr>
          <w:rFonts w:ascii="Times New Roman" w:hAnsi="Times New Roman"/>
          <w:sz w:val="24"/>
        </w:rPr>
        <w:t xml:space="preserve">Whittington, R., Regnér, P., Angwin, D., Johnson, G., &amp; Scholes, K. (2024). </w:t>
      </w:r>
      <w:r>
        <w:rPr>
          <w:rFonts w:ascii="Times New Roman" w:hAnsi="Times New Roman"/>
          <w:i/>
          <w:sz w:val="24"/>
        </w:rPr>
        <w:t>Exploring strategy: Text and cases</w:t>
      </w:r>
      <w:r>
        <w:rPr>
          <w:rFonts w:ascii="Times New Roman" w:hAnsi="Times New Roman"/>
          <w:sz w:val="24"/>
        </w:rPr>
        <w:t xml:space="preserve"> (13. Aufl.). Pearson Education. ISBN 978-1-292-47953-8</w:t>
      </w:r>
    </w:p>
    <w:sectPr w:rsidR="00FC693F" w:rsidRPr="0006063C" w:rsidSect="00034616">
      <w:pgSz w:w="11906" w:h="16838"/>
      <w:pgMar w:top="1417"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