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sz w:val="22"/>
          <w:szCs w:val="22"/>
        </w:rPr>
        <w:t xml:space="preserve"/>
      </w:r>
    </w:p>
    <w:p>
      <w:pPr>
        <w:spacing w:after="200" w:before="0"/>
        <w:jc w:val="center"/>
      </w:pPr>
      <w:r>
        <w:rPr>
          <w:b/>
          <w:bCs/>
          <w:color w:val="1F4E79"/>
          <w:sz w:val="52"/>
          <w:szCs w:val="52"/>
        </w:rPr>
        <w:t xml:space="preserve">METHODOLOGY AND EVIDENCE</w:t>
      </w:r>
    </w:p>
    <w:p>
      <w:pPr>
        <w:spacing w:after="400" w:before="0"/>
        <w:jc w:val="center"/>
      </w:pPr>
      <w:r>
        <w:rPr>
          <w:b/>
          <w:bCs/>
          <w:color w:val="1F4E79"/>
          <w:sz w:val="52"/>
          <w:szCs w:val="52"/>
        </w:rPr>
        <w:t xml:space="preserve">APPENDIX</w:t>
      </w:r>
    </w:p>
    <w:p>
      <w:pPr>
        <w:spacing w:after="1200" w:before="0"/>
        <w:jc w:val="center"/>
      </w:pPr>
      <w:r>
        <w:rPr>
          <w:i/>
          <w:iCs/>
          <w:color w:val="555555"/>
          <w:sz w:val="26"/>
          <w:szCs w:val="26"/>
        </w:rPr>
        <w:t xml:space="preserve">Companion Volume to the GAEA Architecture Assessment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center"/>
            </w:pPr>
            <w:r>
              <w:rPr>
                <w:b/>
                <w:bCs/>
                <w:color w:val="FFFFFF"/>
                <w:sz w:val="20"/>
                <w:szCs w:val="20"/>
              </w:rPr>
              <w:t xml:space="preserve">Contents</w:t>
            </w:r>
          </w:p>
        </w:tc>
      </w:tr>
      <w:tr>
        <w:tc>
          <w:tcPr>
            <w:tcW w:type="dxa" w:w="7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center"/>
            </w:pPr>
            <w:r>
              <w:rPr>
                <w:color w:val="222222"/>
                <w:sz w:val="22"/>
                <w:szCs w:val="22"/>
              </w:rPr>
              <w:t xml:space="preserve">Framework derivation and scoring methodology</w:t>
            </w:r>
          </w:p>
        </w:tc>
      </w:tr>
      <w:tr>
        <w:tc>
          <w:tcPr>
            <w:tcW w:type="dxa" w:w="7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center"/>
            </w:pPr>
            <w:r>
              <w:rPr>
                <w:color w:val="222222"/>
                <w:sz w:val="22"/>
                <w:szCs w:val="22"/>
              </w:rPr>
              <w:t xml:space="preserve">Data collection and validation process</w:t>
            </w:r>
          </w:p>
        </w:tc>
      </w:tr>
      <w:tr>
        <w:tc>
          <w:tcPr>
            <w:tcW w:type="dxa" w:w="7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center"/>
            </w:pPr>
            <w:r>
              <w:rPr>
                <w:color w:val="222222"/>
                <w:sz w:val="22"/>
                <w:szCs w:val="22"/>
              </w:rPr>
              <w:t xml:space="preserve">Gravity threshold derivation (worked example)</w:t>
            </w:r>
          </w:p>
        </w:tc>
      </w:tr>
      <w:tr>
        <w:tc>
          <w:tcPr>
            <w:tcW w:type="dxa" w:w="7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center"/>
            </w:pPr>
            <w:r>
              <w:rPr>
                <w:color w:val="222222"/>
                <w:sz w:val="22"/>
                <w:szCs w:val="22"/>
              </w:rPr>
              <w:t xml:space="preserve">Full source registry</w:t>
            </w:r>
          </w:p>
        </w:tc>
      </w:tr>
      <w:tr>
        <w:tc>
          <w:tcPr>
            <w:tcW w:type="dxa" w:w="7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center"/>
            </w:pPr>
            <w:r>
              <w:rPr>
                <w:color w:val="222222"/>
                <w:sz w:val="22"/>
                <w:szCs w:val="22"/>
              </w:rPr>
              <w:t xml:space="preserve">Full scoring matrix</w:t>
            </w:r>
          </w:p>
        </w:tc>
      </w:tr>
    </w:tbl>
    <w:p>
      <w:pPr>
        <w:spacing w:after="1200" w:before="0"/>
      </w:pPr>
      <w:r>
        <w:rPr>
          <w:sz w:val="22"/>
          <w:szCs w:val="22"/>
        </w:rPr>
        <w:t xml:space="preserve"/>
      </w:r>
    </w:p>
    <w:p>
      <w:pPr>
        <w:spacing w:after="60" w:before="0"/>
        <w:jc w:val="center"/>
      </w:pPr>
      <w:r>
        <w:rPr>
          <w:color w:val="555555"/>
          <w:sz w:val="20"/>
          <w:szCs w:val="20"/>
        </w:rPr>
        <w:t xml:space="preserve">Document Version 1.0</w:t>
      </w:r>
    </w:p>
    <w:p>
      <w:pPr>
        <w:spacing w:after="60" w:before="0"/>
        <w:jc w:val="center"/>
      </w:pPr>
      <w:r>
        <w:rPr>
          <w:color w:val="555555"/>
          <w:sz w:val="20"/>
          <w:szCs w:val="20"/>
        </w:rPr>
        <w:t xml:space="preserve">April 2026</w:t>
      </w:r>
    </w:p>
    <w:p>
      <w:pPr>
        <w:spacing w:after="0" w:before="200"/>
        <w:jc w:val="center"/>
      </w:pPr>
      <w:r>
        <w:rPr>
          <w:i/>
          <w:iCs/>
          <w:color w:val="555555"/>
          <w:sz w:val="20"/>
          <w:szCs w:val="20"/>
        </w:rPr>
        <w:t xml:space="preserve">Lenticular Tech</w:t>
      </w:r>
    </w:p>
    <w:p>
      <w:r>
        <w:br w:type="page"/>
      </w:r>
    </w:p>
    <w:p>
      <w:pPr>
        <w:pStyle w:val="Heading1"/>
        <w:spacing w:after="180" w:before="360"/>
      </w:pPr>
      <w:r>
        <w:rPr>
          <w:b/>
          <w:bCs/>
          <w:color w:val="1F4E79"/>
          <w:sz w:val="36"/>
          <w:szCs w:val="36"/>
        </w:rPr>
        <w:t xml:space="preserve">Preface</w:t>
      </w:r>
    </w:p>
    <w:p>
      <w:pPr>
        <w:spacing w:after="120" w:before="60" w:line="300"/>
        <w:jc w:val="left"/>
      </w:pPr>
      <w:r>
        <w:rPr>
          <w:color w:val="222222"/>
          <w:sz w:val="22"/>
          <w:szCs w:val="22"/>
        </w:rPr>
        <w:t xml:space="preserve">This appendix documents how the Extraplanetary Infrastructure Architecture Assessment was produced. Readers of the main assessment can take the conclusions on the strength of the executive summary and scoring results. Readers who want to audit the work, propose different weightings, challenge specific scores, or extend the methodology to adjacent problems should read this document.</w:t>
      </w:r>
    </w:p>
    <w:p>
      <w:pPr>
        <w:spacing w:after="120" w:before="60" w:line="300"/>
        <w:jc w:val="left"/>
      </w:pPr>
      <w:r>
        <w:rPr>
          <w:color w:val="222222"/>
          <w:sz w:val="22"/>
          <w:szCs w:val="22"/>
        </w:rPr>
        <w:t xml:space="preserve">The appendix has three purposes. First, it documents the framework so the methodology can be reused for other multi-platform architecture decisions without the space-colonization context. Second, it documents the evidence so every score can be traced to its source. Third, it documents the uncertainties so readers understand what the analysis does not know and where its conclusions could shift.</w:t>
      </w:r>
    </w:p>
    <w:p>
      <w:pPr>
        <w:spacing w:after="120" w:before="60" w:line="300"/>
        <w:jc w:val="left"/>
      </w:pPr>
      <w:r>
        <w:rPr>
          <w:color w:val="222222"/>
          <w:sz w:val="22"/>
          <w:szCs w:val="22"/>
        </w:rPr>
        <w:t xml:space="preserve">The gravity threshold discussion in Part 3 is a worked example of how evidence flowed through the framework to a specific conclusion. It is included partly because gravity is the most consequential single requirement in the analysis and partly as an illustration of how the general methodology handles uncertainty, extrapolation, and conservative defaults.</w:t>
      </w:r>
    </w:p>
    <w:p>
      <w:pPr>
        <w:pStyle w:val="Heading1"/>
        <w:pageBreakBefore/>
        <w:spacing w:after="180" w:before="360"/>
      </w:pPr>
      <w:r>
        <w:rPr>
          <w:b/>
          <w:bCs/>
          <w:color w:val="1F4E79"/>
          <w:sz w:val="36"/>
          <w:szCs w:val="36"/>
        </w:rPr>
        <w:t xml:space="preserve">Part 1: Framework Derivation</w:t>
      </w:r>
    </w:p>
    <w:p>
      <w:pPr>
        <w:pStyle w:val="Heading2"/>
        <w:spacing w:after="120" w:before="280"/>
      </w:pPr>
      <w:r>
        <w:rPr>
          <w:b/>
          <w:bCs/>
          <w:color w:val="1F4E79"/>
          <w:sz w:val="28"/>
          <w:szCs w:val="28"/>
        </w:rPr>
        <w:t xml:space="preserve">1.1 Starting Point</w:t>
      </w:r>
    </w:p>
    <w:p>
      <w:pPr>
        <w:spacing w:after="120" w:before="60" w:line="300"/>
        <w:jc w:val="left"/>
      </w:pPr>
      <w:r>
        <w:rPr>
          <w:color w:val="222222"/>
          <w:sz w:val="22"/>
          <w:szCs w:val="22"/>
        </w:rPr>
        <w:t xml:space="preserve">The framework used in this assessment is a synthesis of three established enterprise architecture frameworks, extended to address concerns specific to multi-generational extraplanetary infrastructure. The starting point was the IBM Well-Architected Framework, selected because it provides the most explicit pillar structure of the major frameworks and because it is designed for cross-platform decisions rather than single-platform optimization.</w:t>
      </w:r>
    </w:p>
    <w:p>
      <w:pPr>
        <w:spacing w:after="120" w:before="60" w:line="300"/>
        <w:jc w:val="left"/>
      </w:pPr>
      <w:r>
        <w:rPr>
          <w:color w:val="222222"/>
          <w:sz w:val="22"/>
          <w:szCs w:val="22"/>
        </w:rPr>
        <w:t xml:space="preserve">The IBM framework defines six pillars: Resiliency, Performance, Cost Optimization, Operational Excellence, Security and Compliance, and Hybrid and Portable. These six were cross-validated against AWS Well-Architected Framework (six pillars with different naming) and Google Cloud Architecture Framework (five pillars with different grouping). The cross-validation confirmed that the IBM pillar definitions map cleanly to equivalent concerns in the other frameworks. Pillar naming follows IBM conventions in this assessment because IBM's Hybrid and Portable pillar is a closer fit for the destination-as-platform framing than AWS's Operational Excellence or Google's Performance Optimization.</w:t>
      </w:r>
    </w:p>
    <w:p>
      <w:pPr>
        <w:pStyle w:val="Heading2"/>
        <w:spacing w:after="120" w:before="280"/>
      </w:pPr>
      <w:r>
        <w:rPr>
          <w:b/>
          <w:bCs/>
          <w:color w:val="1F4E79"/>
          <w:sz w:val="28"/>
          <w:szCs w:val="28"/>
        </w:rPr>
        <w:t xml:space="preserve">1.2 Extensions Beyond Base Frameworks</w:t>
      </w:r>
    </w:p>
    <w:p>
      <w:pPr>
        <w:spacing w:after="120" w:before="60" w:line="300"/>
        <w:jc w:val="left"/>
      </w:pPr>
      <w:r>
        <w:rPr>
          <w:color w:val="222222"/>
          <w:sz w:val="22"/>
          <w:szCs w:val="22"/>
        </w:rPr>
        <w:t xml:space="preserve">Two additional pillars were added beyond the base framework. These extensions address concerns that arise from the extended time horizon and the generational nature of extraplanetary infrastructure but are under-represented in frameworks designed for enterprise IT decisions on 3-to-5-year horizons.</w:t>
      </w:r>
    </w:p>
    <w:p>
      <w:pPr>
        <w:spacing w:after="120" w:before="60" w:line="300"/>
        <w:jc w:val="left"/>
      </w:pPr>
      <w:r>
        <w:rPr>
          <w:b/>
          <w:bCs/>
          <w:color w:val="222222"/>
          <w:sz w:val="22"/>
          <w:szCs w:val="22"/>
        </w:rPr>
        <w:t xml:space="preserve">Risk Assessment</w:t>
      </w:r>
    </w:p>
    <w:p>
      <w:pPr>
        <w:spacing w:after="120" w:before="60" w:line="300"/>
        <w:jc w:val="left"/>
      </w:pPr>
      <w:r>
        <w:rPr>
          <w:color w:val="222222"/>
          <w:sz w:val="22"/>
          <w:szCs w:val="22"/>
        </w:rPr>
        <w:t xml:space="preserve">Enterprise frameworks handle risk as a cross-cutting concern within Resiliency and Security. A 25-year planning horizon with irreversible deployment decisions warrants explicit risk treatment as its own pillar. A colony, once established, cannot be easily decommissioned. Risks that would be rounded into SLA conversations in enterprise contexts become first-class concerns in extraplanetary contexts.</w:t>
      </w:r>
    </w:p>
    <w:p>
      <w:pPr>
        <w:spacing w:after="120" w:before="60" w:line="300"/>
        <w:jc w:val="left"/>
      </w:pPr>
      <w:r>
        <w:rPr>
          <w:b/>
          <w:bCs/>
          <w:color w:val="222222"/>
          <w:sz w:val="22"/>
          <w:szCs w:val="22"/>
        </w:rPr>
        <w:t xml:space="preserve">Sustainability</w:t>
      </w:r>
    </w:p>
    <w:p>
      <w:pPr>
        <w:spacing w:after="120" w:before="60" w:line="300"/>
        <w:jc w:val="left"/>
      </w:pPr>
      <w:r>
        <w:rPr>
          <w:color w:val="222222"/>
          <w:sz w:val="22"/>
          <w:szCs w:val="22"/>
        </w:rPr>
        <w:t xml:space="preserve">Enterprise frameworks increasingly include sustainability as a consideration. AWS and Google have both added sustainability pillars in recent revisions. For extraplanetary infrastructure, sustainability is not an efficiency concern but a viability concern: a colony that depends on external subsidy indefinitely is not a colony but a remote outpost. Separating sustainability as its own pillar forces explicit scoring of self-sufficiency pathways.</w:t>
      </w:r>
    </w:p>
    <w:p>
      <w:pPr>
        <w:pStyle w:val="Heading2"/>
        <w:spacing w:after="120" w:before="280"/>
      </w:pPr>
      <w:r>
        <w:rPr>
          <w:b/>
          <w:bCs/>
          <w:color w:val="1F4E79"/>
          <w:sz w:val="28"/>
          <w:szCs w:val="28"/>
        </w:rPr>
        <w:t xml:space="preserve">1.3 The Eight Pillars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Pillar</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Enterprise Meaning</w:t>
            </w:r>
          </w:p>
        </w:tc>
        <w:tc>
          <w:tcPr>
            <w:tcW w:type="dxa" w:w="3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Extraplanetary Translation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Resiliency</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RTO, RPO, redundancy, failover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Emergency return path, supply chain resilience, life support redundancy, behavioral health</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Performance</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Throughput, latency, capacity</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Energy availability, ISRU production, population scalability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Cost Optimization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Capex, opex, scaling economics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Transport cost, operating cost, capital to self-sustaining, failure expected value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Operational Excellence</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Operability, observability, incident response</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Maintenance logistics, automation, monitoring, incident response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Security and Compliance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Access control, regulatory alignment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Treaty compliance, property rights, jurisdiction, physical security</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Hybrid and Portable</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Integration, standards, lock-in</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Strategic positioning, technology transferability, standard interfaces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Risk Assessment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Risk register, mitigation planning</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Expected failure cost, unrecoverable scenarios, long-horizon risks</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Sustainability</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Resource efficiency, circular economy</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Closed-loop systems, resource consumption vs renewal, independent viability</w:t>
            </w:r>
          </w:p>
        </w:tc>
      </w:tr>
    </w:tbl>
    <w:p>
      <w:pPr>
        <w:pStyle w:val="Heading2"/>
        <w:spacing w:after="120" w:before="280"/>
      </w:pPr>
      <w:r>
        <w:rPr>
          <w:b/>
          <w:bCs/>
          <w:color w:val="1F4E79"/>
          <w:sz w:val="28"/>
          <w:szCs w:val="28"/>
        </w:rPr>
        <w:t xml:space="preserve">1.4 Decision Analysis Tools</w:t>
      </w:r>
    </w:p>
    <w:p>
      <w:pPr>
        <w:spacing w:after="120" w:before="60" w:line="300"/>
        <w:jc w:val="left"/>
      </w:pPr>
      <w:r>
        <w:rPr>
          <w:color w:val="222222"/>
          <w:sz w:val="22"/>
          <w:szCs w:val="22"/>
        </w:rPr>
        <w:t xml:space="preserve">Within the pillar structure, the assessment uses specific decision analysis tools to handle different classes of decisions. The tools are standard in business analysis and solutions architecture practice. Their combined use is what produces decision-grade output from the evidence base.</w:t>
      </w:r>
    </w:p>
    <w:p>
      <w:pPr>
        <w:spacing w:after="120" w:before="60" w:line="300"/>
        <w:jc w:val="left"/>
      </w:pPr>
      <w:r>
        <w:rPr>
          <w:b/>
          <w:bCs/>
          <w:color w:val="222222"/>
          <w:sz w:val="22"/>
          <w:szCs w:val="22"/>
        </w:rPr>
        <w:t xml:space="preserve">MoSCoW Prioritization</w:t>
      </w:r>
    </w:p>
    <w:p>
      <w:pPr>
        <w:spacing w:after="120" w:before="60" w:line="300"/>
        <w:jc w:val="left"/>
      </w:pPr>
      <w:r>
        <w:rPr>
          <w:color w:val="222222"/>
          <w:sz w:val="22"/>
          <w:szCs w:val="22"/>
        </w:rPr>
        <w:t xml:space="preserve">Requirements are classified as Must have, Should have, Could have, or Won't have. Must-Have requirements function as gates: a destination that fails any Must-Have cannot be recommended as a sole solution regardless of other scores. This is standard MoSCoW practice. The discipline forces explicit decisions about which requirements are negotiable and which are not.</w:t>
      </w:r>
    </w:p>
    <w:p>
      <w:pPr>
        <w:spacing w:after="120" w:before="60" w:line="300"/>
        <w:jc w:val="left"/>
      </w:pPr>
      <w:r>
        <w:rPr>
          <w:b/>
          <w:bCs/>
          <w:color w:val="222222"/>
          <w:sz w:val="22"/>
          <w:szCs w:val="22"/>
        </w:rPr>
        <w:t xml:space="preserve">Kano Satisfaction Model</w:t>
      </w:r>
    </w:p>
    <w:p>
      <w:pPr>
        <w:spacing w:after="120" w:before="60" w:line="300"/>
        <w:jc w:val="left"/>
      </w:pPr>
      <w:r>
        <w:rPr>
          <w:color w:val="222222"/>
          <w:sz w:val="22"/>
          <w:szCs w:val="22"/>
        </w:rPr>
        <w:t xml:space="preserve">Requirements are classified by stakeholder satisfaction response: Basic (expected, absence causes dissatisfaction), Performance (linear relationship to satisfaction), Excitement (absence does not dissatisfy but presence delights). Kano complements MoSCoW: a Basic requirement is necessarily a Must-Have, but a Must-Have is not necessarily Basic. The combination is used to distinguish requirements that need to be present from requirements that need to be present in specific amounts.</w:t>
      </w:r>
    </w:p>
    <w:p>
      <w:pPr>
        <w:spacing w:after="120" w:before="60" w:line="300"/>
        <w:jc w:val="left"/>
      </w:pPr>
      <w:r>
        <w:rPr>
          <w:b/>
          <w:bCs/>
          <w:color w:val="222222"/>
          <w:sz w:val="22"/>
          <w:szCs w:val="22"/>
        </w:rPr>
        <w:t xml:space="preserve">Weighted Scoring</w:t>
      </w:r>
    </w:p>
    <w:p>
      <w:pPr>
        <w:spacing w:after="120" w:before="60" w:line="300"/>
        <w:jc w:val="left"/>
      </w:pPr>
      <w:r>
        <w:rPr>
          <w:color w:val="222222"/>
          <w:sz w:val="22"/>
          <w:szCs w:val="22"/>
        </w:rPr>
        <w:t xml:space="preserve">Each requirement carries a weight from 1 to 10 representing its relative importance within its tier. Weights are assigned by judgment with documented rationale. Weighted score equals Raw Score multiplied by Weight. Destination total is the sum of weighted scores across all requirements.</w:t>
      </w:r>
    </w:p>
    <w:p>
      <w:pPr>
        <w:spacing w:after="120" w:before="60" w:line="300"/>
        <w:jc w:val="left"/>
      </w:pPr>
      <w:r>
        <w:rPr>
          <w:b/>
          <w:bCs/>
          <w:color w:val="222222"/>
          <w:sz w:val="22"/>
          <w:szCs w:val="22"/>
        </w:rPr>
        <w:t xml:space="preserve">AHP (Analytic Hierarchy Process)</w:t>
      </w:r>
    </w:p>
    <w:p>
      <w:pPr>
        <w:spacing w:after="120" w:before="60" w:line="300"/>
        <w:jc w:val="left"/>
      </w:pPr>
      <w:r>
        <w:rPr>
          <w:color w:val="222222"/>
          <w:sz w:val="22"/>
          <w:szCs w:val="22"/>
        </w:rPr>
        <w:t xml:space="preserve">AHP is a mathematical technique for deriving weights from pairwise comparisons rather than direct assignment. It was evaluated for this assessment and deferred for two reasons. First, AHP requires stakeholder judgment at the pairwise comparison stage, which this engagement did not include. Second, sensitivity analysis showed that the ranking is robust to weight variation of the magnitude that AHP would typically produce. AHP remains a candidate for future assessment revisions when stakeholder input is available.</w:t>
      </w:r>
    </w:p>
    <w:p>
      <w:pPr>
        <w:spacing w:after="120" w:before="60" w:line="300"/>
        <w:jc w:val="left"/>
      </w:pPr>
      <w:r>
        <w:rPr>
          <w:b/>
          <w:bCs/>
          <w:color w:val="222222"/>
          <w:sz w:val="22"/>
          <w:szCs w:val="22"/>
        </w:rPr>
        <w:t xml:space="preserve">Sensitivity Analysis</w:t>
      </w:r>
    </w:p>
    <w:p>
      <w:pPr>
        <w:spacing w:after="120" w:before="60" w:line="300"/>
        <w:jc w:val="left"/>
      </w:pPr>
      <w:r>
        <w:rPr>
          <w:color w:val="222222"/>
          <w:sz w:val="22"/>
          <w:szCs w:val="22"/>
        </w:rPr>
        <w:t xml:space="preserve">Sensitivity analysis tests whether the recommendation holds when assumptions change. Scenarios include best-case assumptions for each destination, weight reallocations toward different pillars, and technology maturation timeline variations. Sensitivity analysis serves a different purpose from the scoring itself: it tests the robustness of the recommendation rather than producing it.</w:t>
      </w:r>
    </w:p>
    <w:p>
      <w:pPr>
        <w:pStyle w:val="Heading1"/>
        <w:pageBreakBefore/>
        <w:spacing w:after="180" w:before="360"/>
      </w:pPr>
      <w:r>
        <w:rPr>
          <w:b/>
          <w:bCs/>
          <w:color w:val="1F4E79"/>
          <w:sz w:val="36"/>
          <w:szCs w:val="36"/>
        </w:rPr>
        <w:t xml:space="preserve">Part 2: Scoring Mathematics</w:t>
      </w:r>
    </w:p>
    <w:p>
      <w:pPr>
        <w:pStyle w:val="Heading2"/>
        <w:spacing w:after="120" w:before="280"/>
      </w:pPr>
      <w:r>
        <w:rPr>
          <w:b/>
          <w:bCs/>
          <w:color w:val="1F4E79"/>
          <w:sz w:val="28"/>
          <w:szCs w:val="28"/>
        </w:rPr>
        <w:t xml:space="preserve">2.1 Three-Stage Scoring Pipeline</w:t>
      </w:r>
    </w:p>
    <w:p>
      <w:pPr>
        <w:spacing w:after="120" w:before="60" w:line="300"/>
        <w:jc w:val="left"/>
      </w:pPr>
      <w:r>
        <w:rPr>
          <w:color w:val="222222"/>
          <w:sz w:val="22"/>
          <w:szCs w:val="22"/>
        </w:rPr>
        <w:t xml:space="preserve">Scores flow through three stages: raw data collection, normalization to a 1-to-10 scale, and weighted aggregation. Each stage has a specific role and specific failure modes.</w:t>
      </w:r>
    </w:p>
    <w:p>
      <w:pPr>
        <w:spacing w:after="120" w:before="60" w:line="300"/>
        <w:jc w:val="left"/>
      </w:pPr>
      <w:r>
        <w:rPr>
          <w:b/>
          <w:bCs/>
          <w:color w:val="222222"/>
          <w:sz w:val="22"/>
          <w:szCs w:val="22"/>
        </w:rPr>
        <w:t xml:space="preserve">Stage 1: Raw Data Collection</w:t>
      </w:r>
    </w:p>
    <w:p>
      <w:pPr>
        <w:spacing w:after="120" w:before="60" w:line="300"/>
        <w:jc w:val="left"/>
      </w:pPr>
      <w:r>
        <w:rPr>
          <w:color w:val="222222"/>
          <w:sz w:val="22"/>
          <w:szCs w:val="22"/>
        </w:rPr>
        <w:t xml:space="preserve">Quantitative requirements derive from sourced data points stored in the evidence table. Each data point carries a value, unit, source reference, confidence level (Actual, Contracted, Projected, Estimated, or Speculative), and contextual metadata (year, provider, destination). Raw values are aggregated per destination using the aggregation method appropriate for the requirement: best-projected, best-available, median by destination, sum by destination, or expected-value-weighted maximum.</w:t>
      </w:r>
    </w:p>
    <w:p>
      <w:pPr>
        <w:spacing w:after="120" w:before="60" w:line="300"/>
        <w:jc w:val="left"/>
      </w:pPr>
      <w:r>
        <w:rPr>
          <w:color w:val="222222"/>
          <w:sz w:val="22"/>
          <w:szCs w:val="22"/>
        </w:rPr>
        <w:t xml:space="preserve">The choice of aggregation method is itself a methodology decision. For cost requirements, the assessment uses best-projected cost per destination. This is a forward-looking basis aligned with the 25-year horizon and internally consistent across destinations (all three use Starship-class transport projections). Alternative aggregations (median across all providers, actual-only) were considered and rejected because they produce inconsistent comparisons between destinations with asymmetric data coverage.</w:t>
      </w:r>
    </w:p>
    <w:p>
      <w:pPr>
        <w:spacing w:after="120" w:before="60" w:line="300"/>
        <w:jc w:val="left"/>
      </w:pPr>
      <w:r>
        <w:rPr>
          <w:b/>
          <w:bCs/>
          <w:color w:val="222222"/>
          <w:sz w:val="22"/>
          <w:szCs w:val="22"/>
        </w:rPr>
        <w:t xml:space="preserve">Stage 2: Normalization</w:t>
      </w:r>
    </w:p>
    <w:p>
      <w:pPr>
        <w:spacing w:after="120" w:before="60" w:line="300"/>
        <w:jc w:val="left"/>
      </w:pPr>
      <w:r>
        <w:rPr>
          <w:color w:val="222222"/>
          <w:sz w:val="22"/>
          <w:szCs w:val="22"/>
        </w:rPr>
        <w:t xml:space="preserve">Raw values are normalized to a 1-to-10 scale using the formula:</w:t>
      </w:r>
    </w:p>
    <w:p>
      <w:pPr>
        <w:spacing w:after="120" w:before="60" w:line="300"/>
        <w:jc w:val="left"/>
      </w:pPr>
      <w:r>
        <w:rPr>
          <w:color w:val="222222"/>
          <w:sz w:val="22"/>
          <w:szCs w:val="22"/>
        </w:rPr>
        <w:t xml:space="preserve">  For lower-is-better metrics: Normalized = 1 + 9 * (Max - Raw) / (Max - Min)</w:t>
      </w:r>
    </w:p>
    <w:p>
      <w:pPr>
        <w:spacing w:after="120" w:before="60" w:line="300"/>
        <w:jc w:val="left"/>
      </w:pPr>
      <w:r>
        <w:rPr>
          <w:color w:val="222222"/>
          <w:sz w:val="22"/>
          <w:szCs w:val="22"/>
        </w:rPr>
        <w:t xml:space="preserve">  For higher-is-better metrics: Normalized = 1 + 9 * (Raw - Min) / (Max - Min)</w:t>
      </w:r>
    </w:p>
    <w:p>
      <w:pPr>
        <w:spacing w:after="120" w:before="60" w:line="300"/>
        <w:jc w:val="left"/>
      </w:pPr>
      <w:r>
        <w:rPr>
          <w:color w:val="222222"/>
          <w:sz w:val="22"/>
          <w:szCs w:val="22"/>
        </w:rPr>
        <w:t xml:space="preserve">Where Min and Max are taken across the three destinations for the metric in question. This produces a relative score that reflects each destination's position on the continuum between the best and worst observed values.</w:t>
      </w:r>
    </w:p>
    <w:p>
      <w:pPr>
        <w:spacing w:after="120" w:before="60" w:line="300"/>
        <w:jc w:val="left"/>
      </w:pPr>
      <w:r>
        <w:rPr>
          <w:color w:val="222222"/>
          <w:sz w:val="22"/>
          <w:szCs w:val="22"/>
        </w:rPr>
        <w:t xml:space="preserve">Two edge cases receive special handling. When Min equals Max (all destinations have equal raw values), the normalization formula would produce a division by zero. The assessment returns 5.0 in this case, reflecting the neutral position when no differentiation exists. When a raw value falls below an absolute safety threshold (for example, radiation shielded dose below 50 mSv per year), the normalized score is floored at 5.0 to prevent the 1-to-10 spread from implying unsafe conditions when all destinations are within acceptable absolute bounds.</w:t>
      </w:r>
    </w:p>
    <w:p>
      <w:pPr>
        <w:spacing w:after="120" w:before="60" w:line="300"/>
        <w:jc w:val="left"/>
      </w:pPr>
      <w:r>
        <w:rPr>
          <w:b/>
          <w:bCs/>
          <w:color w:val="222222"/>
          <w:sz w:val="22"/>
          <w:szCs w:val="22"/>
        </w:rPr>
        <w:t xml:space="preserve">Stage 3: Weighted Aggregation</w:t>
      </w:r>
    </w:p>
    <w:p>
      <w:pPr>
        <w:spacing w:after="120" w:before="60" w:line="300"/>
        <w:jc w:val="left"/>
      </w:pPr>
      <w:r>
        <w:rPr>
          <w:color w:val="222222"/>
          <w:sz w:val="22"/>
          <w:szCs w:val="22"/>
        </w:rPr>
        <w:t xml:space="preserve">Weighted score equals Raw Score multiplied by Weight. Destination total equals the sum of weighted scores. Maximum possible score equals the sum of weights multiplied by 10. Percentages are computed as total divided by maximum possible.</w:t>
      </w:r>
    </w:p>
    <w:p>
      <w:pPr>
        <w:pStyle w:val="Heading2"/>
        <w:spacing w:after="120" w:before="280"/>
      </w:pPr>
      <w:r>
        <w:rPr>
          <w:b/>
          <w:bCs/>
          <w:color w:val="1F4E79"/>
          <w:sz w:val="28"/>
          <w:szCs w:val="28"/>
        </w:rPr>
        <w:t xml:space="preserve">2.2 Qualitative Scoring</w:t>
      </w:r>
    </w:p>
    <w:p>
      <w:pPr>
        <w:spacing w:after="120" w:before="60" w:line="300"/>
        <w:jc w:val="left"/>
      </w:pPr>
      <w:r>
        <w:rPr>
          <w:color w:val="222222"/>
          <w:sz w:val="22"/>
          <w:szCs w:val="22"/>
        </w:rPr>
        <w:t xml:space="preserve">Requirements that are not directly quantifiable (behavioral health, strategic positioning, technology transferability, maintenance crew time, automation capability, monitoring and incident response, closed-loop waste management, population scalability, standard interface compatibility, resource consumption vs renewal, time to operational capacity, capital to self-sustaining) are scored on the same 1-to-10 scale but with expert-rated values supported by written justifications. Justifications reference the same source registry as quantitative scoring. The qualitative rating process is:</w:t>
      </w:r>
    </w:p>
    <w:p>
      <w:pPr>
        <w:spacing w:after="120" w:before="60" w:line="300"/>
        <w:jc w:val="left"/>
      </w:pPr>
      <w:r>
        <w:rPr>
          <w:color w:val="222222"/>
          <w:sz w:val="22"/>
          <w:szCs w:val="22"/>
        </w:rPr>
        <w:t xml:space="preserve">1. Research relevant sources for each destination.</w:t>
      </w:r>
    </w:p>
    <w:p>
      <w:pPr>
        <w:spacing w:after="120" w:before="60" w:line="300"/>
        <w:jc w:val="left"/>
      </w:pPr>
      <w:r>
        <w:rPr>
          <w:color w:val="222222"/>
          <w:sz w:val="22"/>
          <w:szCs w:val="22"/>
        </w:rPr>
        <w:t xml:space="preserve">2. Draft a justification text that cites sources and makes an explicit claim about the destination's relative performance.</w:t>
      </w:r>
    </w:p>
    <w:p>
      <w:pPr>
        <w:spacing w:after="120" w:before="60" w:line="300"/>
        <w:jc w:val="left"/>
      </w:pPr>
      <w:r>
        <w:rPr>
          <w:color w:val="222222"/>
          <w:sz w:val="22"/>
          <w:szCs w:val="22"/>
        </w:rPr>
        <w:t xml:space="preserve">3. Assign a score reflecting the justification.</w:t>
      </w:r>
    </w:p>
    <w:p>
      <w:pPr>
        <w:spacing w:after="120" w:before="60" w:line="300"/>
        <w:jc w:val="left"/>
      </w:pPr>
      <w:r>
        <w:rPr>
          <w:color w:val="222222"/>
          <w:sz w:val="22"/>
          <w:szCs w:val="22"/>
        </w:rPr>
        <w:t xml:space="preserve">4. Cross-check against the other destinations to ensure the 1-to-10 spread is meaningful and defensible.</w:t>
      </w:r>
    </w:p>
    <w:p>
      <w:pPr>
        <w:spacing w:after="120" w:before="60" w:line="300"/>
        <w:jc w:val="left"/>
      </w:pPr>
      <w:r>
        <w:rPr>
          <w:color w:val="222222"/>
          <w:sz w:val="22"/>
          <w:szCs w:val="22"/>
        </w:rPr>
        <w:t xml:space="preserve">5. Document all three scores and justifications side by side in the qualitative justifications sheet.</w:t>
      </w:r>
    </w:p>
    <w:p>
      <w:pPr>
        <w:spacing w:after="120" w:before="60" w:line="300"/>
        <w:jc w:val="left"/>
      </w:pPr>
      <w:r>
        <w:rPr>
          <w:color w:val="222222"/>
          <w:sz w:val="22"/>
          <w:szCs w:val="22"/>
        </w:rPr>
        <w:t xml:space="preserve">Qualitative scoring is less rigorous than quantitative scoring. The assessment clearly marks which requirements are qualitative and which are quantitative so readers can weight their confidence accordingly.</w:t>
      </w:r>
    </w:p>
    <w:p>
      <w:pPr>
        <w:pStyle w:val="Heading2"/>
        <w:spacing w:after="120" w:before="280"/>
      </w:pPr>
      <w:r>
        <w:rPr>
          <w:b/>
          <w:bCs/>
          <w:color w:val="1F4E79"/>
          <w:sz w:val="28"/>
          <w:szCs w:val="28"/>
        </w:rPr>
        <w:t xml:space="preserve">2.3 Gate Check Logic</w:t>
      </w:r>
    </w:p>
    <w:p>
      <w:pPr>
        <w:spacing w:after="120" w:before="60" w:line="300"/>
        <w:jc w:val="left"/>
      </w:pPr>
      <w:r>
        <w:rPr>
          <w:color w:val="222222"/>
          <w:sz w:val="22"/>
          <w:szCs w:val="22"/>
        </w:rPr>
        <w:t xml:space="preserve">Before weighted scores are aggregated, destinations are checked against Must-Have requirements. A destination that fails any Must-Have is flagged regardless of its total score. The gate check uses a score threshold of 3 out of 10: a requirement is considered failed if the normalized score is below 3. Hard physical constraints (such as native gravity below the 0.67G threshold) are additionally flagged as failures even if the normalized score would otherwise be above 3, because relative comparison can produce misleadingly high scores when all destinations are below an absolute threshold.</w:t>
      </w:r>
    </w:p>
    <w:p>
      <w:pPr>
        <w:spacing w:after="120" w:before="60" w:line="300"/>
        <w:jc w:val="left"/>
      </w:pPr>
      <w:r>
        <w:rPr>
          <w:color w:val="222222"/>
          <w:sz w:val="22"/>
          <w:szCs w:val="22"/>
        </w:rPr>
        <w:t xml:space="preserve">The gate check is reported alongside the weighted totals. A destination that passes all gates but has a lower weighted total is still a viable primary candidate. A destination that fails gates but has a high weighted total is not viable as a sole solution regardless of its score.</w:t>
      </w:r>
    </w:p>
    <w:p>
      <w:pPr>
        <w:pStyle w:val="Heading1"/>
        <w:pageBreakBefore/>
        <w:spacing w:after="180" w:before="360"/>
      </w:pPr>
      <w:r>
        <w:rPr>
          <w:b/>
          <w:bCs/>
          <w:color w:val="1F4E79"/>
          <w:sz w:val="36"/>
          <w:szCs w:val="36"/>
        </w:rPr>
        <w:t xml:space="preserve">Part 3: Data Collection and Validation</w:t>
      </w:r>
    </w:p>
    <w:p>
      <w:pPr>
        <w:pStyle w:val="Heading2"/>
        <w:spacing w:after="120" w:before="280"/>
      </w:pPr>
      <w:r>
        <w:rPr>
          <w:b/>
          <w:bCs/>
          <w:color w:val="1F4E79"/>
          <w:sz w:val="28"/>
          <w:szCs w:val="28"/>
        </w:rPr>
        <w:t xml:space="preserve">3.1 Data Sources</w:t>
      </w:r>
    </w:p>
    <w:p>
      <w:pPr>
        <w:spacing w:after="120" w:before="60" w:line="300"/>
        <w:jc w:val="left"/>
      </w:pPr>
      <w:r>
        <w:rPr>
          <w:color w:val="222222"/>
          <w:sz w:val="22"/>
          <w:szCs w:val="22"/>
        </w:rPr>
        <w:t xml:space="preserve">Evidence for this assessment came from three tiers of sources, in declining order of authority:</w:t>
      </w:r>
    </w:p>
    <w:p>
      <w:pPr>
        <w:spacing w:after="120" w:before="60" w:line="300"/>
        <w:jc w:val="left"/>
      </w:pPr>
      <w:r>
        <w:rPr>
          <w:color w:val="222222"/>
          <w:sz w:val="22"/>
          <w:szCs w:val="22"/>
        </w:rPr>
        <w:t xml:space="preserve">First-tier sources are primary: agency technical reports, peer-reviewed research, mission telemetry, and standards documents. Examples include NASA-STD-3001 (crew health standard), the MSL/Curiosity RAD instrument data (Mars surface radiation), LCROSS mission data (lunar water ice), and the JAXA MHU-8 dose-response study (partial gravity effects on mice).</w:t>
      </w:r>
    </w:p>
    <w:p>
      <w:pPr>
        <w:spacing w:after="120" w:before="60" w:line="300"/>
        <w:jc w:val="left"/>
      </w:pPr>
      <w:r>
        <w:rPr>
          <w:color w:val="222222"/>
          <w:sz w:val="22"/>
          <w:szCs w:val="22"/>
        </w:rPr>
        <w:t xml:space="preserve">Second-tier sources are official but less primary: agency press releases, program documentation, and published cost figures. Examples include NASA Office of Inspector General reports on ISS and Artemis costs, SpaceX Starship payload and cost projections, and ESA published pricing for Ariane 6.</w:t>
      </w:r>
    </w:p>
    <w:p>
      <w:pPr>
        <w:spacing w:after="120" w:before="60" w:line="300"/>
        <w:jc w:val="left"/>
      </w:pPr>
      <w:r>
        <w:rPr>
          <w:color w:val="222222"/>
          <w:sz w:val="22"/>
          <w:szCs w:val="22"/>
        </w:rPr>
        <w:t xml:space="preserve">Third-tier sources are commercial and analytical: industry reports, commercial station specifications, and analyst estimates. These are used where primary data is unavailable, which is common for private-sector cost and capacity figures. Third-tier sources are clearly marked in the source registry and their confidence level is rated Medium.</w:t>
      </w:r>
    </w:p>
    <w:p>
      <w:pPr>
        <w:spacing w:after="120" w:before="60" w:line="300"/>
        <w:jc w:val="left"/>
      </w:pPr>
      <w:r>
        <w:rPr>
          <w:color w:val="222222"/>
          <w:sz w:val="22"/>
          <w:szCs w:val="22"/>
        </w:rPr>
        <w:t xml:space="preserve">No fourth-tier sources (advocacy content, speculative essays, non-expert commentary) are included in the evidence base. The evidence contribution feature in the interactive tool provides a pathway for new primary sources to be proposed and reviewed, but the canonical evidence base is restricted to first, second, and third-tier material.</w:t>
      </w:r>
    </w:p>
    <w:p>
      <w:pPr>
        <w:pStyle w:val="Heading2"/>
        <w:spacing w:after="120" w:before="280"/>
      </w:pPr>
      <w:r>
        <w:rPr>
          <w:b/>
          <w:bCs/>
          <w:color w:val="1F4E79"/>
          <w:sz w:val="28"/>
          <w:szCs w:val="28"/>
        </w:rPr>
        <w:t xml:space="preserve">3.2 Multi-Model Research Pipeline</w:t>
      </w:r>
    </w:p>
    <w:p>
      <w:pPr>
        <w:spacing w:after="120" w:before="60" w:line="300"/>
        <w:jc w:val="left"/>
      </w:pPr>
      <w:r>
        <w:rPr>
          <w:color w:val="222222"/>
          <w:sz w:val="22"/>
          <w:szCs w:val="22"/>
        </w:rPr>
        <w:t xml:space="preserve">Evidence collection was coordinated across multiple AI systems with role-specific prompts. The pipeline is documented because it is a methodological innovation worth reuse and because readers evaluating the work should understand how evidence was gathered.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Role</w:t>
            </w:r>
          </w:p>
        </w:tc>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Model Used</w:t>
            </w:r>
          </w:p>
        </w:tc>
        <w:tc>
          <w:tcPr>
            <w:tcW w:type="dxa" w:w="3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Why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Broad data gathering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Claude and Gemini with anti-hallucination prompts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Strong web search and synthesis, strict source requirements minimize invented data</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Analytical integration</w:t>
            </w:r>
          </w:p>
        </w:tc>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Claude Opus with project context</w:t>
            </w:r>
          </w:p>
        </w:tc>
        <w:tc>
          <w:tcPr>
            <w:tcW w:type="dxa" w:w="3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Consistent voice and framework awareness across the assessment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Cross-validation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Gemini Pro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Independent model reduces single-source bias in conclusions</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Deep research on specific questions</w:t>
            </w:r>
          </w:p>
        </w:tc>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Claude with web search and research tool</w:t>
            </w:r>
          </w:p>
        </w:tc>
        <w:tc>
          <w:tcPr>
            <w:tcW w:type="dxa" w:w="3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Focused investigation with source-grounded output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Narrative review</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Human analyst (Craig) and data analyst (Zoya)</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Final review and rejection of low-quality inputs</w:t>
            </w:r>
          </w:p>
        </w:tc>
      </w:tr>
    </w:tbl>
    <w:p>
      <w:pPr>
        <w:spacing w:after="240" w:before="0"/>
      </w:pPr>
      <w:r>
        <w:rPr>
          <w:sz w:val="22"/>
          <w:szCs w:val="22"/>
        </w:rPr>
        <w:t xml:space="preserve"/>
      </w:r>
    </w:p>
    <w:p>
      <w:pPr>
        <w:spacing w:after="120" w:before="60" w:line="300"/>
        <w:jc w:val="left"/>
      </w:pPr>
      <w:r>
        <w:rPr>
          <w:color w:val="222222"/>
          <w:sz w:val="22"/>
          <w:szCs w:val="22"/>
        </w:rPr>
        <w:t xml:space="preserve">The key discipline was role separation. A model gathering broad data was not the same instance that made analytical judgments about that data. This separation reduces the risk of confabulation and ensures that each step in the pipeline produces an auditable artifact. All outputs were reviewed before inclusion in the canonical evidence base.</w:t>
      </w:r>
    </w:p>
    <w:p>
      <w:pPr>
        <w:pStyle w:val="Heading2"/>
        <w:spacing w:after="120" w:before="280"/>
      </w:pPr>
      <w:r>
        <w:rPr>
          <w:b/>
          <w:bCs/>
          <w:color w:val="1F4E79"/>
          <w:sz w:val="28"/>
          <w:szCs w:val="28"/>
        </w:rPr>
        <w:t xml:space="preserve">3.3 Validation Gates</w:t>
      </w:r>
    </w:p>
    <w:p>
      <w:pPr>
        <w:spacing w:after="120" w:before="60" w:line="300"/>
        <w:jc w:val="left"/>
      </w:pPr>
      <w:r>
        <w:rPr>
          <w:color w:val="222222"/>
          <w:sz w:val="22"/>
          <w:szCs w:val="22"/>
        </w:rPr>
        <w:t xml:space="preserve">Every data point entering the evidence table passed through four validation gates:</w:t>
      </w:r>
    </w:p>
    <w:p>
      <w:pPr>
        <w:spacing w:after="120" w:before="60" w:line="300"/>
        <w:jc w:val="left"/>
      </w:pPr>
      <w:r>
        <w:rPr>
          <w:color w:val="222222"/>
          <w:sz w:val="22"/>
          <w:szCs w:val="22"/>
        </w:rPr>
        <w:t xml:space="preserve">Source verification: the URL resolves, the DOI is valid, or the publication can be identified. Data points without traceable sources are rejected.</w:t>
      </w:r>
    </w:p>
    <w:p>
      <w:pPr>
        <w:spacing w:after="120" w:before="60" w:line="300"/>
        <w:jc w:val="left"/>
      </w:pPr>
      <w:r>
        <w:rPr>
          <w:color w:val="222222"/>
          <w:sz w:val="22"/>
          <w:szCs w:val="22"/>
        </w:rPr>
        <w:t xml:space="preserve">Claim match: the data point actually appears in the source and supports the claim it is being used for. This gate catches the common failure mode of AI-generated citations that look plausible but do not match the source content.</w:t>
      </w:r>
    </w:p>
    <w:p>
      <w:pPr>
        <w:spacing w:after="120" w:before="60" w:line="300"/>
        <w:jc w:val="left"/>
      </w:pPr>
      <w:r>
        <w:rPr>
          <w:color w:val="222222"/>
          <w:sz w:val="22"/>
          <w:szCs w:val="22"/>
        </w:rPr>
        <w:t xml:space="preserve">Relevance: the data point is applicable to the requirement it is being attached to. A data point about lunar regolith mass is not relevant to a requirement about communication latency, even if both are scientifically valid.</w:t>
      </w:r>
    </w:p>
    <w:p>
      <w:pPr>
        <w:spacing w:after="120" w:before="60" w:line="300"/>
        <w:jc w:val="left"/>
      </w:pPr>
      <w:r>
        <w:rPr>
          <w:color w:val="222222"/>
          <w:sz w:val="22"/>
          <w:szCs w:val="22"/>
        </w:rPr>
        <w:t xml:space="preserve">Confidence labeling: the data point is labeled with a confidence level reflecting its authority. Aspirational corporate pricing and actual operational pricing are both useful but carry different confidence levels and are filtered differently in the aggregation step.</w:t>
      </w:r>
    </w:p>
    <w:p>
      <w:pPr>
        <w:pStyle w:val="Heading2"/>
        <w:spacing w:after="120" w:before="280"/>
      </w:pPr>
      <w:r>
        <w:rPr>
          <w:b/>
          <w:bCs/>
          <w:color w:val="1F4E79"/>
          <w:sz w:val="28"/>
          <w:szCs w:val="28"/>
        </w:rPr>
        <w:t xml:space="preserve">3.4 Known Limitations in the Evidence Base</w:t>
      </w:r>
    </w:p>
    <w:p>
      <w:pPr>
        <w:spacing w:after="120" w:before="60" w:line="300"/>
        <w:jc w:val="left"/>
      </w:pPr>
      <w:r>
        <w:rPr>
          <w:color w:val="222222"/>
          <w:sz w:val="22"/>
          <w:szCs w:val="22"/>
        </w:rPr>
        <w:t xml:space="preserve">Three limitations in the current evidence base are worth explicit documentation:</w:t>
      </w:r>
    </w:p>
    <w:p>
      <w:pPr>
        <w:spacing w:after="120" w:before="60" w:line="300"/>
        <w:jc w:val="left"/>
      </w:pPr>
      <w:r>
        <w:rPr>
          <w:color w:val="222222"/>
          <w:sz w:val="22"/>
          <w:szCs w:val="22"/>
        </w:rPr>
        <w:t xml:space="preserve">Asymmetric data coverage. Low Earth orbit destinations have rich data coverage (eleven transport cost rows, seven operating cost rows, multiple commercial providers with published pricing). Moon and Mars destinations have sparse coverage (typically one or two data points per metric because only a small number of programs have produced quantitative projections). This asymmetry is handled by aggregation method choice (best projected per destination) rather than by attempting medians across inconsistent sample sizes.</w:t>
      </w:r>
    </w:p>
    <w:p>
      <w:pPr>
        <w:spacing w:after="120" w:before="60" w:line="300"/>
        <w:jc w:val="left"/>
      </w:pPr>
      <w:r>
        <w:rPr>
          <w:color w:val="222222"/>
          <w:sz w:val="22"/>
          <w:szCs w:val="22"/>
        </w:rPr>
        <w:t xml:space="preserve">Speculative versus actual revenue. Revenue data mixes existing commercial markets (space tourism, satellite servicing) with emerging markets (microgravity manufacturing) and speculative markets (lunar He-3, Mars IP and media rights). The evidence table separates these into Baseline (Existing + Emerging) and Upside (Speculative) tiers. Scoring uses Baseline only. Upside is documented as sensitivity.</w:t>
      </w:r>
    </w:p>
    <w:p>
      <w:pPr>
        <w:spacing w:after="120" w:before="60" w:line="300"/>
        <w:jc w:val="left"/>
      </w:pPr>
      <w:r>
        <w:rPr>
          <w:color w:val="222222"/>
          <w:sz w:val="22"/>
          <w:szCs w:val="22"/>
        </w:rPr>
        <w:t xml:space="preserve">Failure cost without probability. Early versions of the framework used worst-case impact figures without probability weighting. This was corrected in the current version by adding an annual probability column and scoring on expected value (cost multiplied by probability). The probability estimates are judgment-based and documented as an open refinement opportunity.</w:t>
      </w:r>
    </w:p>
    <w:p>
      <w:pPr>
        <w:pStyle w:val="Heading1"/>
        <w:pageBreakBefore/>
        <w:spacing w:after="180" w:before="360"/>
      </w:pPr>
      <w:r>
        <w:rPr>
          <w:b/>
          <w:bCs/>
          <w:color w:val="1F4E79"/>
          <w:sz w:val="36"/>
          <w:szCs w:val="36"/>
        </w:rPr>
        <w:t xml:space="preserve">Part 4: Gravity Threshold Derivation (Worked Example)</w:t>
      </w:r>
    </w:p>
    <w:p>
      <w:pPr>
        <w:spacing w:after="120" w:before="60" w:line="300"/>
        <w:jc w:val="left"/>
      </w:pPr>
      <w:r>
        <w:rPr>
          <w:color w:val="222222"/>
          <w:sz w:val="22"/>
          <w:szCs w:val="22"/>
        </w:rPr>
        <w:t xml:space="preserve">The gravity threshold is the most consequential single requirement in the assessment because it is the primary differentiator between destinations that can and cannot support permanent human habitation. This section walks through the full derivation of the 0.67G threshold from available research. It serves as a worked example of how the general methodology handles uncertainty, extrapolation, and conservative defaults.</w:t>
      </w:r>
    </w:p>
    <w:p>
      <w:pPr>
        <w:pStyle w:val="Heading2"/>
        <w:spacing w:after="120" w:before="280"/>
      </w:pPr>
      <w:r>
        <w:rPr>
          <w:b/>
          <w:bCs/>
          <w:color w:val="1F4E79"/>
          <w:sz w:val="28"/>
          <w:szCs w:val="28"/>
        </w:rPr>
        <w:t xml:space="preserve">4.1 The Question</w:t>
      </w:r>
    </w:p>
    <w:p>
      <w:pPr>
        <w:spacing w:after="120" w:before="60" w:line="300"/>
        <w:jc w:val="left"/>
      </w:pPr>
      <w:r>
        <w:rPr>
          <w:color w:val="222222"/>
          <w:sz w:val="22"/>
          <w:szCs w:val="22"/>
        </w:rPr>
        <w:t xml:space="preserve">What level of gravity is required for sustained permanent human habitation, including multi-generational development? The word permanent is critical. Short-duration missions at reduced gravity have been performed (Apollo lunar surface missions, a few days each) and long-duration microgravity missions have been performed (ISS, up to approximately one year). Neither answers the question of permanent habitation at partial gravity.</w:t>
      </w:r>
    </w:p>
    <w:p>
      <w:pPr>
        <w:pStyle w:val="Heading2"/>
        <w:spacing w:after="120" w:before="280"/>
      </w:pPr>
      <w:r>
        <w:rPr>
          <w:b/>
          <w:bCs/>
          <w:color w:val="1F4E79"/>
          <w:sz w:val="28"/>
          <w:szCs w:val="28"/>
        </w:rPr>
        <w:t xml:space="preserve">4.2 The Research Landscape</w:t>
      </w:r>
    </w:p>
    <w:p>
      <w:pPr>
        <w:spacing w:after="120" w:before="60" w:line="300"/>
        <w:jc w:val="left"/>
      </w:pPr>
      <w:r>
        <w:rPr>
          <w:color w:val="222222"/>
          <w:sz w:val="22"/>
          <w:szCs w:val="22"/>
        </w:rPr>
        <w:t xml:space="preserve">Research on gravity effects on mammalian physiology can be organized by the actual gravity environment tested. This organization matters because findings at one gravity level do not directly generalize to other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Gravity Environment</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Research Setting</w:t>
            </w:r>
          </w:p>
        </w:tc>
        <w:tc>
          <w:tcPr>
            <w:tcW w:type="dxa" w:w="4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Key Finding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0G (microgravity)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ISS, Cosmos, orbital research satellites</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Severe musculoskeletal deconditioning. Reproduction fails (rat mating studies produced no births).</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0.16G (Moon)</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Apollo missions (days only); JAXA MHU-2 centrifuge</w:t>
            </w:r>
          </w:p>
        </w:tc>
        <w:tc>
          <w:tcPr>
            <w:tcW w:type="dxa" w:w="4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Muscle atrophy prevented in mice but myofiber and gene expression changes persist. No long-duration human data.</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0.33G (~Mars)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JAXA MHU-8 mouse centrifuge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Partially mitigates spaceflight-induced muscle atrophy. Does not fully prevent it.</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0.38G (Mars)</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No direct research</w:t>
            </w:r>
          </w:p>
        </w:tc>
        <w:tc>
          <w:tcPr>
            <w:tcW w:type="dxa" w:w="4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Extrapolated from 0.33G data and ground-based partial weight-bearing models.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0.67G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JAXA MHU-8 mouse centrifuge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Full prevention of spaceflight-induced muscle atrophy. Critical threshold.</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1G</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Earth surface baseline; 1G centrifuge controls on ISS</w:t>
            </w:r>
          </w:p>
        </w:tc>
        <w:tc>
          <w:tcPr>
            <w:tcW w:type="dxa" w:w="4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Normal physiological function confirmed.</w:t>
            </w:r>
          </w:p>
        </w:tc>
      </w:tr>
    </w:tbl>
    <w:p>
      <w:pPr>
        <w:spacing w:after="240" w:before="0"/>
      </w:pPr>
      <w:r>
        <w:rPr>
          <w:sz w:val="22"/>
          <w:szCs w:val="22"/>
        </w:rPr>
        <w:t xml:space="preserve"/>
      </w:r>
    </w:p>
    <w:p>
      <w:pPr>
        <w:pStyle w:val="Heading2"/>
        <w:spacing w:after="120" w:before="280"/>
      </w:pPr>
      <w:r>
        <w:rPr>
          <w:b/>
          <w:bCs/>
          <w:color w:val="1F4E79"/>
          <w:sz w:val="28"/>
          <w:szCs w:val="28"/>
        </w:rPr>
        <w:t xml:space="preserve">4.3 The Direct Evidence Base</w:t>
      </w:r>
    </w:p>
    <w:p>
      <w:pPr>
        <w:spacing w:after="120" w:before="60" w:line="300"/>
        <w:jc w:val="left"/>
      </w:pPr>
      <w:r>
        <w:rPr>
          <w:color w:val="222222"/>
          <w:sz w:val="22"/>
          <w:szCs w:val="22"/>
        </w:rPr>
        <w:t xml:space="preserve">Four studies provide direct evidence about gravity thresholds in mammalian subjects:</w:t>
      </w:r>
    </w:p>
    <w:p>
      <w:pPr>
        <w:spacing w:after="120" w:before="60" w:line="300"/>
        <w:jc w:val="left"/>
      </w:pPr>
      <w:r>
        <w:rPr>
          <w:b/>
          <w:bCs/>
          <w:color w:val="222222"/>
          <w:sz w:val="22"/>
          <w:szCs w:val="22"/>
        </w:rPr>
        <w:t xml:space="preserve">URI/Harvard/JAXA MHU-8 Study (Mortreux, Bouxsein et al., 2024)</w:t>
      </w:r>
    </w:p>
    <w:p>
      <w:pPr>
        <w:spacing w:after="120" w:before="60" w:line="300"/>
        <w:jc w:val="left"/>
      </w:pPr>
      <w:r>
        <w:rPr>
          <w:color w:val="222222"/>
          <w:sz w:val="22"/>
          <w:szCs w:val="22"/>
        </w:rPr>
        <w:t xml:space="preserve">This is the most directly relevant study in the evidence base. Mice were exposed to four gravity levels (0G, 0.33G, 0.67G, 1G) on the ISS for 28 days using the JAXA Multiple Artificial-gravity Research System centrifuge. Musculoskeletal outcomes were measured on return to Earth. The key finding: 0.67G was the minimum level at which spaceflight-induced muscle atrophy was fully prevented. 0.33G provided partial mitigation but not full prevention.</w:t>
      </w:r>
    </w:p>
    <w:p>
      <w:pPr>
        <w:spacing w:after="120" w:before="60" w:line="300"/>
        <w:jc w:val="left"/>
      </w:pPr>
      <w:r>
        <w:rPr>
          <w:b/>
          <w:bCs/>
          <w:color w:val="222222"/>
          <w:sz w:val="22"/>
          <w:szCs w:val="22"/>
        </w:rPr>
        <w:t xml:space="preserve">JAXA MHU-2 Study (Shiba et al., 2019)</w:t>
      </w:r>
    </w:p>
    <w:p>
      <w:pPr>
        <w:spacing w:after="120" w:before="60" w:line="300"/>
        <w:jc w:val="left"/>
      </w:pPr>
      <w:r>
        <w:rPr>
          <w:color w:val="222222"/>
          <w:sz w:val="22"/>
          <w:szCs w:val="22"/>
        </w:rPr>
        <w:t xml:space="preserve">Mice were exposed to 0G and 0.16G (lunar gravity) on the ISS. The 0.16G group showed prevented muscle atrophy relative to 0G but continued myofiber-level changes and gene expression differences. This establishes that 0.16G is above the threshold for gross muscle preservation but below the threshold for complete physiological normalization.</w:t>
      </w:r>
    </w:p>
    <w:p>
      <w:pPr>
        <w:spacing w:after="120" w:before="60" w:line="300"/>
        <w:jc w:val="left"/>
      </w:pPr>
      <w:r>
        <w:rPr>
          <w:b/>
          <w:bCs/>
          <w:color w:val="222222"/>
          <w:sz w:val="22"/>
          <w:szCs w:val="22"/>
        </w:rPr>
        <w:t xml:space="preserve">Bouxsein 2020 Rat Hindlimb Suspension Study</w:t>
      </w:r>
    </w:p>
    <w:p>
      <w:pPr>
        <w:spacing w:after="120" w:before="60" w:line="300"/>
        <w:jc w:val="left"/>
      </w:pPr>
      <w:r>
        <w:rPr>
          <w:color w:val="222222"/>
          <w:sz w:val="22"/>
          <w:szCs w:val="22"/>
        </w:rPr>
        <w:t xml:space="preserve">Rats were exposed to ground-based partial weight-bearing at 20%, 40%, 70%, and 100% body weight. Bone density loss was proportional to the degree of unloading, with no observed plateau within the 4-week study duration. This establishes the dose-response relationship: less loading produces more loss, without evidence of a floor effect.</w:t>
      </w:r>
    </w:p>
    <w:p>
      <w:pPr>
        <w:spacing w:after="120" w:before="60" w:line="300"/>
        <w:jc w:val="left"/>
      </w:pPr>
      <w:r>
        <w:rPr>
          <w:b/>
          <w:bCs/>
          <w:color w:val="222222"/>
          <w:sz w:val="22"/>
          <w:szCs w:val="22"/>
        </w:rPr>
        <w:t xml:space="preserve">Cavanagh NASA ICES-2021-142 Meta-Analysis</w:t>
      </w:r>
    </w:p>
    <w:p>
      <w:pPr>
        <w:spacing w:after="120" w:before="60" w:line="300"/>
        <w:jc w:val="left"/>
      </w:pPr>
      <w:r>
        <w:rPr>
          <w:color w:val="222222"/>
          <w:sz w:val="22"/>
          <w:szCs w:val="22"/>
        </w:rPr>
        <w:t xml:space="preserve">A meta-analysis of partial gravity literature, synthesizing ground-based and space-based studies. The conclusion: partial gravity exposure below 0.4G appears insufficient for maintaining musculoskeletal and cardiopulmonary conditioning over the long term. This finding supports the dose-response framing even when specific thresholds are contested.</w:t>
      </w:r>
    </w:p>
    <w:p>
      <w:pPr>
        <w:pStyle w:val="Heading2"/>
        <w:spacing w:after="120" w:before="280"/>
      </w:pPr>
      <w:r>
        <w:rPr>
          <w:b/>
          <w:bCs/>
          <w:color w:val="1F4E79"/>
          <w:sz w:val="28"/>
          <w:szCs w:val="28"/>
        </w:rPr>
        <w:t xml:space="preserve">4.4 What the Evidence Does Not Show</w:t>
      </w:r>
    </w:p>
    <w:p>
      <w:pPr>
        <w:spacing w:after="120" w:before="60" w:line="300"/>
        <w:jc w:val="left"/>
      </w:pPr>
      <w:r>
        <w:rPr>
          <w:color w:val="222222"/>
          <w:sz w:val="22"/>
          <w:szCs w:val="22"/>
        </w:rPr>
        <w:t xml:space="preserve">Explicit attention to evidence gaps is central to the conservative-default approach. Three gaps are material:</w:t>
      </w:r>
    </w:p>
    <w:p>
      <w:pPr>
        <w:spacing w:after="120" w:before="60" w:line="300"/>
        <w:jc w:val="left"/>
      </w:pPr>
      <w:r>
        <w:rPr>
          <w:color w:val="222222"/>
          <w:sz w:val="22"/>
          <w:szCs w:val="22"/>
        </w:rPr>
        <w:t xml:space="preserve">No human study has tested partial gravity longer than several days. Apollo lunar surface missions were too brief to produce statistically significant physiological data. ISS missions are microgravity, not partial gravity. The longest mammalian studies at partial gravity are measured in weeks of mouse exposure.</w:t>
      </w:r>
    </w:p>
    <w:p>
      <w:pPr>
        <w:spacing w:after="120" w:before="60" w:line="300"/>
        <w:jc w:val="left"/>
      </w:pPr>
      <w:r>
        <w:rPr>
          <w:color w:val="222222"/>
          <w:sz w:val="22"/>
          <w:szCs w:val="22"/>
        </w:rPr>
        <w:t xml:space="preserve">No mammalian study has tested reproduction or development at partial gravity. Cosmos 1129 (1979) established that rats do not successfully reproduce in microgravity. This is a microgravity finding, not a partial-gravity finding. The extrapolation from 0G reproductive failure to Mars-gravity or Moon-gravity reproductive failure is not supported by direct evidence. Neither is the extrapolation from 0G reproductive failure to Mars-gravity or Moon-gravity reproductive success. The question has simply not been tested.</w:t>
      </w:r>
    </w:p>
    <w:p>
      <w:pPr>
        <w:spacing w:after="120" w:before="60" w:line="300"/>
        <w:jc w:val="left"/>
      </w:pPr>
      <w:r>
        <w:rPr>
          <w:color w:val="222222"/>
          <w:sz w:val="22"/>
          <w:szCs w:val="22"/>
        </w:rPr>
        <w:t xml:space="preserve">No mammalian study has completed a full life cycle at any partial gravity. No mouse has been conceived, gestated, born, matured, and reproduced at partial gravity. This is the critical gap for permanent habitation assessment. Until it is closed, any conclusion about the viability of multi-generational partial-gravity habitation is extrapolation.</w:t>
      </w:r>
    </w:p>
    <w:p>
      <w:pPr>
        <w:pStyle w:val="Heading2"/>
        <w:spacing w:after="120" w:before="280"/>
      </w:pPr>
      <w:r>
        <w:rPr>
          <w:b/>
          <w:bCs/>
          <w:color w:val="1F4E79"/>
          <w:sz w:val="28"/>
          <w:szCs w:val="28"/>
        </w:rPr>
        <w:t xml:space="preserve">4.5 How the Threshold Was Chosen</w:t>
      </w:r>
    </w:p>
    <w:p>
      <w:pPr>
        <w:spacing w:after="120" w:before="60" w:line="300"/>
        <w:jc w:val="left"/>
      </w:pPr>
      <w:r>
        <w:rPr>
          <w:color w:val="222222"/>
          <w:sz w:val="22"/>
          <w:szCs w:val="22"/>
        </w:rPr>
        <w:t xml:space="preserve">The 0.67G threshold was chosen for three reasons:</w:t>
      </w:r>
    </w:p>
    <w:p>
      <w:pPr>
        <w:spacing w:after="120" w:before="60" w:line="300"/>
        <w:jc w:val="left"/>
      </w:pPr>
      <w:r>
        <w:rPr>
          <w:color w:val="222222"/>
          <w:sz w:val="22"/>
          <w:szCs w:val="22"/>
        </w:rPr>
        <w:t xml:space="preserve">First, it is the lowest gravity level at which direct mammalian research has demonstrated full prevention of the primary documented physiological harm (spaceflight-induced muscle atrophy). Lower levels (0.33G, 0.16G) show partial mitigation but continuing deterioration. The dose-response literature supports treating 0.67G as a meaningful inflection point rather than an arbitrary cutoff.</w:t>
      </w:r>
    </w:p>
    <w:p>
      <w:pPr>
        <w:spacing w:after="120" w:before="60" w:line="300"/>
        <w:jc w:val="left"/>
      </w:pPr>
      <w:r>
        <w:rPr>
          <w:color w:val="222222"/>
          <w:sz w:val="22"/>
          <w:szCs w:val="22"/>
        </w:rPr>
        <w:t xml:space="preserve">Second, it is a conservative default for a decision that is difficult to reverse. A colony established under the assumption that Mars gravity is sufficient cannot be recalled if that assumption proves wrong. A colony established under the assumption that 1G-equivalent is required can be relaxed later if research proves it unnecessary. The asymmetry of reversibility argues for the stricter threshold.</w:t>
      </w:r>
    </w:p>
    <w:p>
      <w:pPr>
        <w:spacing w:after="120" w:before="60" w:line="300"/>
        <w:jc w:val="left"/>
      </w:pPr>
      <w:r>
        <w:rPr>
          <w:color w:val="222222"/>
          <w:sz w:val="22"/>
          <w:szCs w:val="22"/>
        </w:rPr>
        <w:t xml:space="preserve">Third, the 0.67G threshold disqualifies Mars (0.38G) and Moon (0.16G) as permanent habitation destinations but does not disqualify them from supporting roles. The threshold is decision-relevant: it separates destinations that might be usable with substantial human physiological compromise from destinations that are usable without compromise. Since the assessment is for permanent multi-generational habitation and not temporary outposts, the stricter standard is the appropriate one.</w:t>
      </w:r>
    </w:p>
    <w:p>
      <w:pPr>
        <w:pStyle w:val="Heading2"/>
        <w:spacing w:after="120" w:before="280"/>
      </w:pPr>
      <w:r>
        <w:rPr>
          <w:b/>
          <w:bCs/>
          <w:color w:val="1F4E79"/>
          <w:sz w:val="28"/>
          <w:szCs w:val="28"/>
        </w:rPr>
        <w:t xml:space="preserve">4.6 How This Propagates Through the Framework</w:t>
      </w:r>
    </w:p>
    <w:p>
      <w:pPr>
        <w:spacing w:after="120" w:before="60" w:line="300"/>
        <w:jc w:val="left"/>
      </w:pPr>
      <w:r>
        <w:rPr>
          <w:color w:val="222222"/>
          <w:sz w:val="22"/>
          <w:szCs w:val="22"/>
        </w:rPr>
        <w:t xml:space="preserve">The 0.67G threshold enters the framework as the criterion for the Must-Have gravity requirement. Any destination with native gravity below 0.67G fails the gate for primary habitation use. This does not remove those destinations from the framework; it changes their role.</w:t>
      </w:r>
    </w:p>
    <w:p>
      <w:pPr>
        <w:spacing w:after="120" w:before="60" w:line="300"/>
        <w:jc w:val="left"/>
      </w:pPr>
      <w:r>
        <w:rPr>
          <w:color w:val="222222"/>
          <w:sz w:val="22"/>
          <w:szCs w:val="22"/>
        </w:rPr>
        <w:t xml:space="preserve">Moon at 0.166G fails the gate. The Moon is not recommended as a primary habitation destination. It is recommended as a resource and staging layer where human exposure can be time-limited (rotation schedules, surface visits with orbital return).</w:t>
      </w:r>
    </w:p>
    <w:p>
      <w:pPr>
        <w:spacing w:after="120" w:before="60" w:line="300"/>
        <w:jc w:val="left"/>
      </w:pPr>
      <w:r>
        <w:rPr>
          <w:color w:val="222222"/>
          <w:sz w:val="22"/>
          <w:szCs w:val="22"/>
        </w:rPr>
        <w:t xml:space="preserve">Mars at 0.378G fails the gate. Mars is not recommended as a primary habitation destination. It is recommended as a deferred edge node for science missions with sustained crew rotation, not permanent settlement.</w:t>
      </w:r>
    </w:p>
    <w:p>
      <w:pPr>
        <w:spacing w:after="120" w:before="60" w:line="300"/>
        <w:jc w:val="left"/>
      </w:pPr>
      <w:r>
        <w:rPr>
          <w:color w:val="222222"/>
          <w:sz w:val="22"/>
          <w:szCs w:val="22"/>
        </w:rPr>
        <w:t xml:space="preserve">Orbital rotating habitats pass the gate because gravity is an engineered parameter. A rotating habitat can be designed for any gravity level, including 1G, depending on rotation rate and radius.</w:t>
      </w:r>
    </w:p>
    <w:p>
      <w:pPr>
        <w:pStyle w:val="Heading2"/>
        <w:spacing w:after="120" w:before="280"/>
      </w:pPr>
      <w:r>
        <w:rPr>
          <w:b/>
          <w:bCs/>
          <w:color w:val="1F4E79"/>
          <w:sz w:val="28"/>
          <w:szCs w:val="28"/>
        </w:rPr>
        <w:t xml:space="preserve">4.7 What Would Change the Threshold</w:t>
      </w:r>
    </w:p>
    <w:p>
      <w:pPr>
        <w:spacing w:after="120" w:before="60" w:line="300"/>
        <w:jc w:val="left"/>
      </w:pPr>
      <w:r>
        <w:rPr>
          <w:color w:val="222222"/>
          <w:sz w:val="22"/>
          <w:szCs w:val="22"/>
        </w:rPr>
        <w:t xml:space="preserve">The gravity threshold is falsifiable. Future research could change it in either direction:</w:t>
      </w:r>
    </w:p>
    <w:p>
      <w:pPr>
        <w:spacing w:after="120" w:before="60" w:line="300"/>
        <w:jc w:val="left"/>
      </w:pPr>
      <w:r>
        <w:rPr>
          <w:color w:val="222222"/>
          <w:sz w:val="22"/>
          <w:szCs w:val="22"/>
        </w:rPr>
        <w:t xml:space="preserve">If a multi-year mammalian study at Mars gravity demonstrated sustained musculoskeletal function, successful reproduction, and normal development, the threshold would move down to Mars gravity. Mars would gain habitation candidacy. Moon would remain disqualified (0.166G is below 0.38G regardless).</w:t>
      </w:r>
    </w:p>
    <w:p>
      <w:pPr>
        <w:spacing w:after="120" w:before="60" w:line="300"/>
        <w:jc w:val="left"/>
      </w:pPr>
      <w:r>
        <w:rPr>
          <w:color w:val="222222"/>
          <w:sz w:val="22"/>
          <w:szCs w:val="22"/>
        </w:rPr>
        <w:t xml:space="preserve">If a multi-year mammalian study at Mars or Moon gravity demonstrated progressive degeneration, reproductive failure, or developmental abnormalities, the threshold would be vindicated and likely tightened. Conservative defaults would be validated.</w:t>
      </w:r>
    </w:p>
    <w:p>
      <w:pPr>
        <w:spacing w:after="120" w:before="60" w:line="300"/>
        <w:jc w:val="left"/>
      </w:pPr>
      <w:r>
        <w:rPr>
          <w:color w:val="222222"/>
          <w:sz w:val="22"/>
          <w:szCs w:val="22"/>
        </w:rPr>
        <w:t xml:space="preserve">Either outcome refines the framework. The current threshold reflects the best interpretation of current evidence with explicit acknowledgment that the evidence is incomplete and that conservative defaults apply to irreversible decisions.</w:t>
      </w:r>
    </w:p>
    <w:p>
      <w:pPr>
        <w:pStyle w:val="Heading2"/>
        <w:spacing w:after="120" w:before="280"/>
      </w:pPr>
      <w:r>
        <w:rPr>
          <w:b/>
          <w:bCs/>
          <w:color w:val="1F4E79"/>
          <w:sz w:val="28"/>
          <w:szCs w:val="28"/>
        </w:rPr>
        <w:t xml:space="preserve">4.8 Summary</w:t>
      </w:r>
    </w:p>
    <w:p>
      <w:pPr>
        <w:spacing w:after="120" w:before="60" w:line="300"/>
        <w:jc w:val="left"/>
      </w:pPr>
      <w:r>
        <w:rPr>
          <w:color w:val="222222"/>
          <w:sz w:val="22"/>
          <w:szCs w:val="22"/>
        </w:rPr>
        <w:t xml:space="preserve">The 0.67G threshold is derived from the MHU-8 dose-response study (the best direct evidence available), corroborated by the broader dose-response literature, and chosen conservatively because permanent multi-generational habitation decisions cannot be reversed. It is explicitly acknowledged that the threshold rests on rodent studies, that partial-gravity reproduction has never been tested in mammals, and that human-scale evidence will take decades to accumulate.</w:t>
      </w:r>
    </w:p>
    <w:p>
      <w:pPr>
        <w:spacing w:after="120" w:before="60" w:line="300"/>
        <w:jc w:val="left"/>
      </w:pPr>
      <w:r>
        <w:rPr>
          <w:color w:val="222222"/>
          <w:sz w:val="22"/>
          <w:szCs w:val="22"/>
        </w:rPr>
        <w:t xml:space="preserve">The architecture recommendation does not depend on the threshold being exactly 0.67G. It depends on two weaker claims: that some minimum gravity threshold exists for permanent habitation, and that the orbital rotation approach reliably exceeds whatever that threshold turns out to be. Both claims are strongly supported by the evidence. The framework uses 0.67G because it is the defensible conservative point; the architecture conclusion would not change if the true threshold turned out to be 0.5G or 0.8G.</w:t>
      </w:r>
    </w:p>
    <w:p>
      <w:pPr>
        <w:pStyle w:val="Heading1"/>
        <w:pageBreakBefore/>
        <w:spacing w:after="180" w:before="360"/>
      </w:pPr>
      <w:r>
        <w:rPr>
          <w:b/>
          <w:bCs/>
          <w:color w:val="1F4E79"/>
          <w:sz w:val="36"/>
          <w:szCs w:val="36"/>
        </w:rPr>
        <w:t xml:space="preserve">Part 5: Source Registry</w:t>
      </w:r>
    </w:p>
    <w:p>
      <w:pPr>
        <w:spacing w:after="120" w:before="60" w:line="300"/>
        <w:jc w:val="left"/>
      </w:pPr>
      <w:r>
        <w:rPr>
          <w:color w:val="222222"/>
          <w:sz w:val="22"/>
          <w:szCs w:val="22"/>
        </w:rPr>
        <w:t xml:space="preserve">The canonical source registry lists every source used in the assessment with citation details, reliability rating, and access date. Sources are keyed by SRC_ID and referenced from the evidence table by ID. This registry is the single point of truth for source documentation.</w:t>
      </w:r>
    </w:p>
    <w:p>
      <w:pPr>
        <w:pStyle w:val="Heading2"/>
        <w:spacing w:after="120" w:before="280"/>
      </w:pPr>
      <w:r>
        <w:rPr>
          <w:b/>
          <w:bCs/>
          <w:color w:val="1F4E79"/>
          <w:sz w:val="28"/>
          <w:szCs w:val="28"/>
        </w:rPr>
        <w:t xml:space="preserve">5.1 Source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900"/>
        <w:gridCol w:w="536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Short Name</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Reliability</w:t>
            </w:r>
          </w:p>
        </w:tc>
        <w:tc>
          <w:tcPr>
            <w:tcW w:type="dxa" w:w="5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Citation and URL</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SRC_001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NASA OIG ISS Cost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NASA Office of Inspector General, ISS Annual Cost Reports. oig.nasa.gov</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SRC_002</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NASA STD 3001 Vol 1</w:t>
            </w:r>
          </w:p>
        </w:tc>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NASA-STD-3001 Volume 1, Rev C - Crew Health Standard. Establishes 600 mSv career radiation limit.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SRC_003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SpaceX Starship</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Medium</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SpaceX Starship payload and cost projections. Corporate claims, not independently verified.</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SRC_004</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NASA BVAD</w:t>
            </w:r>
          </w:p>
        </w:tc>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NASA Baseline Values and Assumptions Document (TP-2015-218570). ECLSS baseline parameters.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SRC_005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Curiosity RAD</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MSL/RAD Mars surface radiation measurements. Actual Mars surface data.</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SRC_006</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NASA Gateway ECLSS</w:t>
            </w:r>
          </w:p>
        </w:tc>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Gateway ECLSS Overview, ICES 2022. 2-4 crew, 30-day expeditions.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SRC_007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MOXIE Results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MOXIE Mars oxygen production results. Actual Mars ISRU demonstration.</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SRC_008</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Kilopower KRUSTY</w:t>
            </w:r>
          </w:p>
        </w:tc>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Kilopower/KRUSTY fission reactor test results. 10 kW class, tested 2018.</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SRC_009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LCROSS Water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LCROSS lunar water ice detection. Confirmed water ice in permanently shadowed craters.</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SRC_010</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ESA Ariane 6</w:t>
            </w:r>
          </w:p>
        </w:tc>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Medium</w:t>
            </w:r>
          </w:p>
        </w:tc>
        <w:tc>
          <w:tcPr>
            <w:tcW w:type="dxa" w:w="5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ESA Ariane 6 specifications and pricing. First launch 2024.</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SRC_011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URI/Harvard JPG-RR 2024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Mortreux/Bouxsein dose-response partial gravity study, MHU-8 on ISS. 0.67G threshold for muscle atrophy prevention.</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SRC_012</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Cavanagh NASA partial-g 2021</w:t>
            </w:r>
          </w:p>
        </w:tc>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The Partial Gravity of the Moon and Mars Appears Insufficient (ICES 2021-142). &lt;0.4G insufficient meta-analysis.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SRC_013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JAXA MHU-2 2019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before="0"/>
              <w:jc w:val="left"/>
            </w:pPr>
            <w:r>
              <w:rPr>
                <w:color w:val="222222"/>
                <w:sz w:val="20"/>
                <w:szCs w:val="20"/>
              </w:rPr>
              <w:t xml:space="preserve">Shiba et al., JAXA MHU-2 study, 1/6G partial-g mice on ISS. Published in Nature Scientific Reports.</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SRC_014</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Bouxsein npj Microgravity 2020</w:t>
            </w:r>
          </w:p>
        </w:tc>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High</w:t>
            </w:r>
          </w:p>
        </w:tc>
        <w:tc>
          <w:tcPr>
            <w:tcW w:type="dxa" w:w="5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spacing w:after="0" w:before="0"/>
              <w:jc w:val="left"/>
            </w:pPr>
            <w:r>
              <w:rPr>
                <w:color w:val="222222"/>
                <w:sz w:val="20"/>
                <w:szCs w:val="20"/>
              </w:rPr>
              <w:t xml:space="preserve">Dose-dependent skeletal deficits due to varied reductions in mechanical loading in rats. No plateau at 4 weeks.</w:t>
            </w:r>
          </w:p>
        </w:tc>
      </w:tr>
    </w:tbl>
    <w:p>
      <w:pPr>
        <w:spacing w:after="240" w:before="0"/>
      </w:pPr>
      <w:r>
        <w:rPr>
          <w:sz w:val="22"/>
          <w:szCs w:val="22"/>
        </w:rPr>
        <w:t xml:space="preserve"/>
      </w:r>
    </w:p>
    <w:p>
      <w:pPr>
        <w:pStyle w:val="Heading2"/>
        <w:spacing w:after="120" w:before="280"/>
      </w:pPr>
      <w:r>
        <w:rPr>
          <w:b/>
          <w:bCs/>
          <w:color w:val="1F4E79"/>
          <w:sz w:val="28"/>
          <w:szCs w:val="28"/>
        </w:rPr>
        <w:t xml:space="preserve">5.2 How to Propose a New Source</w:t>
      </w:r>
    </w:p>
    <w:p>
      <w:pPr>
        <w:spacing w:after="120" w:before="60" w:line="300"/>
        <w:jc w:val="left"/>
      </w:pPr>
      <w:r>
        <w:rPr>
          <w:color w:val="222222"/>
          <w:sz w:val="22"/>
          <w:szCs w:val="22"/>
        </w:rPr>
        <w:t xml:space="preserve">The evidence contribution feature in the interactive tool accepts new sources that meet the validation criteria documented in Part 3. Contributed sources are added to a pending review queue and flagged for human review before promotion to the canonical registry. Sources proposed through the chat interface are evaluated against the same four gates: source verification, claim match, relevance, and confidence labeling.</w:t>
      </w:r>
    </w:p>
    <w:p>
      <w:pPr>
        <w:spacing w:after="120" w:before="60" w:line="300"/>
        <w:jc w:val="left"/>
      </w:pPr>
      <w:r>
        <w:rPr>
          <w:color w:val="222222"/>
          <w:sz w:val="22"/>
          <w:szCs w:val="22"/>
        </w:rPr>
        <w:t xml:space="preserve">Accepted contributions appear in future versions of this registry with full citation details and attribution. Rejected contributions are documented with specific reasons for rejection so future contributors can propose better-supported alternatives.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6"/>
      </w:pBdr>
    </w:pPr>
    <w:r>
      <w:rPr>
        <w:color w:val="555555"/>
        <w:sz w:val="18"/>
        <w:szCs w:val="18"/>
      </w:rPr>
      <w:t xml:space="preserve">Methodology and Evidence Appendix</w:t>
    </w:r>
    <w:r>
      <w:rPr>
        <w:sz w:val="18"/>
        <w:szCs w:val="18"/>
      </w:rPr>
      <w:ptab w:alignment="right" w:relativeTo="margin" w:leader="none"/>
    </w:r>
    <w:r>
      <w:rPr>
        <w:i/>
        <w:iCs/>
        <w:color w:val="555555"/>
        <w:sz w:val="18"/>
        <w:szCs w:val="18"/>
      </w:rPr>
      <w:t xml:space="preserve">Lenticular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and Evidence Appendix</dc:title>
  <dc:creator>Lenticular Tech</dc:creator>
  <cp:lastModifiedBy>Un-named</cp:lastModifiedBy>
  <cp:revision>1</cp:revision>
  <dcterms:created xsi:type="dcterms:W3CDTF">2026-04-17T09:58:21.598Z</dcterms:created>
  <dcterms:modified xsi:type="dcterms:W3CDTF">2026-04-17T09:58:21.621Z</dcterms:modified>
</cp:coreProperties>
</file>

<file path=docProps/custom.xml><?xml version="1.0" encoding="utf-8"?>
<Properties xmlns="http://schemas.openxmlformats.org/officeDocument/2006/custom-properties" xmlns:vt="http://schemas.openxmlformats.org/officeDocument/2006/docPropsVTypes"/>
</file>