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jc w:val="center"/>
            </w:pPr>
            <w:r>
              <w:rPr>
                <w:rFonts w:ascii="Arial" w:cs="Arial" w:eastAsia="Arial" w:hAnsi="Arial"/>
                <w:b/>
                <w:bCs/>
                <w:color w:val="8EB4E3"/>
                <w:sz w:val="28"/>
                <w:szCs w:val="28"/>
              </w:rPr>
              <w:t xml:space="preserve">LENTICULAR TECH</w:t>
            </w:r>
          </w:p>
          <w:p>
            <w:pPr>
              <w:spacing w:after="80" w:before="120"/>
              <w:jc w:val="center"/>
            </w:pPr>
            <w:r>
              <w:rPr>
                <w:rFonts w:ascii="Arial" w:cs="Arial" w:eastAsia="Arial" w:hAnsi="Arial"/>
                <w:b/>
                <w:bCs/>
                <w:color w:val="FFFFFF"/>
                <w:sz w:val="52"/>
                <w:szCs w:val="52"/>
              </w:rPr>
              <w:t xml:space="preserve">Architecture Assessment</w:t>
            </w:r>
          </w:p>
          <w:p>
            <w:pPr>
              <w:jc w:val="center"/>
            </w:pPr>
            <w:r>
              <w:rPr>
                <w:rFonts w:ascii="Arial" w:cs="Arial" w:eastAsia="Arial" w:hAnsi="Arial"/>
                <w:color w:val="D5E3F5"/>
                <w:sz w:val="30"/>
                <w:szCs w:val="30"/>
              </w:rPr>
              <w:t xml:space="preserve">Off-Earth Colonization Destination Analysis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 Type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Architecture Assessment Report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Version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April 2026</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Classification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Public Portfolio / Marketing Deliverable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Methodology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 Pillars | 14 Steps | MoSCoW | Kano | Weighted Scoring</w:t>
            </w:r>
          </w:p>
        </w:tc>
      </w:tr>
    </w:tbl>
    <w:p>
      <w:pPr>
        <w:spacing w:after="480" w:before="0"/>
      </w:pPr>
      <w:r>
        <w:t xml:space="preserve"/>
      </w:r>
    </w:p>
    <w:p>
      <w:pPr>
        <w:spacing w:after="100" w:before="80"/>
      </w:pPr>
      <w:r>
        <w:rPr>
          <w:b/>
          <w:bCs/>
          <w:color w:val="1F3864"/>
        </w:rPr>
        <w:t xml:space="preserve">Prepared by: </w:t>
      </w:r>
      <w:r>
        <w:rPr>
          <w:color w:val="595959"/>
        </w:rPr>
        <w:t xml:space="preserve">Lenticular Tech  |  Cloud Infrastructure and IT Consulting</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01  |  </w:t>
            </w:r>
            <w:r>
              <w:rPr>
                <w:rFonts w:ascii="Arial" w:cs="Arial" w:eastAsia="Arial" w:hAnsi="Arial"/>
                <w:b/>
                <w:bCs/>
                <w:color w:val="FFFFFF"/>
                <w:sz w:val="22"/>
                <w:szCs w:val="22"/>
              </w:rPr>
              <w:t xml:space="preserve">EXECUTIVE SUMMARY</w:t>
            </w:r>
          </w:p>
        </w:tc>
      </w:tr>
    </w:tbl>
    <w:p>
      <w:pPr>
        <w:spacing w:after="120" w:before="0"/>
      </w:pPr>
      <w:r>
        <w:t xml:space="preserve"/>
      </w:r>
    </w:p>
    <w:p>
      <w:pPr>
        <w:pStyle w:val="Heading2"/>
        <w:spacing w:after="120" w:before="280"/>
      </w:pPr>
      <w:r>
        <w:t xml:space="preserve">1.1  Problem Statement</w:t>
      </w:r>
    </w:p>
    <w:p>
      <w:pPr>
        <w:spacing w:after="100" w:before="80"/>
      </w:pPr>
      <w:r>
        <w:t xml:space="preserve">Humanity has no credible off-Earth infrastructure. No operational colony exists on the Moon, Mars, or in orbital space. The question of where to build first is not academic: it determines capital allocation, technology sequencing, political will, and the probability of survival for any such program. The architecture decision carries existential consequences at civilizational scale.</w:t>
      </w:r>
    </w:p>
    <w:p>
      <w:pPr>
        <w:spacing w:after="100" w:before="80"/>
      </w:pPr>
      <w:r>
        <w:t xml:space="preserve">This assessment applies enterprise Solutions Architecture methodology to evaluate three candidate destinations as competing deployment targets. The methodology is identical to what governs hybrid cloud decisions, disaster recovery site selection, and multi-platform workload placement. Infrastructure is infrastructure.</w:t>
      </w:r>
    </w:p>
    <w:p>
      <w:pPr>
        <w:spacing w:after="80" w:before="0"/>
      </w:pPr>
      <w:r>
        <w:t xml:space="preserve"/>
      </w:r>
    </w:p>
    <w:p>
      <w:pPr>
        <w:pStyle w:val="Heading2"/>
        <w:spacing w:after="120" w:before="280"/>
      </w:pPr>
      <w:r>
        <w:t xml:space="preserve">1.2  Approach</w:t>
      </w:r>
    </w:p>
    <w:p>
      <w:pPr>
        <w:spacing w:after="100" w:before="80"/>
      </w:pPr>
      <w:r>
        <w:t xml:space="preserve">The evaluation framework synthesizes three industry standards:</w:t>
      </w:r>
    </w:p>
    <w:p>
      <w:pPr>
        <w:pStyle w:val="ListParagraph"/>
        <w:numPr>
          <w:ilvl w:val="0"/>
          <w:numId w:val="2"/>
        </w:numPr>
        <w:spacing w:after="40" w:before="40"/>
      </w:pPr>
      <w:r>
        <w:t xml:space="preserve">IBM Well-Architected Framework (6 pillars), extended with Risk Assessment and Sustainability for 8 total pillars</w:t>
      </w:r>
    </w:p>
    <w:p>
      <w:pPr>
        <w:pStyle w:val="ListParagraph"/>
        <w:numPr>
          <w:ilvl w:val="0"/>
          <w:numId w:val="2"/>
        </w:numPr>
        <w:spacing w:after="40" w:before="40"/>
      </w:pPr>
      <w:r>
        <w:t xml:space="preserve">NASA-STD-3001 and the NASA Five Hazards of Human Spaceflight, providing mission-critical human factors requirements</w:t>
      </w:r>
    </w:p>
    <w:p>
      <w:pPr>
        <w:pStyle w:val="ListParagraph"/>
        <w:numPr>
          <w:ilvl w:val="0"/>
          <w:numId w:val="2"/>
        </w:numPr>
        <w:spacing w:after="40" w:before="40"/>
      </w:pPr>
      <w:r>
        <w:t xml:space="preserve">MoSCoW prioritization, Kano satisfaction modeling, and weighted scoring, producing a 24-requirement evaluation matrix</w:t>
      </w:r>
    </w:p>
    <w:p>
      <w:pPr>
        <w:spacing w:after="80" w:before="0"/>
      </w:pPr>
      <w:r>
        <w:t xml:space="preserve"/>
      </w:r>
    </w:p>
    <w:p>
      <w:pPr>
        <w:spacing w:after="100" w:before="80"/>
      </w:pPr>
      <w:r>
        <w:t xml:space="preserve">The three-phase, 14-step process covers: requirements definition, stakeholder analysis, current environment assessment, risk registers, provider evaluation, workload classification, hybrid design, and sensitivity analysis. All scoring uses data from CSV source files. No scores are estimated without citation.</w:t>
      </w:r>
    </w:p>
    <w:p>
      <w:pPr>
        <w:spacing w:after="80" w:before="0"/>
      </w:pPr>
      <w:r>
        <w:t xml:space="preserve"/>
      </w:r>
    </w:p>
    <w:p>
      <w:pPr>
        <w:pStyle w:val="Heading2"/>
        <w:spacing w:after="120" w:before="280"/>
      </w:pPr>
      <w:r>
        <w:t xml:space="preserve">1.3  Key Finding: No Single Destination Passes All Must-Have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1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w:t>
            </w:r>
          </w:p>
        </w:tc>
        <w:tc>
          <w:tcPr>
            <w:tcW w:type="dxa" w:w="1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Orbital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Gravity &gt;0.4g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Must / 10</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FAIL (0.16g)</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FAIL (0.38g)</w:t>
            </w:r>
          </w:p>
        </w:tc>
        <w:tc>
          <w:tcPr>
            <w:tcW w:type="dxa" w:w="1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(tunable)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Emergency return (RTO)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Must / 8</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(3 days)</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FAIL (9+ months)</w:t>
            </w:r>
          </w:p>
        </w:tc>
        <w:tc>
          <w:tcPr>
            <w:tcW w:type="dxa" w:w="1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(hours)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Supply chain resilience (RPO)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Must / 8</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(any time)</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FAIL (26-month window)</w:t>
            </w:r>
          </w:p>
        </w:tc>
        <w:tc>
          <w:tcPr>
            <w:tcW w:type="dxa" w:w="1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(cislunar)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Breathable atmosphere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Must / 9</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(engineered)</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(engineered)</w:t>
            </w:r>
          </w:p>
        </w:tc>
        <w:tc>
          <w:tcPr>
            <w:tcW w:type="dxa" w:w="1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(engineered)</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Radiation &lt;600 mSv</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Must / 9</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(regolith)</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(atmo+regolith)</w:t>
            </w:r>
          </w:p>
        </w:tc>
        <w:tc>
          <w:tcPr>
            <w:tcW w:type="dxa" w:w="11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color w:val="000000"/>
                <w:sz w:val="18"/>
                <w:szCs w:val="18"/>
              </w:rPr>
              <w:t xml:space="preserve">PASS (engineered)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Key Finding:  </w:t>
            </w:r>
            <w:r>
              <w:rPr>
                <w:rFonts w:ascii="Arial" w:cs="Arial" w:eastAsia="Arial" w:hAnsi="Arial"/>
                <w:color w:val="1F3864"/>
                <w:sz w:val="18"/>
                <w:szCs w:val="18"/>
              </w:rPr>
              <w:t xml:space="preserve">Moon fails 1 of 5 Basic Kano requirements (gravity). Mars fails 3 of 5 (gravity, RTO, RPO). Orbital passes all. No single destination is complete. The correct architecture is hybrid.</w:t>
            </w:r>
          </w:p>
        </w:tc>
      </w:tr>
    </w:tbl>
    <w:p>
      <w:pPr>
        <w:spacing w:after="120" w:before="0"/>
      </w:pPr>
      <w:r>
        <w:t xml:space="preserve"/>
      </w:r>
    </w:p>
    <w:p>
      <w:pPr>
        <w:pStyle w:val="Heading2"/>
        <w:spacing w:after="120" w:before="280"/>
      </w:pPr>
      <w:r>
        <w:t xml:space="preserve">1.4  Recommendation</w:t>
      </w:r>
    </w:p>
    <w:p>
      <w:pPr>
        <w:spacing w:after="100" w:before="80"/>
      </w:pPr>
      <w:r>
        <w:t xml:space="preserve">The analysis recommends a hybrid architecture: Earth as hardened primary, the Moon as a resource extraction layer, orbital colonies as the primary habitation and economic engine, and Mars deferred as a long-range edge node. This maps directly to the cloud analogy of on-premises primary infrastructure, primary cloud region, elastic compute, and edge deployment.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000"/>
        <w:gridCol w:w="1800"/>
        <w:gridCol w:w="1660"/>
      </w:tblGrid>
      <w:tr>
        <w:trPr>
          <w:tblHeader/>
        </w:trPr>
        <w:tc>
          <w:tcPr>
            <w:tcW w:type="dxa" w:w="1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Destination</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Cloud Analog</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6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Earth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Hardened primary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On-premises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Existing</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Operational</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Resource layer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Primary cloud region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Phase 1</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2028+</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Habitation engine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Elastic compute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Phase 2</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2030+</w:t>
            </w:r>
          </w:p>
        </w:tc>
      </w:tr>
      <w:tr>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Deferred edge node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Edge deployment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Phase 3+</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2040+</w:t>
            </w:r>
          </w:p>
        </w:tc>
      </w:tr>
    </w:tbl>
    <w:p>
      <w:pPr>
        <w:spacing w:after="120" w:before="0"/>
      </w:pPr>
      <w:r>
        <w:t xml:space="preserve"/>
      </w:r>
    </w:p>
    <w:p>
      <w:pPr>
        <w:pStyle w:val="Heading2"/>
        <w:spacing w:after="120" w:before="280"/>
      </w:pPr>
      <w:r>
        <w:t xml:space="preserve">1.5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Orbital</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Weighted Score</w:t>
            </w:r>
          </w:p>
        </w:tc>
        <w:tc>
          <w:tcPr>
            <w:tcW w:type="dxa" w:w="2340"/>
            <w:tcBorders>
              <w:top w:val="single" w:color="CCCCCC" w:sz="4"/>
              <w:left w:val="single" w:color="CCCCCC" w:sz="4"/>
              <w:bottom w:val="single" w:color="CCCCCC" w:sz="4"/>
              <w:right w:val="single" w:color="CCCCCC" w:sz="4"/>
            </w:tcBorders>
            <w:shd w:fill="D5E3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1028 / 1600</w:t>
            </w:r>
          </w:p>
        </w:tc>
        <w:tc>
          <w:tcPr>
            <w:tcW w:type="dxa" w:w="23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931 / 1600</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599 / 1600</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Percentage</w:t>
            </w:r>
          </w:p>
        </w:tc>
        <w:tc>
          <w:tcPr>
            <w:tcW w:type="dxa" w:w="2340"/>
            <w:tcBorders>
              <w:top w:val="single" w:color="CCCCCC" w:sz="4"/>
              <w:left w:val="single" w:color="CCCCCC" w:sz="4"/>
              <w:bottom w:val="single" w:color="CCCCCC" w:sz="4"/>
              <w:right w:val="single" w:color="CCCCCC" w:sz="4"/>
            </w:tcBorders>
            <w:shd w:fill="D5E3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64.3%</w:t>
            </w:r>
          </w:p>
        </w:tc>
        <w:tc>
          <w:tcPr>
            <w:tcW w:type="dxa" w:w="23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58.2%</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37.4%</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Kano Basic Pass/Fail</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 / 5 Pass</w:t>
            </w:r>
          </w:p>
        </w:tc>
        <w:tc>
          <w:tcPr>
            <w:tcW w:type="dxa" w:w="23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 / 5 Pass</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 / 5 Pass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Sensitivity Winner</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All 6 scenarios</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 scenarios</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 scenarios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Top Risk Score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 (supply chain)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25 (power gap)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25 (resupply)</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Solvable Top Risk</w:t>
            </w:r>
          </w:p>
        </w:tc>
        <w:tc>
          <w:tcPr>
            <w:tcW w:type="dxa" w:w="23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(ISRU)</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(nuclear fission)</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(physics)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Orbital Wins All Sensitivity Scenarios:  </w:t>
            </w:r>
            <w:r>
              <w:rPr>
                <w:rFonts w:ascii="Arial" w:cs="Arial" w:eastAsia="Arial" w:hAnsi="Arial"/>
                <w:color w:val="1F3864"/>
                <w:sz w:val="18"/>
                <w:szCs w:val="18"/>
              </w:rPr>
              <w:t xml:space="preserve">Even with best-case Mars assumptions (0.3g gravity threshold viable, Starship halves transport costs), orbital still outscores Mars in every test. The recommendation is robust to assumption changes.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02  |  </w:t>
            </w:r>
            <w:r>
              <w:rPr>
                <w:rFonts w:ascii="Arial" w:cs="Arial" w:eastAsia="Arial" w:hAnsi="Arial"/>
                <w:b/>
                <w:bCs/>
                <w:color w:val="FFFFFF"/>
                <w:sz w:val="22"/>
                <w:szCs w:val="22"/>
              </w:rPr>
              <w:t xml:space="preserve">METHODOLOGY OVERVIEW</w:t>
            </w:r>
          </w:p>
        </w:tc>
      </w:tr>
    </w:tbl>
    <w:p>
      <w:pPr>
        <w:spacing w:after="120" w:before="0"/>
      </w:pPr>
      <w:r>
        <w:t xml:space="preserve"/>
      </w:r>
    </w:p>
    <w:p>
      <w:pPr>
        <w:spacing w:after="100" w:before="80"/>
      </w:pPr>
      <w:r>
        <w:t xml:space="preserve">This assessment applies the Lenticular Tech Multi-Platform Architecture Decision Methodology (MPADM), version 2.0. Full process documentation is available in METHODOLOGY.md under Apache 2.0 license.</w:t>
      </w:r>
    </w:p>
    <w:p>
      <w:pPr>
        <w:spacing w:after="80" w:before="0"/>
      </w:pPr>
      <w:r>
        <w:t xml:space="preserve"/>
      </w:r>
    </w:p>
    <w:p>
      <w:pPr>
        <w:pStyle w:val="Heading2"/>
        <w:spacing w:after="120" w:before="280"/>
      </w:pPr>
      <w:r>
        <w:t xml:space="preserve">2.1  Why IT Architecture Methodology Applies to Colonization</w:t>
      </w:r>
    </w:p>
    <w:p>
      <w:pPr>
        <w:spacing w:after="100" w:before="80"/>
      </w:pPr>
      <w:r>
        <w:t xml:space="preserve">Infrastructure is infrastructure. The decisions that govern hybrid cloud architecture, disaster recovery site selection, and multi-platform workload placement share structural identity with the decisions governing off-Earth colonization. Both domains require:</w:t>
      </w:r>
    </w:p>
    <w:p>
      <w:pPr>
        <w:pStyle w:val="ListParagraph"/>
        <w:numPr>
          <w:ilvl w:val="0"/>
          <w:numId w:val="2"/>
        </w:numPr>
        <w:spacing w:after="40" w:before="40"/>
      </w:pPr>
      <w:r>
        <w:t xml:space="preserve">Evaluation of competing deployment targets with asymmetric capability profiles</w:t>
      </w:r>
    </w:p>
    <w:p>
      <w:pPr>
        <w:pStyle w:val="ListParagraph"/>
        <w:numPr>
          <w:ilvl w:val="0"/>
          <w:numId w:val="2"/>
        </w:numPr>
        <w:spacing w:after="40" w:before="40"/>
      </w:pPr>
      <w:r>
        <w:t xml:space="preserve">Workload classification by dependency, portability, and latency requirements</w:t>
      </w:r>
    </w:p>
    <w:p>
      <w:pPr>
        <w:pStyle w:val="ListParagraph"/>
        <w:numPr>
          <w:ilvl w:val="0"/>
          <w:numId w:val="2"/>
        </w:numPr>
        <w:spacing w:after="40" w:before="40"/>
      </w:pPr>
      <w:r>
        <w:t xml:space="preserve">Risk assessment with impact, likelihood, and engineering solvability dimensions</w:t>
      </w:r>
    </w:p>
    <w:p>
      <w:pPr>
        <w:pStyle w:val="ListParagraph"/>
        <w:numPr>
          <w:ilvl w:val="0"/>
          <w:numId w:val="2"/>
        </w:numPr>
        <w:spacing w:after="40" w:before="40"/>
      </w:pPr>
      <w:r>
        <w:t xml:space="preserve">Hybrid design where no single platform meets all requirements</w:t>
      </w:r>
    </w:p>
    <w:p>
      <w:pPr>
        <w:pStyle w:val="ListParagraph"/>
        <w:numPr>
          <w:ilvl w:val="0"/>
          <w:numId w:val="2"/>
        </w:numPr>
        <w:spacing w:after="40" w:before="40"/>
      </w:pPr>
      <w:r>
        <w:t xml:space="preserve">Sensitivity analysis to validate recommendations against assumption changes</w:t>
      </w:r>
    </w:p>
    <w:p>
      <w:pPr>
        <w:spacing w:after="80" w:before="0"/>
      </w:pPr>
      <w:r>
        <w:t xml:space="preserve"/>
      </w:r>
    </w:p>
    <w:p>
      <w:pPr>
        <w:spacing w:after="100" w:before="80"/>
      </w:pPr>
      <w:r>
        <w:t xml:space="preserve">The methodology substitutes no domain expertise. NASA-STD-3001 governs human factors requirements. The NASA Five Hazards of Human Spaceflight define the threat model. But the evaluation framework, scoring model, and architectural reasoning are standard enterprise SA practice.</w:t>
      </w:r>
    </w:p>
    <w:p>
      <w:pPr>
        <w:spacing w:after="80" w:before="0"/>
      </w:pPr>
      <w:r>
        <w:t xml:space="preserve"/>
      </w:r>
    </w:p>
    <w:p>
      <w:pPr>
        <w:pStyle w:val="Heading2"/>
        <w:spacing w:after="120" w:before="280"/>
      </w:pPr>
      <w:r>
        <w:t xml:space="preserve">2.2  The Eight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760"/>
        <w:gridCol w:w="20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Pillar</w:t>
            </w:r>
          </w:p>
        </w:tc>
        <w:tc>
          <w:tcPr>
            <w:tcW w:type="dxa" w:w="4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Question</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Resiliency</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Can this survive failures and recover within acceptable timeframes?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IBM WAF</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Security and Compliance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Does this protect what needs protecting and meet applicable standards?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IBM WAF</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Performance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Does this deliver the speed, capacity, and scalability workloads require?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IBM WAF</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Cost Optimization</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 this financially viable now and trending in the right direction?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IBM WAF</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Operational Excellence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Can this be operated, maintained, and improved efficiently?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IBM WAF</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Hybrid and Portable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Can workloads move between platforms? Is this locked to one vendor?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IBM WAF</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Risk Assessment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What can go wrong, how bad is it, and can engineering solve it?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Added pillar</w:t>
            </w:r>
          </w:p>
        </w:tc>
      </w:tr>
      <w:tr>
        <w:tc>
          <w:tcPr>
            <w:tcW w:type="dxa" w:w="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Sustainability</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 resource consumption within renewal rates over the long term?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AWS / GCP WAF</w:t>
            </w:r>
          </w:p>
        </w:tc>
      </w:tr>
    </w:tbl>
    <w:p>
      <w:pPr>
        <w:spacing w:after="120" w:before="0"/>
      </w:pPr>
      <w:r>
        <w:t xml:space="preserve"/>
      </w:r>
    </w:p>
    <w:p>
      <w:pPr>
        <w:pStyle w:val="Heading2"/>
        <w:spacing w:after="120" w:before="280"/>
      </w:pPr>
      <w:r>
        <w:t xml:space="preserve">2.3  Three Phases, Fourteen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1: Prepare</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2: Analyze</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 3: Design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Step 1: Systems Thinking
Step 2: Agile Decomposition
Step 3: Stakeholder Analysis
Step 4: Requirements and Weighting
Step 5: Current Environment Assessment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Step 6: Risk Assessment
Step 7: Financial Analysis
Step 8: Priority Scoring
Step 9: Solution Research
Step 10: Solution Evaluation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Step 11: Workload Classification and Hybrid Design
Step 12: Process Mapping and Diagrams
Step 13: Sensitivity Analysis
Step 14: Deliverable Package</w:t>
            </w:r>
          </w:p>
        </w:tc>
      </w:tr>
    </w:tbl>
    <w:p>
      <w:pPr>
        <w:spacing w:after="120" w:before="0"/>
      </w:pPr>
      <w:r>
        <w:t xml:space="preserve"/>
      </w:r>
    </w:p>
    <w:p>
      <w:pPr>
        <w:pStyle w:val="Heading2"/>
        <w:spacing w:after="120" w:before="280"/>
      </w:pPr>
      <w:r>
        <w:t xml:space="preserve">2.4  Scoring Framework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Technique</w:t>
            </w:r>
          </w:p>
        </w:tc>
        <w:tc>
          <w:tcPr>
            <w:tcW w:type="dxa" w:w="25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Application</w:t>
            </w:r>
          </w:p>
        </w:tc>
        <w:tc>
          <w:tcPr>
            <w:tcW w:type="dxa" w:w="45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MoSCoW</w:t>
            </w:r>
          </w:p>
        </w:tc>
        <w:tc>
          <w:tcPr>
            <w:tcW w:type="dxa" w:w="2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Priority classification</w:t>
            </w:r>
          </w:p>
        </w:tc>
        <w:tc>
          <w:tcPr>
            <w:tcW w:type="dxa" w:w="4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Must-Have scores below 3 trigger elimination review</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Kano Model</w:t>
            </w:r>
          </w:p>
        </w:tc>
        <w:tc>
          <w:tcPr>
            <w:tcW w:type="dxa" w:w="2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Satisfaction curve analysis</w:t>
            </w:r>
          </w:p>
        </w:tc>
        <w:tc>
          <w:tcPr>
            <w:tcW w:type="dxa" w:w="4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Basic failures eliminate destination regardless of total score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Weighted Scoring</w:t>
            </w:r>
          </w:p>
        </w:tc>
        <w:tc>
          <w:tcPr>
            <w:tcW w:type="dxa" w:w="2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Aggregate comparison</w:t>
            </w:r>
          </w:p>
        </w:tc>
        <w:tc>
          <w:tcPr>
            <w:tcW w:type="dxa" w:w="4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1-10 score x weight (1-10); max per requirement = 100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Sensitivity Analysis</w:t>
            </w:r>
          </w:p>
        </w:tc>
        <w:tc>
          <w:tcPr>
            <w:tcW w:type="dxa" w:w="2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Robustness testing</w:t>
            </w:r>
          </w:p>
        </w:tc>
        <w:tc>
          <w:tcPr>
            <w:tcW w:type="dxa" w:w="45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 scenarios test key assumptions; recommendation must survive all</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03  |  </w:t>
            </w:r>
            <w:r>
              <w:rPr>
                <w:rFonts w:ascii="Arial" w:cs="Arial" w:eastAsia="Arial" w:hAnsi="Arial"/>
                <w:b/>
                <w:bCs/>
                <w:color w:val="FFFFFF"/>
                <w:sz w:val="22"/>
                <w:szCs w:val="22"/>
              </w:rPr>
              <w:t xml:space="preserve">CURRENT ENVIRONMENT ASSESSMENT</w:t>
            </w:r>
          </w:p>
        </w:tc>
      </w:tr>
    </w:tbl>
    <w:p>
      <w:pPr>
        <w:spacing w:after="120" w:before="0"/>
      </w:pPr>
      <w:r>
        <w:t xml:space="preserve"/>
      </w:r>
    </w:p>
    <w:p>
      <w:pPr>
        <w:pStyle w:val="Heading2"/>
        <w:spacing w:after="120" w:before="280"/>
      </w:pPr>
      <w:r>
        <w:t xml:space="preserve">3.1  Earth as Existing Infrastructure</w:t>
      </w:r>
    </w:p>
    <w:p>
      <w:pPr>
        <w:spacing w:after="100" w:before="80"/>
      </w:pPr>
      <w:r>
        <w:t xml:space="preserve">In enterprise terms, Earth is the legacy on-premises environment. Humans already operate in a partially virtualized habitat: atmospheric processing, thermal regulation, water treatment, and agricultural supply chains are engineered life support systems layered on top of a natural substrate. The natural substrate handles gravity, radiation shielding (magnetosphere plus atmospheric column), and bulk atmospheric composition without human intervention.</w:t>
      </w:r>
    </w:p>
    <w:p>
      <w:pPr>
        <w:spacing w:after="80" w:before="0"/>
      </w:pPr>
      <w:r>
        <w:t xml:space="preserve"/>
      </w:r>
    </w:p>
    <w:p>
      <w:pPr>
        <w:pStyle w:val="Heading2"/>
        <w:spacing w:after="120" w:before="280"/>
      </w:pPr>
      <w:r>
        <w:t xml:space="preserve">3.2  Virtualization Spectrum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Destination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Virtualization Level</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Native with partial virtualization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Gravity, atmosphere, and radiation handled by nature. Food, water, and thermal partially engineered.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Bare metal (hostile)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atmosphere, no magnetosphere, 1/6g. All life support must be engineered.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substrate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Thin CO2 atmosphere provides minimal radiation shielding. All consumables require engineering.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Fully virtualized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Total</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Zero natural habitat. Every system is designed. Gravity is a dial, not a constraint.</w:t>
            </w:r>
          </w:p>
        </w:tc>
      </w:tr>
    </w:tbl>
    <w:p>
      <w:pPr>
        <w:spacing w:after="120" w:before="0"/>
      </w:pPr>
      <w:r>
        <w:t xml:space="preserve"/>
      </w:r>
    </w:p>
    <w:p>
      <w:pPr>
        <w:pStyle w:val="Heading2"/>
        <w:spacing w:after="120" w:before="280"/>
      </w:pPr>
      <w:r>
        <w:t xml:space="preserve">3.3  Threat Analysis: Earth as Primary Infrastructure</w:t>
      </w:r>
    </w:p>
    <w:p>
      <w:pPr>
        <w:spacing w:after="100" w:before="80"/>
      </w:pPr>
      <w:r>
        <w:t xml:space="preserve">The core argument for off-Earth colonization is Earth vulnerability. This assessment evaluates that argument using the same rigor applied to destination scoring.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Likelihood</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Score</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Nuclear exchange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Catastrophic but survivable. SIPRI 2025: 12,241 warheads, 3,912 deployed. Weapons are finite, targets are selective, large areas remain habitable.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Nuclear winter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Dependent on exchange scale. Survivable with intact agricultural and industrial infrastructure across unaffected regions.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Supervolcano eruption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Yellowstone recurrence interval: 600,000+ years. Geologically predictable. Survivable at civilizational scale.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Extinction-class asteroid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ESA tracking: &gt;95% of 1km+ objects tracked. DART mission confirmed deflection capability. Engineering-solvable.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Key Finding:  </w:t>
            </w:r>
            <w:r>
              <w:rPr>
                <w:rFonts w:ascii="Arial" w:cs="Arial" w:eastAsia="Arial" w:hAnsi="Arial"/>
                <w:color w:val="1F3864"/>
                <w:sz w:val="18"/>
                <w:szCs w:val="18"/>
              </w:rPr>
              <w:t xml:space="preserve">No credible threat renders Earth uninhabitable. Nuclear exchange (T. Folse nuclear engineering analysis, SIPRI 2025) is catastrophic but survivable. The 'eggs in one basket' argument fails when the basket cannot actually be destroyed. Off-Earth infrastructure is strategically valuable, not existentially mandatory in the near term.</w:t>
            </w:r>
          </w:p>
        </w:tc>
      </w:tr>
    </w:tbl>
    <w:p>
      <w:pPr>
        <w:spacing w:after="120" w:before="0"/>
      </w:pPr>
      <w:r>
        <w:t xml:space="preserve"/>
      </w:r>
    </w:p>
    <w:p>
      <w:pPr>
        <w:spacing w:after="100" w:before="80"/>
      </w:pPr>
      <w:r>
        <w:rPr>
          <w:b/>
          <w:bCs/>
        </w:rPr>
        <w:t xml:space="preserve">Implication: </w:t>
      </w:r>
      <w:r>
        <w:t xml:space="preserve">This finding does not argue against colonization. It argues against urgency-driven shortcuts. The correct strategy is to build the right architecture, not to rush to Mars because Earth feels threatened.</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04  |  </w:t>
            </w:r>
            <w:r>
              <w:rPr>
                <w:rFonts w:ascii="Arial" w:cs="Arial" w:eastAsia="Arial" w:hAnsi="Arial"/>
                <w:b/>
                <w:bCs/>
                <w:color w:val="FFFFFF"/>
                <w:sz w:val="22"/>
                <w:szCs w:val="22"/>
              </w:rPr>
              <w:t xml:space="preserve">REQUIREMENTS DEFINITION</w:t>
            </w:r>
          </w:p>
        </w:tc>
      </w:tr>
    </w:tbl>
    <w:p>
      <w:pPr>
        <w:spacing w:after="120" w:before="0"/>
      </w:pPr>
      <w:r>
        <w:t xml:space="preserve"/>
      </w:r>
    </w:p>
    <w:p>
      <w:pPr>
        <w:spacing w:after="100" w:before="80"/>
      </w:pPr>
      <w:r>
        <w:t xml:space="preserve">24 requirements across 8 pillars, weighted 1-10. Sources: NASA-STD-3001 Volumes 1 and 2, NASA Five Hazards of Human Spaceflight, IBM Well-Architected Framework, AWS Well-Architected Framework, Google Cloud Well-Architected Framework.</w:t>
      </w:r>
    </w:p>
    <w:p>
      <w:pPr>
        <w:spacing w:after="80" w:before="0"/>
      </w:pPr>
      <w:r>
        <w:t xml:space="preserve"/>
      </w:r>
    </w:p>
    <w:p>
      <w:pPr>
        <w:pStyle w:val="Heading2"/>
        <w:spacing w:after="120" w:before="280"/>
      </w:pPr>
      <w:r>
        <w:t xml:space="preserve">4.1  MoSCoW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Count</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Scoring Rule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Must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Non-negotiable. Architecture fails without this.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Score below 3 triggers elimination review.</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Should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Important. Architecture is degraded without this.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Weighted into total score.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Could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Enhances the architecture if delivered.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Lower weight; contributes to total.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Won't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Excluded from this phase. Documented for future.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Not scored.</w:t>
            </w:r>
          </w:p>
        </w:tc>
      </w:tr>
    </w:tbl>
    <w:p>
      <w:pPr>
        <w:spacing w:after="120" w:before="0"/>
      </w:pPr>
      <w:r>
        <w:t xml:space="preserve"/>
      </w:r>
    </w:p>
    <w:p>
      <w:pPr>
        <w:pStyle w:val="Heading2"/>
        <w:spacing w:after="120" w:before="280"/>
      </w:pPr>
      <w:r>
        <w:t xml:space="preserve">4.2  Full Scoring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60"/>
        <w:gridCol w:w="560"/>
        <w:gridCol w:w="520"/>
        <w:gridCol w:w="520"/>
        <w:gridCol w:w="520"/>
        <w:gridCol w:w="560"/>
        <w:gridCol w:w="560"/>
        <w:gridCol w:w="5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Pillar</w:t>
            </w:r>
          </w:p>
        </w:tc>
        <w:tc>
          <w:tcPr>
            <w:tcW w:type="dxa" w:w="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MoSCoW</w:t>
            </w:r>
          </w:p>
        </w:tc>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w:t>
            </w:r>
          </w:p>
        </w:tc>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w:t>
            </w:r>
          </w:p>
        </w:tc>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w:t>
            </w:r>
          </w:p>
        </w:tc>
        <w:tc>
          <w:tcPr>
            <w:tcW w:type="dxa" w:w="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Orbital</w:t>
            </w:r>
          </w:p>
        </w:tc>
        <w:tc>
          <w:tcPr>
            <w:tcW w:type="dxa" w:w="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 Wtd</w:t>
            </w:r>
          </w:p>
        </w:tc>
        <w:tc>
          <w:tcPr>
            <w:tcW w:type="dxa" w:w="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 Wtd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480"/>
        <w:gridCol w:w="420"/>
        <w:gridCol w:w="480"/>
        <w:gridCol w:w="480"/>
        <w:gridCol w:w="600"/>
        <w:gridCol w:w="600"/>
        <w:gridCol w:w="600"/>
        <w:gridCol w:w="6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Requirement</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Pillar</w:t>
            </w:r>
          </w:p>
        </w:tc>
        <w:tc>
          <w:tcPr>
            <w:tcW w:type="dxa" w:w="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MoSCoW</w:t>
            </w:r>
          </w:p>
        </w:tc>
        <w:tc>
          <w:tcPr>
            <w:tcW w:type="dxa" w:w="4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Wt</w:t>
            </w:r>
          </w:p>
        </w:tc>
        <w:tc>
          <w:tcPr>
            <w:tcW w:type="dxa" w:w="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Moon</w:t>
            </w:r>
          </w:p>
        </w:tc>
        <w:tc>
          <w:tcPr>
            <w:tcW w:type="dxa" w:w="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Mars</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Orbital</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Moon Wtd</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Mars Wtd</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Orb Wtd</w:t>
            </w:r>
          </w:p>
        </w:tc>
      </w:tr>
      <w:tr>
        <w:tc>
          <w:tcPr>
            <w:tcW w:type="dxa" w:w="2400"/>
            <w:gridSpan w:val="10"/>
            <w:tcBorders>
              <w:top w:val="single" w:color="CCCCCC" w:sz="4"/>
              <w:left w:val="single" w:color="CCCCCC" w:sz="4"/>
              <w:bottom w:val="single" w:color="CCCCCC" w:sz="4"/>
              <w:right w:val="single" w:color="CCCCCC" w:sz="4"/>
            </w:tcBorders>
            <w:shd w:fill="2E5FA3"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TIER 1: MUST-HAVE REQUIREMENTS</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Gravity &gt;0.4g</w:t>
            </w:r>
          </w:p>
        </w:tc>
        <w:tc>
          <w:tcPr>
            <w:tcW w:type="dxa" w:w="9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Gravity</w:t>
            </w:r>
          </w:p>
        </w:tc>
        <w:tc>
          <w:tcPr>
            <w:tcW w:type="dxa" w:w="4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833C00"/>
                <w:sz w:val="16"/>
                <w:szCs w:val="16"/>
              </w:rPr>
              <w:t xml:space="preserve">Must</w:t>
            </w:r>
          </w:p>
        </w:tc>
        <w:tc>
          <w:tcPr>
            <w:tcW w:type="dxa" w:w="42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10</w:t>
            </w:r>
          </w:p>
        </w:tc>
        <w:tc>
          <w:tcPr>
            <w:tcW w:type="dxa" w:w="4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w:t>
            </w:r>
          </w:p>
        </w:tc>
        <w:tc>
          <w:tcPr>
            <w:tcW w:type="dxa" w:w="4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9</w:t>
            </w:r>
          </w:p>
        </w:tc>
        <w:tc>
          <w:tcPr>
            <w:tcW w:type="dxa" w:w="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20</w:t>
            </w:r>
          </w:p>
        </w:tc>
        <w:tc>
          <w:tcPr>
            <w:tcW w:type="dxa" w:w="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40</w:t>
            </w:r>
          </w:p>
        </w:tc>
        <w:tc>
          <w:tcPr>
            <w:tcW w:type="dxa" w:w="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90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Radiation &lt;600 mSv</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Radiation</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833C00"/>
                <w:sz w:val="16"/>
                <w:szCs w:val="16"/>
              </w:rPr>
              <w:t xml:space="preserve">Must</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9</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45</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Closed-loop ECLSS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Hostile Env</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833C00"/>
                <w:sz w:val="16"/>
                <w:szCs w:val="16"/>
              </w:rPr>
              <w:t xml:space="preserve">Must</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9</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Breathable atmosphere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Hostile Env</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833C00"/>
                <w:sz w:val="16"/>
                <w:szCs w:val="16"/>
              </w:rPr>
              <w:t xml:space="preserve">Must</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9</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36</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63</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Emergency return (RTO)</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Distance</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833C00"/>
                <w:sz w:val="16"/>
                <w:szCs w:val="16"/>
              </w:rPr>
              <w:t xml:space="preserve">Must</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Supply chain resilience (RPO)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Distance</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833C00"/>
                <w:sz w:val="16"/>
                <w:szCs w:val="16"/>
              </w:rPr>
              <w:t xml:space="preserve">Must</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16</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56</w:t>
            </w:r>
          </w:p>
        </w:tc>
      </w:tr>
      <w:tr>
        <w:tc>
          <w:tcPr>
            <w:tcW w:type="dxa" w:w="2400"/>
            <w:gridSpan w:val="10"/>
            <w:tcBorders>
              <w:top w:val="single" w:color="CCCCCC" w:sz="4"/>
              <w:left w:val="single" w:color="CCCCCC" w:sz="4"/>
              <w:bottom w:val="single" w:color="CCCCCC" w:sz="4"/>
              <w:right w:val="single" w:color="CCCCCC" w:sz="4"/>
            </w:tcBorders>
            <w:shd w:fill="8EB4E3"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TIER 2: SHOULD-HAVE (RESILIENCY &amp; OPERATIONS)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Communications latency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Distance</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9</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10</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Behavioral health sustainability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Isolation</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42</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18</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Energy independence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Performance</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28</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56</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ECLSS open/closed feasibility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Operations</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36</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Automation / remote ops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Op Excellence</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42</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18</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42</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Monitoring / incident response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Op Excellence</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40</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10</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35</w:t>
            </w:r>
          </w:p>
        </w:tc>
      </w:tr>
      <w:tr>
        <w:tc>
          <w:tcPr>
            <w:tcW w:type="dxa" w:w="2400"/>
            <w:gridSpan w:val="10"/>
            <w:tcBorders>
              <w:top w:val="single" w:color="CCCCCC" w:sz="4"/>
              <w:left w:val="single" w:color="CCCCCC" w:sz="4"/>
              <w:bottom w:val="single" w:color="CCCCCC" w:sz="4"/>
              <w:right w:val="single" w:color="CCCCCC" w:sz="4"/>
            </w:tcBorders>
            <w:shd w:fill="8EB4E3"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TIER 3: COST, PERFORMANCE, SUSTAINABILITY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ISRU potential</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Performance</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49</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49</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21</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Transport cost per kg</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Cost Opt.</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Must</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16</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Operating cost per capita</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Cost Opt.</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21</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35</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Cost of failure / recovery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Cost Opt.</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Must</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42</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Maintenance crew time ratio</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Op Excellence</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30</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Resource consumption vs renewal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Sustainability</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30</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30</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24</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Closed-loop waste management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Sustainability</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20</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20</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25</w:t>
            </w:r>
          </w:p>
        </w:tc>
      </w:tr>
      <w:tr>
        <w:tc>
          <w:tcPr>
            <w:tcW w:type="dxa" w:w="2400"/>
            <w:gridSpan w:val="10"/>
            <w:tcBorders>
              <w:top w:val="single" w:color="CCCCCC" w:sz="4"/>
              <w:left w:val="single" w:color="CCCCCC" w:sz="4"/>
              <w:bottom w:val="single" w:color="CCCCCC" w:sz="4"/>
              <w:right w:val="single" w:color="CCCCCC" w:sz="4"/>
            </w:tcBorders>
            <w:shd w:fill="8EB4E3"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TIER 4: GROWTH, STRATEGY, INTEROPERABILITY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Near-term revenue pathway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Cost Opt.</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21</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49</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Population scalability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Performance</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Could</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9</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20</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25</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Strategic positioning</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Hybrid</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12</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32</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Technology transferability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Hybrid</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Should</w:t>
            </w:r>
          </w:p>
        </w:tc>
        <w:tc>
          <w:tcPr>
            <w:tcW w:type="dxa" w:w="4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8</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42</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24</w:t>
            </w:r>
          </w:p>
        </w:tc>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48</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Standard interface compatibility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Hybrid</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6"/>
                <w:szCs w:val="16"/>
              </w:rPr>
              <w:t xml:space="preserve">Could</w:t>
            </w:r>
          </w:p>
        </w:tc>
        <w:tc>
          <w:tcPr>
            <w:tcW w:type="dxa" w:w="4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4</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6</w:t>
            </w:r>
          </w:p>
        </w:tc>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20</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000000"/>
                <w:sz w:val="16"/>
                <w:szCs w:val="16"/>
              </w:rPr>
              <w:t xml:space="preserve">28</w:t>
            </w:r>
          </w:p>
        </w:tc>
      </w:tr>
      <w:tr>
        <w:tc>
          <w:tcPr>
            <w:tcW w:type="dxa" w:w="2400"/>
            <w:gridSpan w:val="7"/>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TOTALS</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931</w:t>
            </w:r>
          </w:p>
        </w:tc>
        <w:tc>
          <w:tcPr>
            <w:tcW w:type="dxa" w:w="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599</w:t>
            </w:r>
          </w:p>
        </w:tc>
        <w:tc>
          <w:tcPr>
            <w:tcW w:type="dxa" w:w="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1028</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05  |  </w:t>
            </w:r>
            <w:r>
              <w:rPr>
                <w:rFonts w:ascii="Arial" w:cs="Arial" w:eastAsia="Arial" w:hAnsi="Arial"/>
                <w:b/>
                <w:bCs/>
                <w:color w:val="FFFFFF"/>
                <w:sz w:val="22"/>
                <w:szCs w:val="22"/>
              </w:rPr>
              <w:t xml:space="preserve">DESTINATION SCORING</w:t>
            </w:r>
          </w:p>
        </w:tc>
      </w:tr>
    </w:tbl>
    <w:p>
      <w:pPr>
        <w:spacing w:after="120" w:before="0"/>
      </w:pPr>
      <w:r>
        <w:t xml:space="preserve"/>
      </w:r>
    </w:p>
    <w:p>
      <w:pPr>
        <w:pStyle w:val="Heading2"/>
        <w:spacing w:after="120" w:before="280"/>
      </w:pPr>
      <w:r>
        <w:t xml:space="preserve">5.1  Weighted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Orbital</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w:t>
            </w:r>
          </w:p>
        </w:tc>
        <w:tc>
          <w:tcPr>
            <w:tcW w:type="dxa" w:w="2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Total Weighted Score</w:t>
            </w:r>
          </w:p>
        </w:tc>
        <w:tc>
          <w:tcPr>
            <w:tcW w:type="dxa" w:w="2080"/>
            <w:tcBorders>
              <w:top w:val="single" w:color="CCCCCC" w:sz="4"/>
              <w:left w:val="single" w:color="CCCCCC" w:sz="4"/>
              <w:bottom w:val="single" w:color="CCCCCC" w:sz="4"/>
              <w:right w:val="single" w:color="CCCCCC" w:sz="4"/>
            </w:tcBorders>
            <w:shd w:fill="D5E3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1028</w:t>
            </w:r>
          </w:p>
        </w:tc>
        <w:tc>
          <w:tcPr>
            <w:tcW w:type="dxa" w:w="208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931</w:t>
            </w:r>
          </w:p>
        </w:tc>
        <w:tc>
          <w:tcPr>
            <w:tcW w:type="dxa" w:w="20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599</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Max Possible Score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1600</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1600</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1600</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Percentage</w:t>
            </w:r>
          </w:p>
        </w:tc>
        <w:tc>
          <w:tcPr>
            <w:tcW w:type="dxa" w:w="2080"/>
            <w:tcBorders>
              <w:top w:val="single" w:color="CCCCCC" w:sz="4"/>
              <w:left w:val="single" w:color="CCCCCC" w:sz="4"/>
              <w:bottom w:val="single" w:color="CCCCCC" w:sz="4"/>
              <w:right w:val="single" w:color="CCCCCC" w:sz="4"/>
            </w:tcBorders>
            <w:shd w:fill="D5E3F5"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64.3%</w:t>
            </w:r>
          </w:p>
        </w:tc>
        <w:tc>
          <w:tcPr>
            <w:tcW w:type="dxa" w:w="208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58.2%</w:t>
            </w:r>
          </w:p>
        </w:tc>
        <w:tc>
          <w:tcPr>
            <w:tcW w:type="dxa" w:w="20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37.4%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Tier 1 Score (Must-Haves)</w:t>
            </w:r>
          </w:p>
        </w:tc>
        <w:tc>
          <w:tcPr>
            <w:tcW w:type="dxa" w:w="20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355</w:t>
            </w:r>
          </w:p>
        </w:tc>
        <w:tc>
          <w:tcPr>
            <w:tcW w:type="dxa" w:w="208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283</w:t>
            </w:r>
          </w:p>
        </w:tc>
        <w:tc>
          <w:tcPr>
            <w:tcW w:type="dxa" w:w="208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208</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Tier 2 Score (Resiliency/Ops)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245</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233</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115</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Tier 3 Score (Cost/Performance)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270</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270</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174</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Tier 4 Score (Growth/Strategy)</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145</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102</w:t>
            </w:r>
          </w:p>
        </w:tc>
      </w:tr>
    </w:tbl>
    <w:p>
      <w:pPr>
        <w:spacing w:after="120" w:before="0"/>
      </w:pPr>
      <w:r>
        <w:t xml:space="preserve"/>
      </w:r>
    </w:p>
    <w:p>
      <w:pPr>
        <w:pStyle w:val="Heading2"/>
        <w:spacing w:after="120" w:before="280"/>
      </w:pPr>
      <w:r>
        <w:t xml:space="preserve">5.2  Kano Model Pass/Fail Analysis</w:t>
      </w:r>
    </w:p>
    <w:p>
      <w:pPr>
        <w:spacing w:after="100" w:before="80"/>
      </w:pPr>
      <w:r>
        <w:t xml:space="preserve">Kano Basic requirements are non-negotiable. Failing a Basic requirement means the destination cannot serve as a habitation platform regardless of its weighted score. A destination that fails on gravity cannot be fixed by excelling at ISRU or communications latency.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Basic Requirement (Kano)</w:t>
            </w:r>
          </w:p>
        </w:tc>
        <w:tc>
          <w:tcPr>
            <w:tcW w:type="dxa" w:w="2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w:t>
            </w:r>
          </w:p>
        </w:tc>
        <w:tc>
          <w:tcPr>
            <w:tcW w:type="dxa" w:w="2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w:t>
            </w:r>
          </w:p>
        </w:tc>
        <w:tc>
          <w:tcPr>
            <w:tcW w:type="dxa" w:w="2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Orbital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Breathable atmosphere</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(engineered)</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(engineered)</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(engineered)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Radiation protection</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(regolith shielding)</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(atmo + regolith)</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(engineered)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Gravity &gt;0.4g</w:t>
            </w:r>
          </w:p>
        </w:tc>
        <w:tc>
          <w:tcPr>
            <w:tcW w:type="dxa" w:w="232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FAIL  (0.16g, permanent)</w:t>
            </w:r>
          </w:p>
        </w:tc>
        <w:tc>
          <w:tcPr>
            <w:tcW w:type="dxa" w:w="232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FAIL  (0.38g, permanent)</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(tunable to 1g)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Emergency return path</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(3 days)</w:t>
            </w:r>
          </w:p>
        </w:tc>
        <w:tc>
          <w:tcPr>
            <w:tcW w:type="dxa" w:w="232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FAIL  (9+ months)</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(hours to days)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Supply chain reliability</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(any time)</w:t>
            </w:r>
          </w:p>
        </w:tc>
        <w:tc>
          <w:tcPr>
            <w:tcW w:type="dxa" w:w="232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FAIL  (26-month window)</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PASS (cislunar)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KANO BASIC RESULT</w:t>
            </w:r>
          </w:p>
        </w:tc>
        <w:tc>
          <w:tcPr>
            <w:tcW w:type="dxa" w:w="232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4/5 Pass</w:t>
            </w:r>
          </w:p>
        </w:tc>
        <w:tc>
          <w:tcPr>
            <w:tcW w:type="dxa" w:w="232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2/5 Pass</w:t>
            </w:r>
          </w:p>
        </w:tc>
        <w:tc>
          <w:tcPr>
            <w:tcW w:type="dxa" w:w="232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5/5 Pass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Kano Ruling:  </w:t>
            </w:r>
            <w:r>
              <w:rPr>
                <w:rFonts w:ascii="Arial" w:cs="Arial" w:eastAsia="Arial" w:hAnsi="Arial"/>
                <w:color w:val="1F3864"/>
                <w:sz w:val="18"/>
                <w:szCs w:val="18"/>
              </w:rPr>
              <w:t xml:space="preserve">Moon is viable as a specialized operations layer but fails as a primary habitation destination. Mars fails as both. Only orbital colonies pass all Basic requirements and can serve as the primary human habitation platform.</w:t>
            </w:r>
          </w:p>
        </w:tc>
      </w:tr>
    </w:tbl>
    <w:p>
      <w:pPr>
        <w:spacing w:after="120" w:before="0"/>
      </w:pPr>
      <w:r>
        <w:t xml:space="preserve"/>
      </w:r>
    </w:p>
    <w:p>
      <w:pPr>
        <w:pStyle w:val="Heading2"/>
        <w:spacing w:after="120" w:before="280"/>
      </w:pPr>
      <w:r>
        <w:t xml:space="preserve">5.3  Pillar-Level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Pillar</w:t>
            </w:r>
          </w:p>
        </w:tc>
        <w:tc>
          <w:tcPr>
            <w:tcW w:type="dxa" w:w="2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Orbital Advantage</w:t>
            </w:r>
          </w:p>
        </w:tc>
        <w:tc>
          <w:tcPr>
            <w:tcW w:type="dxa" w:w="2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 Position</w:t>
            </w:r>
          </w:p>
        </w:tc>
        <w:tc>
          <w:tcPr>
            <w:tcW w:type="dxa" w:w="2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 Weakness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Resiliency</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RTO/RPO within hours. No physics constraint on rescue.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3-day RTO acceptable. Power gap is solvable with fission.</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26-month resupply window is permanent. No engineering solution.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Performance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Tunable gravity. Continuous solar. Expandable volume.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 gravity constraint permanent. Strong ISRU potential.</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Lowest energy score. Dust storm blackouts.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Cost Optimization</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Transport cost comparable to Moon cislunar. Revenue pathways diverse.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Lowest transport cost from LEO. Mining economics strong.</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Highest all-in cost when resupply logistics included.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Operational Excellence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Best automation and monitoring scores.</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Strong monitoring scores. Farside comm gap solvable.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Communication delay makes real-time ops support impossible.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Hybrid and Portable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Repositionable. Modular. Expandable without surface commitment.</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Location-bound. Technology transfers well.</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Surface-bound. Low strategic positioning.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Sustainability</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Closed-loop waste management strongest score.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Regolith resources available but ISRU unproven at scale.</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Resupply dependency makes long-term sustainability weakest.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06  |  </w:t>
            </w:r>
            <w:r>
              <w:rPr>
                <w:rFonts w:ascii="Arial" w:cs="Arial" w:eastAsia="Arial" w:hAnsi="Arial"/>
                <w:b/>
                <w:bCs/>
                <w:color w:val="FFFFFF"/>
                <w:sz w:val="22"/>
                <w:szCs w:val="22"/>
              </w:rPr>
              <w:t xml:space="preserve">RISK ASSESSMENT</w:t>
            </w:r>
          </w:p>
        </w:tc>
      </w:tr>
    </w:tbl>
    <w:p>
      <w:pPr>
        <w:spacing w:after="120" w:before="0"/>
      </w:pPr>
      <w:r>
        <w:t xml:space="preserve"/>
      </w:r>
    </w:p>
    <w:p>
      <w:pPr>
        <w:spacing w:after="100" w:before="80"/>
      </w:pPr>
      <w:r>
        <w:t xml:space="preserve">Risk scores use a 5x5 matrix: Risk Score = Likelihood (1-5) x Impact (1-5), max 25. Engineering solvability is rated Yes, Partial, or No. No-rated risks are permanent constraints, not engineering challenges.</w:t>
      </w:r>
    </w:p>
    <w:p>
      <w:pPr>
        <w:spacing w:after="80" w:before="0"/>
      </w:pPr>
      <w:r>
        <w:t xml:space="preserve"/>
      </w:r>
    </w:p>
    <w:p>
      <w:pPr>
        <w:pStyle w:val="Heading2"/>
        <w:spacing w:after="120" w:before="280"/>
      </w:pPr>
      <w:r>
        <w:t xml:space="preserve">6.1  Moon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00"/>
        <w:gridCol w:w="600"/>
        <w:gridCol w:w="39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Likelihood</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Solvability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14-day night power gap</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(nuclear fission). Reactor design at TRL 4, targeting 2030.</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dust (abrasive, charged)</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NASA top priority technology gap (#1 in 2025 ACR).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Thermal cycling stress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Material science and habitat design solutions exist.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Communications (farside)</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Relay satellite architecture fully defined.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Micrometeorite impact</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Regolith shielding layers and redundant systems.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Solar particle events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Storm shelters required. Early warning possible.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Moonquakes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Seismic activity cannot be prevented; design must accommodate.</w:t>
            </w:r>
          </w:p>
        </w:tc>
      </w:tr>
    </w:tbl>
    <w:p>
      <w:pPr>
        <w:spacing w:after="120" w:before="0"/>
      </w:pPr>
      <w:r>
        <w:t xml:space="preserve"/>
      </w:r>
    </w:p>
    <w:p>
      <w:pPr>
        <w:pStyle w:val="Heading2"/>
        <w:spacing w:after="120" w:before="280"/>
      </w:pPr>
      <w:r>
        <w:t xml:space="preserve">6.2  Mars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00"/>
        <w:gridCol w:w="600"/>
        <w:gridCol w:w="39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Likelihood</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Solvability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Resupply window constraints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Physics. Launch windows every 26 months, transit 7-9 months.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Perchlorate toxicity</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Soil processing required for any surface contact.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Chronic radiation exposure</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Thin atmosphere provides minimal shielding. Habitat shielding adds mass.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Communication delay</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Physics. 4-24 minute one-way, no real-time Earth support.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 dust properties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Finer than lunar dust. Different composition. Active research.</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Global dust storm</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Cannot be prevented. Power systems must survive 3-6 month events.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CO2 atmosphere breach</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Habitat design with redundant seals and emergency systems.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Marsquakes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Design must accommodate. InSight data shows active seismicity.</w:t>
            </w:r>
          </w:p>
        </w:tc>
      </w:tr>
    </w:tbl>
    <w:p>
      <w:pPr>
        <w:spacing w:after="120" w:before="0"/>
      </w:pPr>
      <w:r>
        <w:t xml:space="preserve"/>
      </w:r>
    </w:p>
    <w:p>
      <w:pPr>
        <w:pStyle w:val="Heading2"/>
        <w:spacing w:after="120" w:before="280"/>
      </w:pPr>
      <w:r>
        <w:t xml:space="preserve">6.3  Orbital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600"/>
        <w:gridCol w:w="600"/>
        <w:gridCol w:w="39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Threat</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Likelihood</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Score</w:t>
            </w:r>
          </w:p>
        </w:tc>
        <w:tc>
          <w:tcPr>
            <w:tcW w:type="dxa" w:w="3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Solvability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Supply chain dependency</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Reducible with cislunar ISRU. Not eliminable without manufacturing scale.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 debris (LEO)</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Orbit selection and active debris removal reduce risk.</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Station-keeping requirements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15</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Ion propulsion and fuel depot architecture.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Solar particle events</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Partial. Storm shelters and early warning systems standard.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Micrometeorite flux</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Whipple shield design standard in spacecraft.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Structural failure (rotating)</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Engineering design, redundancy, and inspection protocols.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Fire risk (pressurized)</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Yes. ISS fire management protocols. Materials standards.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Risk Differentiation:  </w:t>
            </w:r>
            <w:r>
              <w:rPr>
                <w:rFonts w:ascii="Arial" w:cs="Arial" w:eastAsia="Arial" w:hAnsi="Arial"/>
                <w:color w:val="1F3864"/>
                <w:sz w:val="18"/>
                <w:szCs w:val="18"/>
              </w:rPr>
              <w:t xml:space="preserve">Mars has 2 permanent physics constraints that no engineering can solve: the 26-month resupply window and the 4-24 minute communication delay. Moon risks are all solvable or reducible. Orbital risks are all solvable or reducible. This asymmetry is decisive.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07  |  </w:t>
            </w:r>
            <w:r>
              <w:rPr>
                <w:rFonts w:ascii="Arial" w:cs="Arial" w:eastAsia="Arial" w:hAnsi="Arial"/>
                <w:b/>
                <w:bCs/>
                <w:color w:val="FFFFFF"/>
                <w:sz w:val="22"/>
                <w:szCs w:val="22"/>
              </w:rPr>
              <w:t xml:space="preserve">NASA TECHNOLOGY GAP ALIGNMENT</w:t>
            </w:r>
          </w:p>
        </w:tc>
      </w:tr>
    </w:tbl>
    <w:p>
      <w:pPr>
        <w:spacing w:after="120" w:before="0"/>
      </w:pPr>
      <w:r>
        <w:t xml:space="preserve"/>
      </w:r>
    </w:p>
    <w:p>
      <w:pPr>
        <w:spacing w:after="100" w:before="80"/>
      </w:pPr>
      <w:r>
        <w:t xml:space="preserve">NASA's 2025 Architecture-Driven Technology Gap Assessment (Rev C) identifies 57 gaps across all segments. Priority rankings (1 = most critical) reflect NASA's independent prioritization. The alignment with this assessment's MoSCoW ordering provides external validation.</w:t>
      </w:r>
    </w:p>
    <w:p>
      <w:pPr>
        <w:spacing w:after="80" w:before="0"/>
      </w:pPr>
      <w:r>
        <w:t xml:space="preserve"/>
      </w:r>
    </w:p>
    <w:p>
      <w:pPr>
        <w:pStyle w:val="Heading2"/>
        <w:spacing w:after="120" w:before="280"/>
      </w:pPr>
      <w:r>
        <w:t xml:space="preserve">7.1  Top Priority Technology Gaps (Ranks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2400"/>
        <w:gridCol w:w="3000"/>
      </w:tblGrid>
      <w:tr>
        <w:trPr>
          <w:tblHeader/>
        </w:trPr>
        <w:tc>
          <w:tcPr>
            <w:tcW w:type="dxa" w:w="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Rank</w:t>
            </w:r>
          </w:p>
        </w:tc>
        <w:tc>
          <w:tcPr>
            <w:tcW w:type="dxa" w:w="3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 Title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Relevance to This Assessment</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Dust Mitigation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Foundational Exploration / SLE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Validates Moon risk M-03 (score 20). NASA's top priority.</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Extreme Environment Avionics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 Mars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Cross-destination. Temperature and radiation tolerance.</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Systems to Survive Extended Lunar Shadow</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Foundational / SLE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Validates Moon risk M-06 (score 25). Power gap is the top lunar blocker.</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High-bandwidth Surface-to-Surface Comms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 Mars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Operational connectivity at colony scale.</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Food and Nutrition for Long-Duration Missions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 Mars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ECLSS daily consumable burden: 5.1 kg/person/day.</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11</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Habitat Environmental Monitoring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SLE / Mars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Closed-loop monitoring for Operational Excellence pillar.</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16</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Dormancy Recovery for Water Systems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 Mars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RPO implication for resupply-dependent destinations.</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Radiation Monitoring and Forecasting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 Mars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Solar particle event early warning for EVA planning.</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PNT (Positioning / Navigation / Timing)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Foundational / SLE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Navigation infrastructure requirement for surface ops.</w:t>
            </w:r>
          </w:p>
        </w:tc>
      </w:tr>
    </w:tbl>
    <w:p>
      <w:pPr>
        <w:spacing w:after="120" w:before="0"/>
      </w:pPr>
      <w:r>
        <w:t xml:space="preserve"/>
      </w:r>
    </w:p>
    <w:p>
      <w:pPr>
        <w:pStyle w:val="Heading2"/>
        <w:spacing w:after="120" w:before="280"/>
      </w:pPr>
      <w:r>
        <w:t xml:space="preserve">7.2  ISRU Priority Position (Lowest Priority Cluster)</w:t>
      </w:r>
    </w:p>
    <w:p>
      <w:pPr>
        <w:spacing w:after="100" w:before="80"/>
      </w:pPr>
      <w:r>
        <w:t xml:space="preserve">Critically, ISRU-related gaps rank 49-57 out of 57. This is not because ISRU is unimportant. It reflects NASA's sequencing logic: survival and operations infrastructure must be solved before resource independence. You cannot mine water on the Moon if your crew died during the 14-day power gap. This validates the MoSCoW ordering in this assessment, where survival requirements are Must-Have and ISRU is Should-Have.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680"/>
        <w:gridCol w:w="4200"/>
      </w:tblGrid>
      <w:tr>
        <w:trPr>
          <w:tblHeader/>
        </w:trPr>
        <w:tc>
          <w:tcPr>
            <w:tcW w:type="dxa" w:w="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Rank</w:t>
            </w:r>
          </w:p>
        </w:tc>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 Title</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Implication</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49+</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ISRU water extraction at useful scale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ISRU is not blocking survival. It is blocking self-sufficiency. Correct sequence: survive first, then mine.</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ISRU propellant production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Propellant production enables return and reuse. Dependent on water extraction first.</w:t>
            </w:r>
          </w:p>
        </w:tc>
      </w:tr>
      <w:tr>
        <w:tc>
          <w:tcPr>
            <w:tcW w:type="dxa" w:w="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Advanced manufacturing from in-situ materials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Furthest from readiness. Long-range capability, not near-term blocker.</w:t>
            </w:r>
          </w:p>
        </w:tc>
      </w:tr>
    </w:tbl>
    <w:p>
      <w:pPr>
        <w:spacing w:after="120" w:before="0"/>
      </w:pPr>
      <w:r>
        <w:t xml:space="preserve"/>
      </w:r>
    </w:p>
    <w:p>
      <w:pPr>
        <w:pStyle w:val="Heading2"/>
        <w:spacing w:after="120" w:before="280"/>
      </w:pPr>
      <w:r>
        <w:t xml:space="preserve">7.3  ECLSS Mass Penalty Analysis</w:t>
      </w:r>
    </w:p>
    <w:p>
      <w:pPr>
        <w:spacing w:after="100" w:before="80"/>
      </w:pPr>
      <w:r>
        <w:t xml:space="preserve">The choice between open-loop and closed-loop life support is the central cost driver for any off-Earth mission. Source: NASA Regen ECLSS Analysis 2021.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560"/>
        <w:gridCol w:w="1560"/>
        <w:gridCol w:w="21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Configuration</w:t>
            </w:r>
          </w:p>
        </w:tc>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Initial Mass</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Water Recovery</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O2 Recovery</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Application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Open-loop ECLSS</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225 kg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 (consumable)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 (consumable)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(30-day with resupply)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Closed-loop ECLSS</w:t>
            </w:r>
          </w:p>
        </w:tc>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2,641 kg</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87-98%</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~50% (Sabatier)</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 (no resupply)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Mass ratio</w:t>
            </w:r>
          </w:p>
        </w:tc>
        <w:tc>
          <w:tcPr>
            <w:tcW w:type="dxa" w:w="168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11.7x</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Closed-loop costs 11.7x the mass of open-loop.</w:t>
            </w:r>
          </w:p>
        </w:tc>
      </w:tr>
    </w:tbl>
    <w:p>
      <w:pPr>
        <w:spacing w:after="120" w:before="0"/>
      </w:pPr>
      <w:r>
        <w:t xml:space="preserve"/>
      </w:r>
    </w:p>
    <w:p>
      <w:pPr>
        <w:spacing w:after="100" w:before="80"/>
      </w:pPr>
      <w:r>
        <w:rPr>
          <w:b/>
          <w:bCs/>
        </w:rPr>
        <w:t xml:space="preserve">Daily consumable burden per person: </w:t>
      </w:r>
      <w:r>
        <w:t xml:space="preserve">0.816 kg O2 + 2.5 kg water + 1.77 kg food = 5.1 kg/day = 1,861 kg/year. At Mars resupply intervals, this drives extreme closed-loop self-sufficiency requirements. At lunar and cislunar distances, open-loop with periodic resupply remains economically viable during early phases.</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08  |  </w:t>
            </w:r>
            <w:r>
              <w:rPr>
                <w:rFonts w:ascii="Arial" w:cs="Arial" w:eastAsia="Arial" w:hAnsi="Arial"/>
                <w:b/>
                <w:bCs/>
                <w:color w:val="FFFFFF"/>
                <w:sz w:val="22"/>
                <w:szCs w:val="22"/>
              </w:rPr>
              <w:t xml:space="preserve">PROVIDER EVALUATION</w:t>
            </w:r>
          </w:p>
        </w:tc>
      </w:tr>
    </w:tbl>
    <w:p>
      <w:pPr>
        <w:spacing w:after="120" w:before="0"/>
      </w:pPr>
      <w:r>
        <w:t xml:space="preserve"/>
      </w:r>
    </w:p>
    <w:p>
      <w:pPr>
        <w:spacing w:after="100" w:before="80"/>
      </w:pPr>
      <w:r>
        <w:t xml:space="preserve">17 providers evaluated across 6 architecture layers. Scoring criteria: Technology Readiness Level (25%), Cost Trajectory (20%), Roadmap Alignment (20%), Reliability (15%), Interoperability (10%), Scalability (10%). Status as of April 2026.</w:t>
      </w:r>
    </w:p>
    <w:p>
      <w:pPr>
        <w:spacing w:after="80" w:before="0"/>
      </w:pPr>
      <w:r>
        <w:t xml:space="preserve"/>
      </w:r>
    </w:p>
    <w:p>
      <w:pPr>
        <w:pStyle w:val="Heading2"/>
        <w:spacing w:after="120" w:before="280"/>
      </w:pPr>
      <w:r>
        <w:t xml:space="preserve">8.1  Heavy Lift Transport (Layer 1: Earth to LEO)</w:t>
      </w:r>
    </w:p>
    <w:p>
      <w:pPr>
        <w:spacing w:after="100" w:before="80"/>
      </w:pPr>
      <w:r>
        <w:t xml:space="preserve">Enterprise analog: IaaS compute capacity. Raw mass delivery off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1200"/>
        <w:gridCol w:w="19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Vehicle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Weighted Score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TRL</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 Trajectory</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(April 2026)</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SpaceX</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Falcon 9 / Starship</w:t>
            </w:r>
          </w:p>
        </w:tc>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9.1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170+ launches/yr. Starship Block 2 in test program.</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Blue Origin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New Glenn</w:t>
            </w:r>
          </w:p>
        </w:tc>
        <w:tc>
          <w:tcPr>
            <w:tcW w:type="dxa" w:w="1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 achieved Jan 2025. Booster landing Nov 2025.</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Rocket Lab</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Neutron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Electron operational. Neutron first flight 2026.</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ULA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Vulcan Centaur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6.25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NSSL certified. Limited cost trajectory.</w:t>
            </w:r>
          </w:p>
        </w:tc>
      </w:tr>
    </w:tbl>
    <w:p>
      <w:pPr>
        <w:spacing w:after="100" w:before="0"/>
      </w:pPr>
      <w:r>
        <w:t xml:space="preserve"/>
      </w:r>
    </w:p>
    <w:p>
      <w:pPr>
        <w:spacing w:after="100" w:before="80"/>
      </w:pPr>
      <w:r>
        <w:rPr>
          <w:b/>
          <w:bCs/>
        </w:rPr>
        <w:t xml:space="preserve">Layer Assessment: </w:t>
      </w:r>
      <w:r>
        <w:t xml:space="preserve">Transport layer is approaching readiness. SpaceX holds a structural cost advantage that widens as Starship matures. Projected sub-$100/kg to LEO within 3-5 years at full reuse. Blue Origin is the only credible second source.</w:t>
      </w:r>
    </w:p>
    <w:p>
      <w:pPr>
        <w:spacing w:after="120" w:before="0"/>
      </w:pPr>
      <w:r>
        <w:t xml:space="preserve"/>
      </w:r>
    </w:p>
    <w:p>
      <w:pPr>
        <w:pStyle w:val="Heading2"/>
        <w:spacing w:after="120" w:before="280"/>
      </w:pPr>
      <w:r>
        <w:t xml:space="preserve">8.2  Cislunar Transport (Layer 2: LEO to Lunar Surface/Orbit)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1200"/>
        <w:gridCol w:w="19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Vehicle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Weighted Score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TRL</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 Severity</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(April 2026)</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SpaceX</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Starship HLS</w:t>
            </w:r>
          </w:p>
        </w:tc>
        <w:tc>
          <w:tcPr>
            <w:tcW w:type="dxa" w:w="1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Uncrewed lunar demo targeted 2027. Artemis IV assignment.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Blue Origin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Blue Moon MK1</w:t>
            </w:r>
          </w:p>
        </w:tc>
        <w:tc>
          <w:tcPr>
            <w:tcW w:type="dxa" w:w="1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6.15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Robotic cargo. First flight early 2026 on New Glenn.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Intuitive Machines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Nova-C</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5.6</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IM-1 landed Feb 2024 (tipped). IM-2 in progress.</w:t>
            </w:r>
          </w:p>
        </w:tc>
      </w:tr>
    </w:tbl>
    <w:p>
      <w:pPr>
        <w:spacing w:after="120" w:before="0"/>
      </w:pPr>
      <w:r>
        <w:t xml:space="preserve"/>
      </w:r>
    </w:p>
    <w:p>
      <w:pPr>
        <w:pStyle w:val="Heading2"/>
        <w:spacing w:after="120" w:before="280"/>
      </w:pPr>
      <w:r>
        <w:t xml:space="preserve">8.3  Habitation Systems (Layer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1200"/>
        <w:gridCol w:w="19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Station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Weighted Score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TRL</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Crew Capacity</w:t>
            </w:r>
          </w:p>
        </w:tc>
        <w:tc>
          <w:tcPr>
            <w:tcW w:type="dxa" w:w="1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Year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Vast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Haven-1</w:t>
            </w:r>
          </w:p>
        </w:tc>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6.55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2027</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Axiom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Axiom Station</w:t>
            </w:r>
          </w:p>
        </w:tc>
        <w:tc>
          <w:tcPr>
            <w:tcW w:type="dxa" w:w="1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6.05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4-7</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2027+</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Sierra Space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 Reef</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5.45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10</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2027 (slipped)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Voyager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Starlab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TBD</w:t>
            </w:r>
          </w:p>
        </w:tc>
        <w:tc>
          <w:tcPr>
            <w:tcW w:type="dxa" w:w="1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2029</w:t>
            </w:r>
          </w:p>
        </w:tc>
      </w:tr>
    </w:tbl>
    <w:p>
      <w:pPr>
        <w:spacing w:after="120" w:before="0"/>
      </w:pPr>
      <w:r>
        <w:t xml:space="preserve"/>
      </w:r>
    </w:p>
    <w:p>
      <w:pPr>
        <w:pStyle w:val="Heading2"/>
        <w:spacing w:after="120" w:before="280"/>
      </w:pPr>
      <w:r>
        <w:t xml:space="preserve">8.4  ECLSS and Communications (Layers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1200"/>
        <w:gridCol w:w="27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Weighted Score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TRL</w:t>
            </w:r>
          </w:p>
        </w:tc>
        <w:tc>
          <w:tcPr>
            <w:tcW w:type="dxa" w:w="2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ECLSS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Collins Aerospace</w:t>
            </w:r>
          </w:p>
        </w:tc>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7.45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8</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ISS heritage. Highest readiness. Colony scale unproven.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ECLSS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Paragon SDC</w:t>
            </w:r>
          </w:p>
        </w:tc>
        <w:tc>
          <w:tcPr>
            <w:tcW w:type="dxa" w:w="1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Deep space life support. Strong in compact systems.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Communications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NASA DSN</w:t>
            </w:r>
          </w:p>
        </w:tc>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7.2</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Operational. Deep space backbone. Limited capacity.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Communications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SpaceX Starlink</w:t>
            </w:r>
          </w:p>
        </w:tc>
        <w:tc>
          <w:tcPr>
            <w:tcW w:type="dxa" w:w="1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7.45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9</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Cislunar extension planned. Strong cost trajectory.</w:t>
            </w:r>
          </w:p>
        </w:tc>
      </w:tr>
    </w:tbl>
    <w:p>
      <w:pPr>
        <w:spacing w:after="120" w:before="0"/>
      </w:pPr>
      <w:r>
        <w:t xml:space="preserve"/>
      </w:r>
    </w:p>
    <w:p>
      <w:pPr>
        <w:pStyle w:val="Heading2"/>
        <w:spacing w:after="120" w:before="280"/>
      </w:pPr>
      <w:r>
        <w:t xml:space="preserve">8.5  ISRU (Layer 6: Resource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200"/>
        <w:gridCol w:w="25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System</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Weighted Score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TRL</w:t>
            </w:r>
          </w:p>
        </w:tc>
        <w:tc>
          <w:tcPr>
            <w:tcW w:type="dxa" w:w="2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NASA MOXIE (MIT)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O2 from CO2 (Mars)</w:t>
            </w:r>
          </w:p>
        </w:tc>
        <w:tc>
          <w:tcPr>
            <w:tcW w:type="dxa" w:w="1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5.4</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Proven at small scale on Perseverance. Colony scale years away.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Honeybee Robotics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water extraction</w:t>
            </w:r>
          </w:p>
        </w:tc>
        <w:tc>
          <w:tcPr>
            <w:tcW w:type="dxa" w:w="1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5.5</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6</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TRIDENT drill demonstrated. Useful-scale ISRU not yet operational.</w:t>
            </w:r>
          </w:p>
        </w:tc>
      </w:tr>
    </w:tbl>
    <w:p>
      <w:pPr>
        <w:spacing w:after="120" w:before="0"/>
      </w:pPr>
      <w:r>
        <w:t xml:space="preserve"/>
      </w:r>
    </w:p>
    <w:p>
      <w:pPr>
        <w:pStyle w:val="Heading2"/>
        <w:spacing w:after="120" w:before="280"/>
      </w:pPr>
      <w:r>
        <w:t xml:space="preserve">8.6  Artemis Program Status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Mission</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2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Artemis II</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April 1, 2026</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Crewed lunar flyby, no landing</w:t>
            </w:r>
          </w:p>
        </w:tc>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Flew April 1, 2026</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Artemis III</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Mid-2027</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Redesigned to LEO docking test</w:t>
            </w:r>
          </w:p>
        </w:tc>
        <w:tc>
          <w:tcPr>
            <w:tcW w:type="dxa" w:w="24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Scope reduced from first landing</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Artemis IV</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Early 2028</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First crewed lunar landing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Now the primary landing mission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Gateway Station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Paused March 2026</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orbit station</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Budget and scope under review</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Critical Gap:  </w:t>
            </w:r>
            <w:r>
              <w:rPr>
                <w:rFonts w:ascii="Arial" w:cs="Arial" w:eastAsia="Arial" w:hAnsi="Arial"/>
                <w:color w:val="1F3864"/>
                <w:sz w:val="18"/>
                <w:szCs w:val="18"/>
              </w:rPr>
              <w:t xml:space="preserve">The transport layer is approaching readiness. The destination layer is 5-10 years behind. No orbital habitat exists beyond ISS, no ISRU system operates at useful scale, and no closed-loop ECLSS has been demonstrated outside of ISS. The architecture is sound. The supply chain to build it is still forming.</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09  |  </w:t>
            </w:r>
            <w:r>
              <w:rPr>
                <w:rFonts w:ascii="Arial" w:cs="Arial" w:eastAsia="Arial" w:hAnsi="Arial"/>
                <w:b/>
                <w:bCs/>
                <w:color w:val="FFFFFF"/>
                <w:sz w:val="22"/>
                <w:szCs w:val="22"/>
              </w:rPr>
              <w:t xml:space="preserve">WORKLOAD CLASSIFICATION</w:t>
            </w:r>
          </w:p>
        </w:tc>
      </w:tr>
    </w:tbl>
    <w:p>
      <w:pPr>
        <w:spacing w:after="120" w:before="0"/>
      </w:pPr>
      <w:r>
        <w:t xml:space="preserve"/>
      </w:r>
    </w:p>
    <w:p>
      <w:pPr>
        <w:spacing w:after="100" w:before="80"/>
      </w:pPr>
      <w:r>
        <w:t xml:space="preserve">Enterprise workload classification maps applications to their optimal hosting environment based on dependency, portability, and latency requirements. The same logic applies to off-Earth workloads.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000"/>
        <w:gridCol w:w="25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Workload</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Dependencies</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Portability</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Placement</w:t>
            </w:r>
          </w:p>
        </w:tc>
        <w:tc>
          <w:tcPr>
            <w:tcW w:type="dxa" w:w="2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Mining / resource extraction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surface</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Resources are location-bound. Low gravity enables cheap launch.</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Heavy manufacturing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surface</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Proximity to mined inputs. Vacuum environment is useful.</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Light manufacturing / assembly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Moderate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Tunable gravity for precision work. Near cislunar supply chain.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Agriculture / food production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Moderate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Gravity control. Continuous solar. No dust contamination.</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Habitation / residential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Only destination meeting all health specs. Gravity tunable to 1g.</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Science / research</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Any (deploy where needed)</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Portable. Moon for geology, orbital for microgravity, Mars for planetary.</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Transport / logistics hub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Low</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Mobile and repositionable. Hub-and-spoke architecture.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Fuel production / depot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Moderate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 orbital staging</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extracts water, processes propellant. Orbital distributes.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Workload Distribution:  </w:t>
            </w:r>
            <w:r>
              <w:rPr>
                <w:rFonts w:ascii="Arial" w:cs="Arial" w:eastAsia="Arial" w:hAnsi="Arial"/>
                <w:color w:val="1F3864"/>
                <w:sz w:val="18"/>
                <w:szCs w:val="18"/>
              </w:rPr>
              <w:t xml:space="preserve">Mining and heavy manufacturing anchor to the Moon. Habitation, agriculture, and light manufacturing belong in orbital. Science and logistics are portable. Fuel production spans both, with extraction on the Moon and distribution from orbital depots.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10  |  </w:t>
            </w:r>
            <w:r>
              <w:rPr>
                <w:rFonts w:ascii="Arial" w:cs="Arial" w:eastAsia="Arial" w:hAnsi="Arial"/>
                <w:b/>
                <w:bCs/>
                <w:color w:val="FFFFFF"/>
                <w:sz w:val="22"/>
                <w:szCs w:val="22"/>
              </w:rPr>
              <w:t xml:space="preserve">ARCHITECTURE RECOMMENDATION</w:t>
            </w:r>
          </w:p>
        </w:tc>
      </w:tr>
    </w:tbl>
    <w:p>
      <w:pPr>
        <w:spacing w:after="120" w:before="0"/>
      </w:pPr>
      <w:r>
        <w:t xml:space="preserve"/>
      </w:r>
    </w:p>
    <w:p>
      <w:pPr>
        <w:pStyle w:val="Heading2"/>
        <w:spacing w:after="120" w:before="280"/>
      </w:pPr>
      <w:r>
        <w:t xml:space="preserve">10.1  Hybrid Architecture Design</w:t>
      </w:r>
    </w:p>
    <w:p>
      <w:pPr>
        <w:spacing w:after="100" w:before="80"/>
      </w:pPr>
      <w:r>
        <w:t xml:space="preserve">No single destination meets all requirements. The correct architecture is hybrid: Earth as hardened primary, Moon as resource layer, orbital as habitation engine, Mars as long-range deferred edge. This is identical to the enterprise pattern of on-premises primary with cloud regions for scale, elastic compute for growth, and edge nodes for specific latency or jurisdiction requirements.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1800"/>
        <w:gridCol w:w="2280"/>
        <w:gridCol w:w="1800"/>
      </w:tblGrid>
      <w:tr>
        <w:trPr>
          <w:tblHeader/>
        </w:trPr>
        <w:tc>
          <w:tcPr>
            <w:tcW w:type="dxa" w:w="1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Destination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Cloud Analog</w:t>
            </w:r>
          </w:p>
        </w:tc>
        <w:tc>
          <w:tcPr>
            <w:tcW w:type="dxa" w:w="2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Function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Dependency</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Primary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Earth (hardened)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On-premises core</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Control, finance, research, most population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None (existing)</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Resource Layer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surface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Primary cloud region</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Water ice extraction, propellant, raw materials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Earth launch, cislunar transport</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Habitation Engine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 colonies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Elastic compute / Availability Zone</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Population, agriculture, manufacturing, logistics hub</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resources, Earth transport</w:t>
            </w:r>
          </w:p>
        </w:tc>
      </w:tr>
      <w:tr>
        <w:tc>
          <w:tcPr>
            <w:tcW w:type="dxa" w:w="1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Edge Node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 (deferred)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Remote edge deployment</w:t>
            </w:r>
          </w:p>
        </w:tc>
        <w:tc>
          <w:tcPr>
            <w:tcW w:type="dxa" w:w="22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Science, long-range planetary research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Earth / orbital resupply</w:t>
            </w:r>
          </w:p>
        </w:tc>
      </w:tr>
    </w:tbl>
    <w:p>
      <w:pPr>
        <w:spacing w:after="120" w:before="0"/>
      </w:pPr>
      <w:r>
        <w:t xml:space="preserve"/>
      </w:r>
    </w:p>
    <w:p>
      <w:pPr>
        <w:pStyle w:val="Heading2"/>
        <w:spacing w:after="120" w:before="280"/>
      </w:pPr>
      <w:r>
        <w:t xml:space="preserve">10.2  Phased Deployment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360"/>
        <w:gridCol w:w="3200"/>
      </w:tblGrid>
      <w:tr>
        <w:trPr>
          <w:tblHeader/>
        </w:trPr>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Deliverables</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Success Criteria</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2026-2032</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Artemis IV first landing (2028). Cislunar transport routine. Lunar outpost (6 crew). Lunar fission reactor operational. Small commercial orbital station (4-10 crew).</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Sustained lunar surface presence. Power gap solved. Cislunar transport cadence established.</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2030-2038</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 habitat at colony scale (50-100 crew). Rotating habitat demonstrates 1g. Lunar ISRU producing water and propellant. Fuel depot at cislunar node.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Closed-loop ECLSS operational at colony scale. ISRU reduces Earth mass dependency by 40%+.</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2035+</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 colony at 1000+ population. Mars science missions with Earth-return. Long-duration cislunar economy self-sustaining.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 colony economically viable. Mars science program operational.</w:t>
            </w:r>
          </w:p>
        </w:tc>
      </w:tr>
    </w:tbl>
    <w:p>
      <w:pPr>
        <w:spacing w:after="120" w:before="0"/>
      </w:pPr>
      <w:r>
        <w:t xml:space="preserve"/>
      </w:r>
    </w:p>
    <w:p>
      <w:pPr>
        <w:pStyle w:val="Heading2"/>
        <w:spacing w:after="120" w:before="280"/>
      </w:pPr>
      <w:r>
        <w:t xml:space="preserve">10.3  Disaster Recovery Analogy</w:t>
      </w:r>
    </w:p>
    <w:p>
      <w:pPr>
        <w:spacing w:after="100" w:before="80"/>
      </w:pPr>
      <w:r>
        <w:t xml:space="preserve">The correct DR strategy for off-Earth infrastructure is identical to the enterprise standard: protect the primary, build redundancy within reach, and ensure the backup can receive support if it fails. Mars violates this in the same way that an autonomous edge node with no network connectivity violates enterprise DR: you cannot intervene in a failure during a 26-month window with a 24-minute communication delay.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DR Principle</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Enterprise Application</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Off-Earth Application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Protect the primary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Hardened on-premises with redundancy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Earth is the primary. It is survivable. Protect it first.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Build redundancy within reach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DR site within network reach, sub-RTO response</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(3 days) and orbital (hours) are within reach.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Ensure backup can receive support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DR site must be reachable when primary fails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 cannot receive support for 26-month intervals.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Test the DR plan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Regular failover exercises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Artemis program validates the cislunar leg of the plan.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11  |  </w:t>
            </w:r>
            <w:r>
              <w:rPr>
                <w:rFonts w:ascii="Arial" w:cs="Arial" w:eastAsia="Arial" w:hAnsi="Arial"/>
                <w:b/>
                <w:bCs/>
                <w:color w:val="FFFFFF"/>
                <w:sz w:val="22"/>
                <w:szCs w:val="22"/>
              </w:rPr>
              <w:t xml:space="preserve">SENSITIVITY ANALYSIS</w:t>
            </w:r>
          </w:p>
        </w:tc>
      </w:tr>
    </w:tbl>
    <w:p>
      <w:pPr>
        <w:spacing w:after="120" w:before="0"/>
      </w:pPr>
      <w:r>
        <w:t xml:space="preserve"/>
      </w:r>
    </w:p>
    <w:p>
      <w:pPr>
        <w:spacing w:after="100" w:before="80"/>
      </w:pPr>
      <w:r>
        <w:t xml:space="preserve">Six scenarios test the robustness of the orbital recommendation. All scenarios give Mars or Moon maximum benefit of the doubt. Orbital wins every scenario.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1440"/>
        <w:gridCol w:w="1440"/>
        <w:gridCol w:w="144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2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Assumption Changed</w:t>
            </w:r>
          </w:p>
        </w:tc>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Orbital</w:t>
            </w:r>
          </w:p>
        </w:tc>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Moon</w:t>
            </w:r>
          </w:p>
        </w:tc>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Base Case</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changes</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WINS</w:t>
            </w:r>
          </w:p>
        </w:tc>
        <w:tc>
          <w:tcPr>
            <w:tcW w:type="dxa" w:w="14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2nd</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 gravity viable at 0.3g</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Gravity threshold lowered from 0.4g to 0.3g</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WINS</w:t>
            </w:r>
          </w:p>
        </w:tc>
        <w:tc>
          <w:tcPr>
            <w:tcW w:type="dxa" w:w="14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2nd</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Starship halves transport cost</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Mars transport cost weight doubled</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WINS</w:t>
            </w:r>
          </w:p>
        </w:tc>
        <w:tc>
          <w:tcPr>
            <w:tcW w:type="dxa" w:w="14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2nd</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ISRU weight tripled</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ISRU potential weight from 7 to 21</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WINS</w:t>
            </w:r>
          </w:p>
        </w:tc>
        <w:tc>
          <w:tcPr>
            <w:tcW w:type="dxa" w:w="14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2nd</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Best case Mars (gravity + transport)</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Both Mars-favorable assumptions applied</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WINS</w:t>
            </w:r>
          </w:p>
        </w:tc>
        <w:tc>
          <w:tcPr>
            <w:tcW w:type="dxa" w:w="14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2nd</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3rd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Gravity threshold raised to 0.6g</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Raises bar for orbital rotation requirement</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WINS</w:t>
            </w:r>
          </w:p>
        </w:tc>
        <w:tc>
          <w:tcPr>
            <w:tcW w:type="dxa" w:w="144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2nd</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3rd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single" w:color="2E5FA3" w:sz="24"/>
              <w:bottom w:val="single" w:color="2E5FA3" w:sz="8"/>
              <w:right w:val="single" w:color="2E5FA3" w:sz="8"/>
            </w:tcBorders>
            <w:shd w:fill="D5E3F5" w:val="clear"/>
            <w:tcMar>
              <w:top w:type="dxa" w:w="100"/>
              <w:left w:type="dxa" w:w="200"/>
              <w:bottom w:type="dxa" w:w="100"/>
              <w:right w:type="dxa" w:w="200"/>
            </w:tcMar>
          </w:tcPr>
          <w:p>
            <w:r>
              <w:rPr>
                <w:rFonts w:ascii="Arial" w:cs="Arial" w:eastAsia="Arial" w:hAnsi="Arial"/>
                <w:b/>
                <w:bCs/>
                <w:color w:val="1F3864"/>
                <w:sz w:val="18"/>
                <w:szCs w:val="18"/>
              </w:rPr>
              <w:t xml:space="preserve">Robustness:  </w:t>
            </w:r>
            <w:r>
              <w:rPr>
                <w:rFonts w:ascii="Arial" w:cs="Arial" w:eastAsia="Arial" w:hAnsi="Arial"/>
                <w:color w:val="1F3864"/>
                <w:sz w:val="18"/>
                <w:szCs w:val="18"/>
              </w:rPr>
              <w:t xml:space="preserve">The recommendation is robust to all tested assumption changes. The physics constraints on Mars (26-month resupply window, communication delay) are not addressable by any score weighting change. Orbital wins because it passes all Kano Basic requirements, not just because it scores higher.</w:t>
            </w:r>
          </w:p>
        </w:tc>
      </w:tr>
    </w:tbl>
    <w:p>
      <w:pPr>
        <w:spacing w:after="120" w:before="0"/>
      </w:pPr>
      <w:r>
        <w:t xml:space="preserve"/>
      </w:r>
    </w:p>
    <w:p>
      <w:pPr>
        <w:spacing w:after="100" w:before="80"/>
      </w:pPr>
      <w:r>
        <w:rPr>
          <w:b/>
          <w:bCs/>
        </w:rPr>
        <w:t xml:space="preserve">Key insight: </w:t>
      </w:r>
      <w:r>
        <w:t xml:space="preserve">Mars does not lose because of weak scores on soft requirements. Mars loses because it fails two Kano Basic requirements that are permanent physics constraints. No sensitivity test can make a 26-month resupply window into a viable operations model for a human colony.</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12  |  </w:t>
            </w:r>
            <w:r>
              <w:rPr>
                <w:rFonts w:ascii="Arial" w:cs="Arial" w:eastAsia="Arial" w:hAnsi="Arial"/>
                <w:b/>
                <w:bCs/>
                <w:color w:val="FFFFFF"/>
                <w:sz w:val="22"/>
                <w:szCs w:val="22"/>
              </w:rPr>
              <w:t xml:space="preserve">ASSUMPTIONS REGISTER</w:t>
            </w:r>
          </w:p>
        </w:tc>
      </w:tr>
    </w:tbl>
    <w:p>
      <w:pPr>
        <w:spacing w:after="120" w:before="0"/>
      </w:pPr>
      <w:r>
        <w:t xml:space="preserve"/>
      </w:r>
    </w:p>
    <w:p>
      <w:pPr>
        <w:spacing w:after="100" w:before="80"/>
      </w:pPr>
      <w:r>
        <w:t xml:space="preserve">All significant assumptions are documented with their basis, confidence level, and impact if wrong. Medium confidence assumptions were tested in sensitivity analysis. High confidence assumptions are not expected to change recommendation even if wrong.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60"/>
        <w:gridCol w:w="1800"/>
        <w:gridCol w:w="800"/>
        <w:gridCol w:w="3640"/>
      </w:tblGrid>
      <w:tr>
        <w:trPr>
          <w:tblHeader/>
        </w:trPr>
        <w:tc>
          <w:tcPr>
            <w:tcW w:type="dxa" w:w="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Assumption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Basis</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w:t>
            </w:r>
          </w:p>
        </w:tc>
        <w:tc>
          <w:tcPr>
            <w:tcW w:type="dxa" w:w="36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if Wrong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AS-01</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0.4g is minimum viable gravity for long-term human health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NASA Technical Reports 2021</w:t>
            </w:r>
          </w:p>
        </w:tc>
        <w:tc>
          <w:tcPr>
            <w:tcW w:type="dxa" w:w="8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Moon/Mars scores improve if threshold lower. Orbital advantage increases if threshold higher.</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AS-02</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4 RPM rotation comfortable for general population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Globus et al. 2017</w:t>
            </w:r>
          </w:p>
        </w:tc>
        <w:tc>
          <w:tcPr>
            <w:tcW w:type="dxa" w:w="8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Habitat radius must exceed 224m, exponentially increasing construction cost.</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AS-03</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Commercial launch costs continue to fall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Industry trends, SpaceX pricing history</w:t>
            </w:r>
          </w:p>
        </w:tc>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All off-Earth timelines extend by decades. Architecture unchanged.</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AS-04</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Lunar water ice extractable at useful scale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Artemis ISRU objectives</w:t>
            </w:r>
          </w:p>
        </w:tc>
        <w:tc>
          <w:tcPr>
            <w:tcW w:type="dxa" w:w="8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Moon resource layer collapses to Earth-dependent resupply only.</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AS-05</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Colony-scale habitats cost significantly less per person than ISS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Tiangong cost trend, Stanford Torus estimates</w:t>
            </w:r>
          </w:p>
        </w:tc>
        <w:tc>
          <w:tcPr>
            <w:tcW w:type="dxa" w:w="8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Orbital colonies economically nonviable at ISS per-person costs ($21B).</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AS-06</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No credible threat renders Earth uninhabitable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T. Folse nuclear engineering analysis, SIPRI 2025, ESA asteroid tracking</w:t>
            </w:r>
          </w:p>
        </w:tc>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If wrong, Mars-first becomes the correct strategy despite operational weaknesses.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AS-07</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Nuclear exchange survivable with regional infrastructure intact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SIPRI 2025: weapons are finite and targets are selective</w:t>
            </w:r>
          </w:p>
        </w:tc>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Existential urgency argument strengthens. Does not change destination scoring.</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AS-08</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56m radius sufficient for comfortable 1g habitat at 4 RPM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Globus et al. 2017</w:t>
            </w:r>
          </w:p>
        </w:tc>
        <w:tc>
          <w:tcPr>
            <w:tcW w:type="dxa" w:w="800"/>
            <w:tcBorders>
              <w:top w:val="single" w:color="CCCCCC" w:sz="4"/>
              <w:left w:val="single" w:color="CCCCCC" w:sz="4"/>
              <w:bottom w:val="single" w:color="CCCCCC" w:sz="4"/>
              <w:right w:val="single" w:color="CCCCCC" w:sz="4"/>
            </w:tcBorders>
            <w:shd w:fill="FFEB9C"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Medium</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Larger structure needed. Same physics, different scale. Cost increases.</w:t>
            </w:r>
          </w:p>
        </w:tc>
      </w:tr>
      <w:t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AS-09</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NASA priority ordering validates this assessment's MoSCoW framework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NASA 2025 ACR Rev C technology gap prioritization</w:t>
            </w:r>
          </w:p>
        </w:tc>
        <w:tc>
          <w:tcPr>
            <w:tcW w:type="dxa" w:w="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High</w:t>
            </w:r>
          </w:p>
        </w:tc>
        <w:tc>
          <w:tcPr>
            <w:tcW w:type="dxa" w:w="36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18"/>
                <w:szCs w:val="18"/>
              </w:rPr>
              <w:t xml:space="preserve">Independent convergence on same priority ordering provides strong external validation.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color w:val="8EB4E3"/>
                <w:sz w:val="22"/>
                <w:szCs w:val="22"/>
              </w:rPr>
              <w:t xml:space="preserve">SECTION 13  |  </w:t>
            </w:r>
            <w:r>
              <w:rPr>
                <w:rFonts w:ascii="Arial" w:cs="Arial" w:eastAsia="Arial" w:hAnsi="Arial"/>
                <w:b/>
                <w:bCs/>
                <w:color w:val="FFFFFF"/>
                <w:sz w:val="22"/>
                <w:szCs w:val="22"/>
              </w:rPr>
              <w:t xml:space="preserve">SOURCES AND REFERENCES</w:t>
            </w:r>
          </w:p>
        </w:tc>
      </w:tr>
    </w:tbl>
    <w:p>
      <w:pPr>
        <w:spacing w:after="120" w:before="0"/>
      </w:pPr>
      <w:r>
        <w:t xml:space="preserve"/>
      </w:r>
    </w:p>
    <w:p>
      <w:pPr>
        <w:pStyle w:val="Heading2"/>
        <w:spacing w:after="120" w:before="280"/>
      </w:pPr>
      <w:r>
        <w:t xml:space="preserve">Well-Architected Frameworks</w:t>
      </w:r>
    </w:p>
    <w:p>
      <w:pPr>
        <w:pStyle w:val="ListParagraph"/>
        <w:numPr>
          <w:ilvl w:val="0"/>
          <w:numId w:val="2"/>
        </w:numPr>
        <w:spacing w:after="40" w:before="40"/>
      </w:pPr>
      <w:r>
        <w:t xml:space="preserve">IBM Well-Architected Framework (6 pillars) — https://www.ibm.com/think/architectures/well-architected</w:t>
      </w:r>
    </w:p>
    <w:p>
      <w:pPr>
        <w:pStyle w:val="ListParagraph"/>
        <w:numPr>
          <w:ilvl w:val="0"/>
          <w:numId w:val="2"/>
        </w:numPr>
        <w:spacing w:after="40" w:before="40"/>
      </w:pPr>
      <w:r>
        <w:t xml:space="preserve">AWS Well-Architected Framework (6 pillars incl. Sustainability) — https://aws.amazon.com/architecture/well-architected/</w:t>
      </w:r>
    </w:p>
    <w:p>
      <w:pPr>
        <w:pStyle w:val="ListParagraph"/>
        <w:numPr>
          <w:ilvl w:val="0"/>
          <w:numId w:val="2"/>
        </w:numPr>
        <w:spacing w:after="40" w:before="40"/>
      </w:pPr>
      <w:r>
        <w:t xml:space="preserve">Google Cloud Well-Architected Framework — https://docs.cloud.google.com/architecture/framework</w:t>
      </w:r>
    </w:p>
    <w:p>
      <w:pPr>
        <w:spacing w:after="80" w:before="0"/>
      </w:pPr>
      <w:r>
        <w:t xml:space="preserve"/>
      </w:r>
    </w:p>
    <w:p>
      <w:pPr>
        <w:pStyle w:val="Heading2"/>
        <w:spacing w:after="120" w:before="280"/>
      </w:pPr>
      <w:r>
        <w:t xml:space="preserve">NASA Standards and Technical Reports</w:t>
      </w:r>
    </w:p>
    <w:p>
      <w:pPr>
        <w:pStyle w:val="ListParagraph"/>
        <w:numPr>
          <w:ilvl w:val="0"/>
          <w:numId w:val="2"/>
        </w:numPr>
        <w:spacing w:after="40" w:before="40"/>
      </w:pPr>
      <w:r>
        <w:t xml:space="preserve">NASA-STD-3001 Volume 1, Rev C (career radiation limit 600 mSv) — https://www.nasa.gov/wp-content/uploads/2023/11/nasa-std-3001-vol-1-rev-c-with-signature.pdf</w:t>
      </w:r>
    </w:p>
    <w:p>
      <w:pPr>
        <w:pStyle w:val="ListParagraph"/>
        <w:numPr>
          <w:ilvl w:val="0"/>
          <w:numId w:val="2"/>
        </w:numPr>
        <w:spacing w:after="40" w:before="40"/>
      </w:pPr>
      <w:r>
        <w:t xml:space="preserve">NASA-STD-3001 Volume 2 (human factors, habitability) — https://www.nasa.gov/directorates/esdmd/hhp/human-spaceflight-and-aviation-standards/</w:t>
      </w:r>
    </w:p>
    <w:p>
      <w:pPr>
        <w:pStyle w:val="ListParagraph"/>
        <w:numPr>
          <w:ilvl w:val="0"/>
          <w:numId w:val="2"/>
        </w:numPr>
        <w:spacing w:after="40" w:before="40"/>
      </w:pPr>
      <w:r>
        <w:t xml:space="preserve">NASA Five Hazards of Human Spaceflight — https://www.nasa.gov/hrp/hazards/</w:t>
      </w:r>
    </w:p>
    <w:p>
      <w:pPr>
        <w:pStyle w:val="ListParagraph"/>
        <w:numPr>
          <w:ilvl w:val="0"/>
          <w:numId w:val="2"/>
        </w:numPr>
        <w:spacing w:after="40" w:before="40"/>
      </w:pPr>
      <w:r>
        <w:t xml:space="preserve">NASA 2025 Architecture-Driven Technology Gaps, Rev C (57 gaps, priority rankings) — NASA ESDMD</w:t>
      </w:r>
    </w:p>
    <w:p>
      <w:pPr>
        <w:pStyle w:val="ListParagraph"/>
        <w:numPr>
          <w:ilvl w:val="0"/>
          <w:numId w:val="2"/>
        </w:numPr>
        <w:spacing w:after="40" w:before="40"/>
      </w:pPr>
      <w:r>
        <w:t xml:space="preserve">NASA Regen ECLSS Analysis 2021 (open 225kg vs closed 2641kg) — https://ntrs.nasa.gov/citations/20230002103</w:t>
      </w:r>
    </w:p>
    <w:p>
      <w:pPr>
        <w:pStyle w:val="ListParagraph"/>
        <w:numPr>
          <w:ilvl w:val="0"/>
          <w:numId w:val="2"/>
        </w:numPr>
        <w:spacing w:after="40" w:before="40"/>
      </w:pPr>
      <w:r>
        <w:t xml:space="preserve">Artemis Deep Space Habitation — https://ntrs.nasa.gov/api/citations/20220000245/downloads/</w:t>
      </w:r>
    </w:p>
    <w:p>
      <w:pPr>
        <w:pStyle w:val="ListParagraph"/>
        <w:numPr>
          <w:ilvl w:val="0"/>
          <w:numId w:val="2"/>
        </w:numPr>
        <w:spacing w:after="40" w:before="40"/>
      </w:pPr>
      <w:r>
        <w:t xml:space="preserve">ECLSS Options for Mars Transit and Surface Missions — https://ntrs.nasa.gov/citations/20230002103</w:t>
      </w:r>
    </w:p>
    <w:p>
      <w:pPr>
        <w:spacing w:after="80" w:before="0"/>
      </w:pPr>
      <w:r>
        <w:t xml:space="preserve"/>
      </w:r>
    </w:p>
    <w:p>
      <w:pPr>
        <w:pStyle w:val="Heading2"/>
        <w:spacing w:after="120" w:before="280"/>
      </w:pPr>
      <w:r>
        <w:t xml:space="preserve">Gravity and Human Health</w:t>
      </w:r>
    </w:p>
    <w:p>
      <w:pPr>
        <w:pStyle w:val="ListParagraph"/>
        <w:numPr>
          <w:ilvl w:val="0"/>
          <w:numId w:val="2"/>
        </w:numPr>
        <w:spacing w:after="40" w:before="40"/>
      </w:pPr>
      <w:r>
        <w:t xml:space="preserve">The Partial Gravity of the Moon and Mars Appears Insufficient (0.4g threshold) — https://ntrs.nasa.gov/api/citations/20210019591/downloads/ICES-2021-142.pdf</w:t>
      </w:r>
    </w:p>
    <w:p>
      <w:pPr>
        <w:pStyle w:val="ListParagraph"/>
        <w:numPr>
          <w:ilvl w:val="0"/>
          <w:numId w:val="2"/>
        </w:numPr>
        <w:spacing w:after="40" w:before="40"/>
      </w:pPr>
      <w:r>
        <w:t xml:space="preserve">How Will Martian Gravity Affect Skeletal Muscle? (0.33g mitigated but did not prevent atrophy) — https://www.universetoday.com/articles/how-will-martian-gravity-affect-skeletal-muscle</w:t>
      </w:r>
    </w:p>
    <w:p>
      <w:pPr>
        <w:pStyle w:val="ListParagraph"/>
        <w:numPr>
          <w:ilvl w:val="0"/>
          <w:numId w:val="2"/>
        </w:numPr>
        <w:spacing w:after="40" w:before="40"/>
      </w:pPr>
      <w:r>
        <w:t xml:space="preserve">Update on Effects of Microgravity on Musculoskeletal System (20% muscle loss, 30% strength loss per month) — https://pmc.ncbi.nlm.nih.gov/articles/PMC8302614/</w:t>
      </w:r>
    </w:p>
    <w:p>
      <w:pPr>
        <w:pStyle w:val="ListParagraph"/>
        <w:numPr>
          <w:ilvl w:val="0"/>
          <w:numId w:val="2"/>
        </w:numPr>
        <w:spacing w:after="40" w:before="40"/>
      </w:pPr>
      <w:r>
        <w:t xml:space="preserve">Counteracting Bone and Muscle Loss in Microgravity (1% bone density loss/month) — https://www.nasa.gov/missions/station/iss-research/counteracting-bone-and-muscle-loss-in-microgravity/</w:t>
      </w:r>
    </w:p>
    <w:p>
      <w:pPr>
        <w:spacing w:after="80" w:before="0"/>
      </w:pPr>
      <w:r>
        <w:t xml:space="preserve"/>
      </w:r>
    </w:p>
    <w:p>
      <w:pPr>
        <w:pStyle w:val="Heading2"/>
        <w:spacing w:after="120" w:before="280"/>
      </w:pPr>
      <w:r>
        <w:t xml:space="preserve">Habitat and Orbital Colony Design</w:t>
      </w:r>
    </w:p>
    <w:p>
      <w:pPr>
        <w:pStyle w:val="ListParagraph"/>
        <w:numPr>
          <w:ilvl w:val="0"/>
          <w:numId w:val="2"/>
        </w:numPr>
        <w:spacing w:after="40" w:before="40"/>
      </w:pPr>
      <w:r>
        <w:t xml:space="preserve">Globus, A. et al. (2017). Orbital Space Settlement Rotation Study — 4 RPM comfort threshold, 56m minimum radius at 1g</w:t>
      </w:r>
    </w:p>
    <w:p>
      <w:pPr>
        <w:pStyle w:val="ListParagraph"/>
        <w:numPr>
          <w:ilvl w:val="0"/>
          <w:numId w:val="2"/>
        </w:numPr>
        <w:spacing w:after="40" w:before="40"/>
      </w:pPr>
      <w:r>
        <w:t xml:space="preserve">NASA SP-413: Space Settlement Design Study (1975) — Stanford Torus reference design</w:t>
      </w:r>
    </w:p>
    <w:p>
      <w:pPr>
        <w:pStyle w:val="ListParagraph"/>
        <w:numPr>
          <w:ilvl w:val="0"/>
          <w:numId w:val="2"/>
        </w:numPr>
        <w:spacing w:after="40" w:before="40"/>
      </w:pPr>
      <w:r>
        <w:t xml:space="preserve">Kalpana One proposal (Globus, 2007) — $10M per capita at colony scale</w:t>
      </w:r>
    </w:p>
    <w:p>
      <w:pPr>
        <w:pStyle w:val="ListParagraph"/>
        <w:numPr>
          <w:ilvl w:val="0"/>
          <w:numId w:val="2"/>
        </w:numPr>
        <w:spacing w:after="40" w:before="40"/>
      </w:pPr>
      <w:r>
        <w:t xml:space="preserve">Internal Layout of a Lunar Surface Habitat — https://ntrs.nasa.gov/api/citations/20220013669/</w:t>
      </w:r>
    </w:p>
    <w:p>
      <w:pPr>
        <w:spacing w:after="80" w:before="0"/>
      </w:pPr>
      <w:r>
        <w:t xml:space="preserve"/>
      </w:r>
    </w:p>
    <w:p>
      <w:pPr>
        <w:pStyle w:val="Heading2"/>
        <w:spacing w:after="120" w:before="280"/>
      </w:pPr>
      <w:r>
        <w:t xml:space="preserve">Mars Environment and Terraforming</w:t>
      </w:r>
    </w:p>
    <w:p>
      <w:pPr>
        <w:pStyle w:val="ListParagraph"/>
        <w:numPr>
          <w:ilvl w:val="0"/>
          <w:numId w:val="2"/>
        </w:numPr>
        <w:spacing w:after="40" w:before="40"/>
      </w:pPr>
      <w:r>
        <w:t xml:space="preserve">Jakosky and Edwards, Nature Astronomy 2018 — CO2 inventory yields ~7% of Earth pressure — https://lasp.colorado.edu/maven/files/2018/08/</w:t>
      </w:r>
    </w:p>
    <w:p>
      <w:pPr>
        <w:pStyle w:val="ListParagraph"/>
        <w:numPr>
          <w:ilvl w:val="0"/>
          <w:numId w:val="2"/>
        </w:numPr>
        <w:spacing w:after="40" w:before="40"/>
      </w:pPr>
      <w:r>
        <w:t xml:space="preserve">Planetary Society (2025): Can We Make Mars Earth-like Through Terraforming? — https://www.planetary.org/articles/can-we-make-mars-earth-like-through-terraforming</w:t>
      </w:r>
    </w:p>
    <w:p>
      <w:pPr>
        <w:pStyle w:val="ListParagraph"/>
        <w:numPr>
          <w:ilvl w:val="0"/>
          <w:numId w:val="2"/>
        </w:numPr>
        <w:spacing w:after="40" w:before="40"/>
      </w:pPr>
      <w:r>
        <w:t xml:space="preserve">Atmosphere of Mars — 610 Pa surface pressure, 95% CO2 — https://en.wikipedia.org/wiki/Atmosphere_of_Mars</w:t>
      </w:r>
    </w:p>
    <w:p>
      <w:pPr>
        <w:spacing w:after="80" w:before="0"/>
      </w:pPr>
      <w:r>
        <w:t xml:space="preserve"/>
      </w:r>
    </w:p>
    <w:p>
      <w:pPr>
        <w:pStyle w:val="Heading2"/>
        <w:spacing w:after="120" w:before="280"/>
      </w:pPr>
      <w:r>
        <w:t xml:space="preserve">Nuclear and Existential Risk</w:t>
      </w:r>
    </w:p>
    <w:p>
      <w:pPr>
        <w:pStyle w:val="ListParagraph"/>
        <w:numPr>
          <w:ilvl w:val="0"/>
          <w:numId w:val="2"/>
        </w:numPr>
        <w:spacing w:after="40" w:before="40"/>
      </w:pPr>
      <w:r>
        <w:t xml:space="preserve">SIPRI Yearbook 2025 — 12,241 warheads globally, 3,912 deployed — https://www.sipri.org/</w:t>
      </w:r>
    </w:p>
    <w:p>
      <w:pPr>
        <w:pStyle w:val="ListParagraph"/>
        <w:numPr>
          <w:ilvl w:val="0"/>
          <w:numId w:val="2"/>
        </w:numPr>
        <w:spacing w:after="40" w:before="40"/>
      </w:pPr>
      <w:r>
        <w:t xml:space="preserve">ESA Space Situational Awareness — &gt;95% of 1km+ near-Earth objects tracked — https://www.esa.int/Safety_Security/</w:t>
      </w:r>
    </w:p>
    <w:p>
      <w:pPr>
        <w:pStyle w:val="ListParagraph"/>
        <w:numPr>
          <w:ilvl w:val="0"/>
          <w:numId w:val="2"/>
        </w:numPr>
        <w:spacing w:after="40" w:before="40"/>
      </w:pPr>
      <w:r>
        <w:t xml:space="preserve">T. Folse Nuclear Engineering Analysis — Weapons are finite, targets are selective, large areas remain habitable</w:t>
      </w:r>
    </w:p>
    <w:p>
      <w:pPr>
        <w:spacing w:after="80" w:before="0"/>
      </w:pPr>
      <w:r>
        <w:t xml:space="preserve"/>
      </w:r>
    </w:p>
    <w:p>
      <w:pPr>
        <w:pStyle w:val="Heading2"/>
        <w:spacing w:after="120" w:before="280"/>
      </w:pPr>
      <w:r>
        <w:t xml:space="preserve">Provider and Mission Data</w:t>
      </w:r>
    </w:p>
    <w:p>
      <w:pPr>
        <w:pStyle w:val="ListParagraph"/>
        <w:numPr>
          <w:ilvl w:val="0"/>
          <w:numId w:val="2"/>
        </w:numPr>
        <w:spacing w:after="40" w:before="40"/>
      </w:pPr>
      <w:r>
        <w:t xml:space="preserve">SpaceX Starship program status (April 2026) — 11 flights, 6 successful</w:t>
      </w:r>
    </w:p>
    <w:p>
      <w:pPr>
        <w:pStyle w:val="ListParagraph"/>
        <w:numPr>
          <w:ilvl w:val="0"/>
          <w:numId w:val="2"/>
        </w:numPr>
        <w:spacing w:after="40" w:before="40"/>
      </w:pPr>
      <w:r>
        <w:t xml:space="preserve">Blue Origin New Glenn — Orbit achieved January 2025, booster landing November 2025</w:t>
      </w:r>
    </w:p>
    <w:p>
      <w:pPr>
        <w:pStyle w:val="ListParagraph"/>
        <w:numPr>
          <w:ilvl w:val="0"/>
          <w:numId w:val="2"/>
        </w:numPr>
        <w:spacing w:after="40" w:before="40"/>
      </w:pPr>
      <w:r>
        <w:t xml:space="preserve">Intuitive Machines IM-1 — February 2024 landing (tipped on landing)</w:t>
      </w:r>
    </w:p>
    <w:p>
      <w:pPr>
        <w:pStyle w:val="ListParagraph"/>
        <w:numPr>
          <w:ilvl w:val="0"/>
          <w:numId w:val="2"/>
        </w:numPr>
        <w:spacing w:after="40" w:before="40"/>
      </w:pPr>
      <w:r>
        <w:t xml:space="preserve">NASA OIG ISS Cost Reports — $150B total, $21.4B per person</w:t>
      </w:r>
    </w:p>
    <w:p>
      <w:pPr>
        <w:pStyle w:val="ListParagraph"/>
        <w:numPr>
          <w:ilvl w:val="0"/>
          <w:numId w:val="2"/>
        </w:numPr>
        <w:spacing w:after="40" w:before="40"/>
      </w:pPr>
      <w:r>
        <w:t xml:space="preserve">NASA Artemis II — Launched April 1, 2026, crewed lunar flyby</w:t>
      </w:r>
    </w:p>
    <w:p>
      <w:pPr>
        <w:pStyle w:val="ListParagraph"/>
        <w:numPr>
          <w:ilvl w:val="0"/>
          <w:numId w:val="2"/>
        </w:numPr>
        <w:spacing w:after="40" w:before="40"/>
      </w:pPr>
      <w:r>
        <w:t xml:space="preserve">Gateway Station — Paused March 2026, budget and scope under review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jc w:val="center"/>
            </w:pPr>
            <w:r>
              <w:rPr>
                <w:rFonts w:ascii="Arial" w:cs="Arial" w:eastAsia="Arial" w:hAnsi="Arial"/>
                <w:color w:val="595959"/>
                <w:sz w:val="16"/>
                <w:szCs w:val="16"/>
              </w:rPr>
              <w:t xml:space="preserve">Lenticular Tech  |  Architecture Assessment: Off-Earth Colonization Destination Analysis  |  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pPr>
    <w:r>
      <w:rPr>
        <w:rFonts w:ascii="Arial" w:cs="Arial" w:eastAsia="Arial" w:hAnsi="Arial"/>
        <w:color w:val="595959"/>
        <w:sz w:val="16"/>
        <w:szCs w:val="16"/>
      </w:rPr>
      <w:t xml:space="preserve">Lenticular Tech  |  Confidential Portfolio Document  |  April 2026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pPr>
    <w:r>
      <w:rPr>
        <w:rFonts w:ascii="Arial" w:cs="Arial" w:eastAsia="Arial" w:hAnsi="Arial"/>
        <w:color w:val="595959"/>
        <w:sz w:val="16"/>
        <w:szCs w:val="16"/>
      </w:rPr>
      <w:t xml:space="preserve">LENTICULAR TECH  |  Architecture Assessment: Off-Earth Colonization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2026-04-05T19:57:31.060Z</dcterms:created>
  <dcterms:modified xsi:type="dcterms:W3CDTF">2026-04-05T19:57:31.061Z</dcterms:modified>
</cp:coreProperties>
</file>

<file path=docProps/custom.xml><?xml version="1.0" encoding="utf-8"?>
<Properties xmlns="http://schemas.openxmlformats.org/officeDocument/2006/custom-properties" xmlns:vt="http://schemas.openxmlformats.org/officeDocument/2006/docPropsVTypes"/>
</file>