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21E54" w14:textId="0305B85A" w:rsidR="00FE43BC" w:rsidRDefault="00FE43BC" w:rsidP="00FE43BC">
      <w:r w:rsidRPr="00FE43BC">
        <w:t xml:space="preserve">Toro® LH517i is a </w:t>
      </w:r>
      <w:proofErr w:type="gramStart"/>
      <w:r w:rsidRPr="00FE43BC">
        <w:t>high capacity</w:t>
      </w:r>
      <w:proofErr w:type="gramEnd"/>
      <w:r w:rsidRPr="00FE43BC">
        <w:t xml:space="preserve"> loader for 5 x </w:t>
      </w:r>
      <w:proofErr w:type="gramStart"/>
      <w:r w:rsidRPr="00FE43BC">
        <w:t>5 meter</w:t>
      </w:r>
      <w:proofErr w:type="gramEnd"/>
      <w:r w:rsidRPr="00FE43BC">
        <w:t xml:space="preserve"> mining tunnels. With superior hydraulic power for fast bucket filling and drivetrain power for high ramp speed, the loader is designed to quickly clear tunnel headings for rapid advance rates. </w:t>
      </w:r>
    </w:p>
    <w:p w14:paraId="4439185C" w14:textId="77777777" w:rsidR="00FE43BC" w:rsidRDefault="00FE43BC" w:rsidP="00FE43BC">
      <w:r w:rsidRPr="00FE43BC">
        <w:t xml:space="preserve">The loader is equipped with fuel efficient 310kW Tier 2 / Stage II engine as standard. 315kW Stage V and Tier 4f low emission engines are available with use of </w:t>
      </w:r>
      <w:proofErr w:type="spellStart"/>
      <w:r w:rsidRPr="00FE43BC">
        <w:t>ultra low</w:t>
      </w:r>
      <w:proofErr w:type="spellEnd"/>
      <w:r w:rsidRPr="00FE43BC">
        <w:t xml:space="preserve"> </w:t>
      </w:r>
      <w:proofErr w:type="spellStart"/>
      <w:r w:rsidRPr="00FE43BC">
        <w:t>sulphur</w:t>
      </w:r>
      <w:proofErr w:type="spellEnd"/>
      <w:r w:rsidRPr="00FE43BC">
        <w:t xml:space="preserve"> diesel fuel. These optional engines come with an engine break.</w:t>
      </w:r>
    </w:p>
    <w:p w14:paraId="6F7A80D1" w14:textId="33CC6B31" w:rsidR="00B63784" w:rsidRDefault="00FE43BC" w:rsidP="00FE43BC">
      <w:r w:rsidRPr="00FE43BC">
        <w:t>The intelligent loader features many improvements in operator and maintenance ergonomics. The already high level of safety has been further increased to make the operation and maintenance more fluent.</w:t>
      </w:r>
    </w:p>
    <w:p w14:paraId="39D38799" w14:textId="77777777" w:rsidR="00FE43BC" w:rsidRDefault="00FE43BC" w:rsidP="00FE43BC">
      <w:r w:rsidRPr="00FE43BC">
        <w:t xml:space="preserve">Higher productivity and profitability </w:t>
      </w:r>
      <w:proofErr w:type="gramStart"/>
      <w:r w:rsidRPr="00FE43BC">
        <w:t>is</w:t>
      </w:r>
      <w:proofErr w:type="gramEnd"/>
      <w:r w:rsidRPr="00FE43BC">
        <w:t xml:space="preserve"> achieved by better balanced </w:t>
      </w:r>
      <w:proofErr w:type="gramStart"/>
      <w:r w:rsidRPr="00FE43BC">
        <w:t>machine</w:t>
      </w:r>
      <w:proofErr w:type="gramEnd"/>
      <w:r w:rsidRPr="00FE43BC">
        <w:t xml:space="preserve"> and larger bucket size. Rebalancing makes the bucket filling easier and reduces tire wear. Combined with unique bucket filling, Toro® LH517i loader can boost operations to the next level. </w:t>
      </w:r>
    </w:p>
    <w:p w14:paraId="0C9D07E3" w14:textId="7B2AF3AF" w:rsidR="00FE43BC" w:rsidRPr="00FE43BC" w:rsidRDefault="00FE43BC" w:rsidP="00FE43BC">
      <w:r w:rsidRPr="00FE43BC">
        <w:t xml:space="preserve">The loader has integrated intelligence in the form of Sandvik Intelligent Control system, My Sandvik Digital Services Knowledge Box™ on-board hardware and automation readiness. Additional examples of available options are Integrated weighing system and </w:t>
      </w:r>
      <w:proofErr w:type="spellStart"/>
      <w:r w:rsidRPr="00FE43BC">
        <w:t>AutoMine</w:t>
      </w:r>
      <w:proofErr w:type="spellEnd"/>
      <w:r w:rsidRPr="00FE43BC">
        <w:t>® Loading Onboard Package.</w:t>
      </w:r>
    </w:p>
    <w:sectPr w:rsidR="00FE43BC" w:rsidRPr="00FE43BC" w:rsidSect="00D44FED">
      <w:headerReference w:type="default" r:id="rId10"/>
      <w:pgSz w:w="11906" w:h="16838"/>
      <w:pgMar w:top="205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4FD15" w14:textId="77777777" w:rsidR="002A3F56" w:rsidRDefault="002A3F56" w:rsidP="0052274A">
      <w:pPr>
        <w:spacing w:after="0"/>
      </w:pPr>
      <w:r>
        <w:separator/>
      </w:r>
    </w:p>
  </w:endnote>
  <w:endnote w:type="continuationSeparator" w:id="0">
    <w:p w14:paraId="51F2E8B8" w14:textId="77777777" w:rsidR="002A3F56" w:rsidRDefault="002A3F56" w:rsidP="0052274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 SemiBold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3679" w14:textId="77777777" w:rsidR="002A3F56" w:rsidRDefault="002A3F56" w:rsidP="0052274A">
      <w:pPr>
        <w:spacing w:after="0"/>
      </w:pPr>
      <w:r>
        <w:separator/>
      </w:r>
    </w:p>
  </w:footnote>
  <w:footnote w:type="continuationSeparator" w:id="0">
    <w:p w14:paraId="40172570" w14:textId="77777777" w:rsidR="002A3F56" w:rsidRDefault="002A3F56" w:rsidP="005227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252CB" w14:textId="6F48EB85" w:rsidR="00AB38DF" w:rsidRDefault="002A24DB">
    <w:pPr>
      <w:pStyle w:val="Header"/>
    </w:pPr>
    <w:r>
      <w:rPr>
        <w:noProof/>
      </w:rPr>
      <w:drawing>
        <wp:anchor distT="0" distB="0" distL="114300" distR="114300" simplePos="0" relativeHeight="251661312" behindDoc="0" locked="1" layoutInCell="1" allowOverlap="1" wp14:anchorId="26E0781C" wp14:editId="301F34AB">
          <wp:simplePos x="0" y="0"/>
          <wp:positionH relativeFrom="page">
            <wp:posOffset>252095</wp:posOffset>
          </wp:positionH>
          <wp:positionV relativeFrom="page">
            <wp:posOffset>288290</wp:posOffset>
          </wp:positionV>
          <wp:extent cx="1476000" cy="266400"/>
          <wp:effectExtent l="0" t="0" r="0" b="635"/>
          <wp:wrapNone/>
          <wp:docPr id="193452088" name="Graphic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2088" name="Graphic 19345208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6000" cy="26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1AE1"/>
    <w:multiLevelType w:val="multilevel"/>
    <w:tmpl w:val="E1865444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9363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0670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784"/>
    <w:rsid w:val="00000F18"/>
    <w:rsid w:val="00016075"/>
    <w:rsid w:val="000218C3"/>
    <w:rsid w:val="00056331"/>
    <w:rsid w:val="00067F5B"/>
    <w:rsid w:val="00086C34"/>
    <w:rsid w:val="000B5D16"/>
    <w:rsid w:val="000F4300"/>
    <w:rsid w:val="000F63BD"/>
    <w:rsid w:val="00154682"/>
    <w:rsid w:val="0016628D"/>
    <w:rsid w:val="00166E23"/>
    <w:rsid w:val="001726B8"/>
    <w:rsid w:val="00185628"/>
    <w:rsid w:val="001A1FBB"/>
    <w:rsid w:val="001E2566"/>
    <w:rsid w:val="002037D9"/>
    <w:rsid w:val="00237900"/>
    <w:rsid w:val="002438ED"/>
    <w:rsid w:val="002470ED"/>
    <w:rsid w:val="0026707C"/>
    <w:rsid w:val="002916F8"/>
    <w:rsid w:val="002A24DB"/>
    <w:rsid w:val="002A3F56"/>
    <w:rsid w:val="0033383A"/>
    <w:rsid w:val="0035509D"/>
    <w:rsid w:val="00356D16"/>
    <w:rsid w:val="003644FE"/>
    <w:rsid w:val="0039159B"/>
    <w:rsid w:val="003A0DC6"/>
    <w:rsid w:val="003B5CE7"/>
    <w:rsid w:val="003D1286"/>
    <w:rsid w:val="003E7E95"/>
    <w:rsid w:val="004002B1"/>
    <w:rsid w:val="004115D3"/>
    <w:rsid w:val="00420F0B"/>
    <w:rsid w:val="004317D3"/>
    <w:rsid w:val="00446868"/>
    <w:rsid w:val="00451DC8"/>
    <w:rsid w:val="00453BB6"/>
    <w:rsid w:val="00465139"/>
    <w:rsid w:val="00473830"/>
    <w:rsid w:val="004A5122"/>
    <w:rsid w:val="004B0219"/>
    <w:rsid w:val="004B5817"/>
    <w:rsid w:val="0052274A"/>
    <w:rsid w:val="005335A1"/>
    <w:rsid w:val="00560E65"/>
    <w:rsid w:val="005E3926"/>
    <w:rsid w:val="005E5B01"/>
    <w:rsid w:val="00601577"/>
    <w:rsid w:val="006047E1"/>
    <w:rsid w:val="00644A62"/>
    <w:rsid w:val="00654389"/>
    <w:rsid w:val="00684C78"/>
    <w:rsid w:val="006A5751"/>
    <w:rsid w:val="006F70BC"/>
    <w:rsid w:val="007073F0"/>
    <w:rsid w:val="0072706C"/>
    <w:rsid w:val="00773FC7"/>
    <w:rsid w:val="00777886"/>
    <w:rsid w:val="00784F93"/>
    <w:rsid w:val="00785BAB"/>
    <w:rsid w:val="007A2E51"/>
    <w:rsid w:val="00805137"/>
    <w:rsid w:val="008143E4"/>
    <w:rsid w:val="0082152A"/>
    <w:rsid w:val="00831171"/>
    <w:rsid w:val="00831D2A"/>
    <w:rsid w:val="0088153A"/>
    <w:rsid w:val="008D635B"/>
    <w:rsid w:val="00912721"/>
    <w:rsid w:val="00952104"/>
    <w:rsid w:val="00955CC4"/>
    <w:rsid w:val="00986105"/>
    <w:rsid w:val="00A077C7"/>
    <w:rsid w:val="00A11619"/>
    <w:rsid w:val="00A37421"/>
    <w:rsid w:val="00A857A3"/>
    <w:rsid w:val="00A86884"/>
    <w:rsid w:val="00A96269"/>
    <w:rsid w:val="00AB38DF"/>
    <w:rsid w:val="00AE2357"/>
    <w:rsid w:val="00B376D5"/>
    <w:rsid w:val="00B63784"/>
    <w:rsid w:val="00BA4F1B"/>
    <w:rsid w:val="00BA72B0"/>
    <w:rsid w:val="00BB03F8"/>
    <w:rsid w:val="00BB583D"/>
    <w:rsid w:val="00BB62DD"/>
    <w:rsid w:val="00BF07EF"/>
    <w:rsid w:val="00C60307"/>
    <w:rsid w:val="00CB3262"/>
    <w:rsid w:val="00CC7E9B"/>
    <w:rsid w:val="00CF1CB3"/>
    <w:rsid w:val="00D44FED"/>
    <w:rsid w:val="00D650FF"/>
    <w:rsid w:val="00DA1E68"/>
    <w:rsid w:val="00DB6E9F"/>
    <w:rsid w:val="00E116E8"/>
    <w:rsid w:val="00E121BB"/>
    <w:rsid w:val="00E265E2"/>
    <w:rsid w:val="00E36685"/>
    <w:rsid w:val="00E44F58"/>
    <w:rsid w:val="00E97BB4"/>
    <w:rsid w:val="00EC43E3"/>
    <w:rsid w:val="00F42E87"/>
    <w:rsid w:val="00F627BE"/>
    <w:rsid w:val="00F83DBC"/>
    <w:rsid w:val="00F8641D"/>
    <w:rsid w:val="00F9544D"/>
    <w:rsid w:val="00F968B4"/>
    <w:rsid w:val="00FB19AF"/>
    <w:rsid w:val="00FB6D3D"/>
    <w:rsid w:val="00FC495D"/>
    <w:rsid w:val="00FE05A6"/>
    <w:rsid w:val="00FE43BC"/>
    <w:rsid w:val="093E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0736A1"/>
  <w15:chartTrackingRefBased/>
  <w15:docId w15:val="{5ADFE32C-7749-4D3A-94D2-46BB210E4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28D"/>
    <w:pPr>
      <w:spacing w:after="120"/>
    </w:pPr>
    <w:rPr>
      <w:rFonts w:ascii="Inter" w:hAnsi="Inter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3BD"/>
    <w:pPr>
      <w:numPr>
        <w:numId w:val="1"/>
      </w:numPr>
      <w:spacing w:before="480" w:after="160" w:line="259" w:lineRule="auto"/>
      <w:ind w:left="397" w:hanging="397"/>
      <w:outlineLvl w:val="0"/>
    </w:pPr>
    <w:rPr>
      <w:rFonts w:asciiTheme="majorHAnsi" w:eastAsia="MS Mincho" w:hAnsiTheme="majorHAnsi"/>
      <w:b/>
      <w:noProof/>
      <w:sz w:val="40"/>
      <w:szCs w:val="2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438ED"/>
    <w:pPr>
      <w:numPr>
        <w:ilvl w:val="1"/>
      </w:numPr>
      <w:ind w:left="567" w:hanging="567"/>
      <w:outlineLvl w:val="1"/>
    </w:pPr>
    <w:rPr>
      <w:sz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2438ED"/>
    <w:pPr>
      <w:numPr>
        <w:ilvl w:val="2"/>
      </w:numPr>
      <w:spacing w:before="360" w:after="120"/>
      <w:ind w:left="737" w:hanging="737"/>
      <w:outlineLvl w:val="2"/>
    </w:pPr>
    <w:rPr>
      <w:cap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3BD"/>
    <w:rPr>
      <w:rFonts w:asciiTheme="majorHAnsi" w:eastAsia="MS Mincho" w:hAnsiTheme="majorHAnsi"/>
      <w:b/>
      <w:noProof/>
      <w:sz w:val="40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2438ED"/>
    <w:rPr>
      <w:rFonts w:eastAsia="MS Mincho"/>
      <w:caps/>
      <w:noProof/>
      <w:sz w:val="28"/>
      <w:szCs w:val="2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438ED"/>
    <w:rPr>
      <w:rFonts w:eastAsia="MS Mincho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F4300"/>
    <w:pPr>
      <w:tabs>
        <w:tab w:val="right" w:leader="dot" w:pos="9016"/>
      </w:tabs>
      <w:spacing w:after="240" w:line="259" w:lineRule="auto"/>
    </w:pPr>
    <w:rPr>
      <w:rFonts w:eastAsia="MS Mincho"/>
      <w:noProof/>
      <w:szCs w:val="22"/>
    </w:rPr>
  </w:style>
  <w:style w:type="character" w:styleId="Hyperlink">
    <w:name w:val="Hyperlink"/>
    <w:basedOn w:val="DefaultParagraphFont"/>
    <w:uiPriority w:val="99"/>
    <w:unhideWhenUsed/>
    <w:rsid w:val="002438E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38ED"/>
    <w:pPr>
      <w:keepNext/>
      <w:keepLines/>
      <w:numPr>
        <w:numId w:val="0"/>
      </w:numPr>
      <w:spacing w:before="240" w:after="0" w:line="240" w:lineRule="auto"/>
      <w:outlineLvl w:val="9"/>
    </w:pPr>
    <w:rPr>
      <w:rFonts w:eastAsiaTheme="majorEastAsia" w:cstheme="majorBidi"/>
      <w:caps/>
      <w:noProof w:val="0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2274A"/>
  </w:style>
  <w:style w:type="paragraph" w:styleId="Footer">
    <w:name w:val="footer"/>
    <w:basedOn w:val="Normal"/>
    <w:link w:val="FooterChar"/>
    <w:uiPriority w:val="99"/>
    <w:unhideWhenUsed/>
    <w:rsid w:val="0052274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2274A"/>
  </w:style>
  <w:style w:type="character" w:styleId="UnresolvedMention">
    <w:name w:val="Unresolved Mention"/>
    <w:basedOn w:val="DefaultParagraphFont"/>
    <w:uiPriority w:val="99"/>
    <w:semiHidden/>
    <w:unhideWhenUsed/>
    <w:rsid w:val="0052274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9544D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Sandvik">
      <a:majorFont>
        <a:latin typeface="Inter SemiBold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b6202e-e087-41a8-aae0-2bccf9b0399a" xsi:nil="true"/>
    <lcf76f155ced4ddcb4097134ff3c332f xmlns="eabccef0-1806-46ba-aea0-796bb693090a">
      <Terms xmlns="http://schemas.microsoft.com/office/infopath/2007/PartnerControls"/>
    </lcf76f155ced4ddcb4097134ff3c332f>
    <_Flow_SignoffStatus xmlns="eabccef0-1806-46ba-aea0-796bb693090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Industry xmlns="eabccef0-1806-46ba-aea0-796bb693090a" xsi:nil="true"/>
    <GreatDemoType xmlns="eabccef0-1806-46ba-aea0-796bb69309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15A3CD-F81C-4C9C-883E-A361AAB0D2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3D3196-E54C-429A-8B16-CE74AAAE35A9}">
  <ds:schemaRefs>
    <ds:schemaRef ds:uri="http://schemas.microsoft.com/office/2006/metadata/properties"/>
    <ds:schemaRef ds:uri="http://schemas.microsoft.com/office/infopath/2007/PartnerControls"/>
    <ds:schemaRef ds:uri="8eb6202e-e087-41a8-aae0-2bccf9b0399a"/>
    <ds:schemaRef ds:uri="eabccef0-1806-46ba-aea0-796bb693090a"/>
  </ds:schemaRefs>
</ds:datastoreItem>
</file>

<file path=customXml/itemProps3.xml><?xml version="1.0" encoding="utf-8"?>
<ds:datastoreItem xmlns:ds="http://schemas.openxmlformats.org/officeDocument/2006/customXml" ds:itemID="{886337C2-50E2-424F-B5D7-B613BD63BB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Roitto</dc:creator>
  <cp:keywords/>
  <dc:description/>
  <cp:lastModifiedBy>Morten Kvist</cp:lastModifiedBy>
  <cp:revision>27</cp:revision>
  <dcterms:created xsi:type="dcterms:W3CDTF">2023-01-12T09:11:00Z</dcterms:created>
  <dcterms:modified xsi:type="dcterms:W3CDTF">2025-10-03T09:26:00Z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  <property fmtid="{D5CDD505-2E9C-101B-9397-08002B2CF9AE}" pid="3" name="MediaServiceImageTags">
    <vt:lpwstr/>
  </property>
  <property fmtid="{D5CDD505-2E9C-101B-9397-08002B2CF9AE}" pid="4" name="TaxKeyword">
    <vt:lpwstr/>
  </property>
</Properties>
</file>