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164EDFF2" w14:textId="77777777" w:rsidR="001F6BE4" w:rsidRPr="004F349B" w:rsidRDefault="00F73B25" w:rsidP="00570424">
      <w:pPr>
        <w:pStyle w:val="StandardTitelseite"/>
        <w:spacing w:line="360" w:lineRule="auto"/>
        <w:rPr>
          <w:rFonts w:ascii="Times New Roman" w:hAnsi="Times New Roman"/>
          <w:sz w:val="24"/>
          <w:szCs w:val="24"/>
          <w:lang w:val="en-GB"/>
        </w:rPr>
      </w:pPr>
      <w:r w:rsidRPr="004F349B">
        <w:rPr>
          <w:rFonts w:ascii="Times New Roman" w:hAnsi="Times New Roman"/>
          <w:sz w:val="24"/>
          <w:szCs w:val="24"/>
          <w:lang w:val="en-GB"/>
        </w:rPr>
        <w:t>The Preface precedes the Table of Contents. In the Preface, the author usually comments on</w:t>
      </w:r>
      <w:r w:rsidR="001F6BE4" w:rsidRPr="004F349B">
        <w:rPr>
          <w:rFonts w:ascii="Times New Roman" w:hAnsi="Times New Roman"/>
          <w:sz w:val="24"/>
          <w:szCs w:val="24"/>
          <w:lang w:val="en-GB"/>
        </w:rPr>
        <w:t xml:space="preserve"> </w:t>
      </w:r>
      <w:r w:rsidR="001809C6" w:rsidRPr="004F349B">
        <w:rPr>
          <w:rFonts w:ascii="Times New Roman" w:hAnsi="Times New Roman"/>
          <w:sz w:val="24"/>
          <w:szCs w:val="24"/>
          <w:lang w:val="en-GB"/>
        </w:rPr>
        <w:t xml:space="preserve">marginal conditions affecting the thesis, for example its origin, special circumstances </w:t>
      </w:r>
      <w:r w:rsidR="00F904E6" w:rsidRPr="004F349B">
        <w:rPr>
          <w:rFonts w:ascii="Times New Roman" w:hAnsi="Times New Roman"/>
          <w:sz w:val="24"/>
          <w:szCs w:val="24"/>
          <w:lang w:val="en-GB"/>
        </w:rPr>
        <w:t xml:space="preserve">under which it was written </w:t>
      </w:r>
      <w:r w:rsidR="001809C6" w:rsidRPr="004F349B">
        <w:rPr>
          <w:rFonts w:ascii="Times New Roman" w:hAnsi="Times New Roman"/>
          <w:sz w:val="24"/>
          <w:szCs w:val="24"/>
          <w:lang w:val="en-GB"/>
        </w:rPr>
        <w:t>or</w:t>
      </w:r>
      <w:r w:rsidR="00F904E6" w:rsidRPr="004F349B">
        <w:rPr>
          <w:rFonts w:ascii="Times New Roman" w:hAnsi="Times New Roman"/>
          <w:sz w:val="24"/>
          <w:szCs w:val="24"/>
          <w:lang w:val="en-GB"/>
        </w:rPr>
        <w:t xml:space="preserve"> realities worth mentioning beyond the level of content.</w:t>
      </w:r>
    </w:p>
    <w:p w14:paraId="6AF1FF8F" w14:textId="77777777" w:rsidR="00F6444B" w:rsidRPr="004F349B" w:rsidRDefault="00F6444B" w:rsidP="00570424">
      <w:pPr>
        <w:pStyle w:val="StandardTitelseite"/>
        <w:spacing w:line="360" w:lineRule="auto"/>
        <w:rPr>
          <w:rFonts w:ascii="Times New Roman" w:hAnsi="Times New Roman"/>
          <w:sz w:val="24"/>
          <w:szCs w:val="24"/>
          <w:lang w:val="en-GB"/>
        </w:rPr>
      </w:pPr>
    </w:p>
    <w:p w14:paraId="60E5F713" w14:textId="77777777" w:rsidR="001F6BE4" w:rsidRPr="004F349B" w:rsidRDefault="00F904E6" w:rsidP="00A31142">
      <w:pPr>
        <w:pStyle w:val="StandardTitelseite"/>
        <w:spacing w:line="360" w:lineRule="auto"/>
        <w:ind w:firstLine="720"/>
        <w:jc w:val="left"/>
        <w:rPr>
          <w:rFonts w:ascii="Times New Roman" w:hAnsi="Times New Roman"/>
          <w:sz w:val="24"/>
          <w:szCs w:val="24"/>
          <w:lang w:val="en-GB"/>
        </w:rPr>
      </w:pPr>
      <w:r w:rsidRPr="004F349B">
        <w:rPr>
          <w:rFonts w:ascii="Times New Roman" w:hAnsi="Times New Roman"/>
          <w:sz w:val="24"/>
          <w:szCs w:val="24"/>
          <w:lang w:val="en-GB"/>
        </w:rPr>
        <w:t xml:space="preserve">In the Preface (and only in the Preface) </w:t>
      </w:r>
      <w:r w:rsidR="008C40FA">
        <w:rPr>
          <w:rFonts w:ascii="Times New Roman" w:hAnsi="Times New Roman"/>
          <w:sz w:val="24"/>
          <w:szCs w:val="24"/>
          <w:lang w:val="en-GB"/>
        </w:rPr>
        <w:t>the author</w:t>
      </w:r>
      <w:r w:rsidRPr="004F349B">
        <w:rPr>
          <w:rFonts w:ascii="Times New Roman" w:hAnsi="Times New Roman"/>
          <w:sz w:val="24"/>
          <w:szCs w:val="24"/>
          <w:lang w:val="en-GB"/>
        </w:rPr>
        <w:t xml:space="preserve"> can incorporate personal remarks into </w:t>
      </w:r>
      <w:r w:rsidR="008C40FA">
        <w:rPr>
          <w:rFonts w:ascii="Times New Roman" w:hAnsi="Times New Roman"/>
          <w:sz w:val="24"/>
          <w:szCs w:val="24"/>
          <w:lang w:val="en-GB"/>
        </w:rPr>
        <w:t>the</w:t>
      </w:r>
      <w:r w:rsidRPr="004F349B">
        <w:rPr>
          <w:rFonts w:ascii="Times New Roman" w:hAnsi="Times New Roman"/>
          <w:sz w:val="24"/>
          <w:szCs w:val="24"/>
          <w:lang w:val="en-GB"/>
        </w:rPr>
        <w:t xml:space="preserve"> text. These could be acknowledgements and words of gratitude to </w:t>
      </w:r>
      <w:r w:rsidR="008C40FA">
        <w:rPr>
          <w:rFonts w:ascii="Times New Roman" w:hAnsi="Times New Roman"/>
          <w:sz w:val="24"/>
          <w:szCs w:val="24"/>
          <w:lang w:val="en-GB"/>
        </w:rPr>
        <w:t xml:space="preserve">his or her </w:t>
      </w:r>
      <w:r w:rsidRPr="004F349B">
        <w:rPr>
          <w:rFonts w:ascii="Times New Roman" w:hAnsi="Times New Roman"/>
          <w:sz w:val="24"/>
          <w:szCs w:val="24"/>
          <w:lang w:val="en-GB"/>
        </w:rPr>
        <w:t>fa</w:t>
      </w:r>
      <w:r w:rsidR="008C40FA">
        <w:rPr>
          <w:rFonts w:ascii="Times New Roman" w:hAnsi="Times New Roman"/>
          <w:sz w:val="24"/>
          <w:szCs w:val="24"/>
          <w:lang w:val="en-GB"/>
        </w:rPr>
        <w:t>mily,</w:t>
      </w:r>
      <w:r w:rsidRPr="004F349B">
        <w:rPr>
          <w:rFonts w:ascii="Times New Roman" w:hAnsi="Times New Roman"/>
          <w:sz w:val="24"/>
          <w:szCs w:val="24"/>
          <w:lang w:val="en-GB"/>
        </w:rPr>
        <w:t xml:space="preserve"> friends, the University of Applied Sciences, a company or </w:t>
      </w:r>
      <w:r w:rsidR="008753F3" w:rsidRPr="004F349B">
        <w:rPr>
          <w:rFonts w:ascii="Times New Roman" w:hAnsi="Times New Roman"/>
          <w:sz w:val="24"/>
          <w:szCs w:val="24"/>
          <w:lang w:val="en-GB"/>
        </w:rPr>
        <w:t>supervi</w:t>
      </w:r>
      <w:r w:rsidRPr="004F349B">
        <w:rPr>
          <w:rFonts w:ascii="Times New Roman" w:hAnsi="Times New Roman"/>
          <w:sz w:val="24"/>
          <w:szCs w:val="24"/>
          <w:lang w:val="en-GB"/>
        </w:rPr>
        <w:t>sor(s)</w:t>
      </w:r>
      <w:r w:rsidR="004E472B">
        <w:rPr>
          <w:rFonts w:ascii="Times New Roman" w:hAnsi="Times New Roman"/>
          <w:sz w:val="24"/>
          <w:szCs w:val="24"/>
          <w:lang w:val="en-GB"/>
        </w:rPr>
        <w:t>/assessor(s)</w:t>
      </w:r>
      <w:r w:rsidRPr="004F349B">
        <w:rPr>
          <w:rFonts w:ascii="Times New Roman" w:hAnsi="Times New Roman"/>
          <w:sz w:val="24"/>
          <w:szCs w:val="24"/>
          <w:lang w:val="en-GB"/>
        </w:rPr>
        <w:t xml:space="preserve">. Only in this section of </w:t>
      </w:r>
      <w:r w:rsidR="008C40FA">
        <w:rPr>
          <w:rFonts w:ascii="Times New Roman" w:hAnsi="Times New Roman"/>
          <w:sz w:val="24"/>
          <w:szCs w:val="24"/>
          <w:lang w:val="en-GB"/>
        </w:rPr>
        <w:t>the</w:t>
      </w:r>
      <w:r w:rsidR="00C622DD">
        <w:rPr>
          <w:rFonts w:ascii="Times New Roman" w:hAnsi="Times New Roman"/>
          <w:sz w:val="24"/>
          <w:szCs w:val="24"/>
          <w:lang w:val="en-GB"/>
        </w:rPr>
        <w:t>ir</w:t>
      </w:r>
      <w:r w:rsidRPr="004F349B">
        <w:rPr>
          <w:rFonts w:ascii="Times New Roman" w:hAnsi="Times New Roman"/>
          <w:sz w:val="24"/>
          <w:szCs w:val="24"/>
          <w:lang w:val="en-GB"/>
        </w:rPr>
        <w:t xml:space="preserve"> thes</w:t>
      </w:r>
      <w:r w:rsidR="00C622DD">
        <w:rPr>
          <w:rFonts w:ascii="Times New Roman" w:hAnsi="Times New Roman"/>
          <w:sz w:val="24"/>
          <w:szCs w:val="24"/>
          <w:lang w:val="en-GB"/>
        </w:rPr>
        <w:t>e</w:t>
      </w:r>
      <w:r w:rsidRPr="004F349B">
        <w:rPr>
          <w:rFonts w:ascii="Times New Roman" w:hAnsi="Times New Roman"/>
          <w:sz w:val="24"/>
          <w:szCs w:val="24"/>
          <w:lang w:val="en-GB"/>
        </w:rPr>
        <w:t xml:space="preserve">s can </w:t>
      </w:r>
      <w:r w:rsidR="008C40FA">
        <w:rPr>
          <w:rFonts w:ascii="Times New Roman" w:hAnsi="Times New Roman"/>
          <w:sz w:val="24"/>
          <w:szCs w:val="24"/>
          <w:lang w:val="en-GB"/>
        </w:rPr>
        <w:t>authors</w:t>
      </w:r>
      <w:r w:rsidRPr="004F349B">
        <w:rPr>
          <w:rFonts w:ascii="Times New Roman" w:hAnsi="Times New Roman"/>
          <w:sz w:val="24"/>
          <w:szCs w:val="24"/>
          <w:lang w:val="en-GB"/>
        </w:rPr>
        <w:t xml:space="preserve"> use personal pronouns, such as </w:t>
      </w:r>
      <w:r w:rsidRPr="004F349B">
        <w:rPr>
          <w:rFonts w:ascii="Times New Roman" w:hAnsi="Times New Roman"/>
          <w:i/>
          <w:sz w:val="24"/>
          <w:szCs w:val="24"/>
          <w:lang w:val="en-GB"/>
        </w:rPr>
        <w:t>I</w:t>
      </w:r>
      <w:r w:rsidRPr="004F349B">
        <w:rPr>
          <w:rFonts w:ascii="Times New Roman" w:hAnsi="Times New Roman"/>
          <w:sz w:val="24"/>
          <w:szCs w:val="24"/>
          <w:lang w:val="en-GB"/>
        </w:rPr>
        <w:t>,</w:t>
      </w:r>
      <w:r w:rsidRPr="004F349B">
        <w:rPr>
          <w:rFonts w:ascii="Times New Roman" w:hAnsi="Times New Roman"/>
          <w:i/>
          <w:sz w:val="24"/>
          <w:szCs w:val="24"/>
          <w:lang w:val="en-GB"/>
        </w:rPr>
        <w:t xml:space="preserve"> me</w:t>
      </w:r>
      <w:r w:rsidRPr="004F349B">
        <w:rPr>
          <w:rFonts w:ascii="Times New Roman" w:hAnsi="Times New Roman"/>
          <w:sz w:val="24"/>
          <w:szCs w:val="24"/>
          <w:lang w:val="en-GB"/>
        </w:rPr>
        <w:t>,</w:t>
      </w:r>
      <w:r w:rsidRPr="004F349B">
        <w:rPr>
          <w:rFonts w:ascii="Times New Roman" w:hAnsi="Times New Roman"/>
          <w:i/>
          <w:sz w:val="24"/>
          <w:szCs w:val="24"/>
          <w:lang w:val="en-GB"/>
        </w:rPr>
        <w:t xml:space="preserve"> you</w:t>
      </w:r>
      <w:r w:rsidRPr="004F349B">
        <w:rPr>
          <w:rFonts w:ascii="Times New Roman" w:hAnsi="Times New Roman"/>
          <w:sz w:val="24"/>
          <w:szCs w:val="24"/>
          <w:lang w:val="en-GB"/>
        </w:rPr>
        <w:t xml:space="preserve"> and the like.</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1C06CD7" w14:textId="77777777" w:rsidR="00CF38BB"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CF38BB" w:rsidRPr="005D0584">
        <w:rPr>
          <w:lang w:val="en-GB"/>
        </w:rPr>
        <w:t>Abstract</w:t>
      </w:r>
      <w:r w:rsidR="00CF38BB">
        <w:tab/>
      </w:r>
      <w:r w:rsidR="00CF38BB">
        <w:fldChar w:fldCharType="begin"/>
      </w:r>
      <w:r w:rsidR="00CF38BB">
        <w:instrText xml:space="preserve"> PAGEREF _Toc284866357 \h </w:instrText>
      </w:r>
      <w:r w:rsidR="00CF38BB">
        <w:fldChar w:fldCharType="separate"/>
      </w:r>
      <w:r w:rsidR="00CF38BB">
        <w:t>v</w:t>
      </w:r>
      <w:r w:rsidR="00CF38BB">
        <w:fldChar w:fldCharType="end"/>
      </w:r>
    </w:p>
    <w:p w14:paraId="2E1C4C26"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Kurzfassung</w:t>
      </w:r>
      <w:r>
        <w:tab/>
      </w:r>
      <w:r>
        <w:fldChar w:fldCharType="begin"/>
      </w:r>
      <w:r>
        <w:instrText xml:space="preserve"> PAGEREF _Toc284866358 \h </w:instrText>
      </w:r>
      <w:r>
        <w:fldChar w:fldCharType="separate"/>
      </w:r>
      <w:r>
        <w:t>vi</w:t>
      </w:r>
      <w:r>
        <w:fldChar w:fldCharType="end"/>
      </w:r>
    </w:p>
    <w:p w14:paraId="0EA211B1"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Figures</w:t>
      </w:r>
      <w:r>
        <w:tab/>
      </w:r>
      <w:r>
        <w:fldChar w:fldCharType="begin"/>
      </w:r>
      <w:r>
        <w:instrText xml:space="preserve"> PAGEREF _Toc284866359 \h </w:instrText>
      </w:r>
      <w:r>
        <w:fldChar w:fldCharType="separate"/>
      </w:r>
      <w:r>
        <w:t>vii</w:t>
      </w:r>
      <w:r>
        <w:fldChar w:fldCharType="end"/>
      </w:r>
    </w:p>
    <w:p w14:paraId="7A8D7C81"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Symbols</w:t>
      </w:r>
      <w:r>
        <w:tab/>
      </w:r>
      <w:r>
        <w:fldChar w:fldCharType="begin"/>
      </w:r>
      <w:r>
        <w:instrText xml:space="preserve"> PAGEREF _Toc284866360 \h </w:instrText>
      </w:r>
      <w:r>
        <w:fldChar w:fldCharType="separate"/>
      </w:r>
      <w:r>
        <w:t>viii</w:t>
      </w:r>
      <w:r>
        <w:fldChar w:fldCharType="end"/>
      </w:r>
    </w:p>
    <w:p w14:paraId="20EE4C76"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Tables</w:t>
      </w:r>
      <w:r>
        <w:tab/>
      </w:r>
      <w:r>
        <w:fldChar w:fldCharType="begin"/>
      </w:r>
      <w:r>
        <w:instrText xml:space="preserve"> PAGEREF _Toc284866361 \h </w:instrText>
      </w:r>
      <w:r>
        <w:fldChar w:fldCharType="separate"/>
      </w:r>
      <w:r>
        <w:t>ix</w:t>
      </w:r>
      <w:r>
        <w:fldChar w:fldCharType="end"/>
      </w:r>
    </w:p>
    <w:p w14:paraId="70F81E69"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List of Abbreviations</w:t>
      </w:r>
      <w:r>
        <w:tab/>
      </w:r>
      <w:r>
        <w:fldChar w:fldCharType="begin"/>
      </w:r>
      <w:r>
        <w:instrText xml:space="preserve"> PAGEREF _Toc284866362 \h </w:instrText>
      </w:r>
      <w:r>
        <w:fldChar w:fldCharType="separate"/>
      </w:r>
      <w:r>
        <w:t>x</w:t>
      </w:r>
      <w:r>
        <w:fldChar w:fldCharType="end"/>
      </w:r>
    </w:p>
    <w:p w14:paraId="79B39049"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1.</w:t>
      </w:r>
      <w:r>
        <w:rPr>
          <w:rFonts w:asciiTheme="minorHAnsi" w:eastAsiaTheme="minorEastAsia" w:hAnsiTheme="minorHAnsi" w:cstheme="minorBidi"/>
          <w:b w:val="0"/>
          <w:sz w:val="24"/>
          <w:szCs w:val="24"/>
          <w:lang w:val="en-US" w:eastAsia="ja-JP"/>
        </w:rPr>
        <w:tab/>
      </w:r>
      <w:r w:rsidRPr="005D0584">
        <w:rPr>
          <w:lang w:val="en-GB"/>
        </w:rPr>
        <w:t>Large Eddy Simulation</w:t>
      </w:r>
      <w:r>
        <w:tab/>
      </w:r>
      <w:r>
        <w:fldChar w:fldCharType="begin"/>
      </w:r>
      <w:r>
        <w:instrText xml:space="preserve"> PAGEREF _Toc284866363 \h </w:instrText>
      </w:r>
      <w:r>
        <w:fldChar w:fldCharType="separate"/>
      </w:r>
      <w:r>
        <w:t>1</w:t>
      </w:r>
      <w:r>
        <w:fldChar w:fldCharType="end"/>
      </w:r>
    </w:p>
    <w:p w14:paraId="78B34151"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 Idea of LES</w:t>
      </w:r>
      <w:r>
        <w:rPr>
          <w:noProof/>
        </w:rPr>
        <w:tab/>
      </w:r>
      <w:r>
        <w:rPr>
          <w:noProof/>
        </w:rPr>
        <w:fldChar w:fldCharType="begin"/>
      </w:r>
      <w:r>
        <w:rPr>
          <w:noProof/>
        </w:rPr>
        <w:instrText xml:space="preserve"> PAGEREF _Toc284866364 \h </w:instrText>
      </w:r>
      <w:r>
        <w:rPr>
          <w:noProof/>
        </w:rPr>
      </w:r>
      <w:r>
        <w:rPr>
          <w:noProof/>
        </w:rPr>
        <w:fldChar w:fldCharType="separate"/>
      </w:r>
      <w:r>
        <w:rPr>
          <w:noProof/>
        </w:rPr>
        <w:t>1</w:t>
      </w:r>
      <w:r>
        <w:rPr>
          <w:noProof/>
        </w:rPr>
        <w:fldChar w:fldCharType="end"/>
      </w:r>
    </w:p>
    <w:p w14:paraId="0FDDC9EC"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_Toc284866365 \h </w:instrText>
      </w:r>
      <w:r>
        <w:rPr>
          <w:noProof/>
        </w:rPr>
      </w:r>
      <w:r>
        <w:rPr>
          <w:noProof/>
        </w:rPr>
        <w:fldChar w:fldCharType="separate"/>
      </w:r>
      <w:r>
        <w:rPr>
          <w:noProof/>
        </w:rPr>
        <w:t>2</w:t>
      </w:r>
      <w:r>
        <w:rPr>
          <w:noProof/>
        </w:rPr>
        <w:fldChar w:fldCharType="end"/>
      </w:r>
    </w:p>
    <w:p w14:paraId="4A982233"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_Toc284866366 \h </w:instrText>
      </w:r>
      <w:r>
        <w:rPr>
          <w:noProof/>
        </w:rPr>
      </w:r>
      <w:r>
        <w:rPr>
          <w:noProof/>
        </w:rPr>
        <w:fldChar w:fldCharType="separate"/>
      </w:r>
      <w:r>
        <w:rPr>
          <w:noProof/>
        </w:rPr>
        <w:t>2</w:t>
      </w:r>
      <w:r>
        <w:rPr>
          <w:noProof/>
        </w:rPr>
        <w:fldChar w:fldCharType="end"/>
      </w:r>
    </w:p>
    <w:p w14:paraId="4964D299"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1.3.1.</w:t>
      </w:r>
      <w:r>
        <w:rPr>
          <w:rFonts w:asciiTheme="minorHAnsi" w:eastAsiaTheme="minorEastAsia" w:hAnsiTheme="minorHAnsi" w:cstheme="minorBidi"/>
          <w:noProof/>
          <w:sz w:val="24"/>
          <w:szCs w:val="24"/>
          <w:lang w:val="en-US" w:eastAsia="ja-JP"/>
        </w:rPr>
        <w:tab/>
      </w:r>
      <w:r>
        <w:rPr>
          <w:rFonts w:hint="eastAsia"/>
          <w:noProof/>
        </w:rPr>
        <w:t>k-ε Turbulence Model</w:t>
      </w:r>
      <w:r>
        <w:rPr>
          <w:noProof/>
        </w:rPr>
        <w:tab/>
      </w:r>
      <w:r>
        <w:rPr>
          <w:noProof/>
        </w:rPr>
        <w:fldChar w:fldCharType="begin"/>
      </w:r>
      <w:r>
        <w:rPr>
          <w:noProof/>
        </w:rPr>
        <w:instrText xml:space="preserve"> PAGEREF _Toc284866367 \h </w:instrText>
      </w:r>
      <w:r>
        <w:rPr>
          <w:noProof/>
        </w:rPr>
      </w:r>
      <w:r>
        <w:rPr>
          <w:noProof/>
        </w:rPr>
        <w:fldChar w:fldCharType="separate"/>
      </w:r>
      <w:r>
        <w:rPr>
          <w:noProof/>
        </w:rPr>
        <w:t>2</w:t>
      </w:r>
      <w:r>
        <w:rPr>
          <w:noProof/>
        </w:rPr>
        <w:fldChar w:fldCharType="end"/>
      </w:r>
    </w:p>
    <w:p w14:paraId="3BF009C7"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_Toc284866368 \h </w:instrText>
      </w:r>
      <w:r>
        <w:rPr>
          <w:noProof/>
        </w:rPr>
      </w:r>
      <w:r>
        <w:rPr>
          <w:noProof/>
        </w:rPr>
        <w:fldChar w:fldCharType="separate"/>
      </w:r>
      <w:r>
        <w:rPr>
          <w:noProof/>
        </w:rPr>
        <w:t>3</w:t>
      </w:r>
      <w:r>
        <w:rPr>
          <w:noProof/>
        </w:rPr>
        <w:fldChar w:fldCharType="end"/>
      </w:r>
    </w:p>
    <w:p w14:paraId="02B3FB1A"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_Toc284866369 \h </w:instrText>
      </w:r>
      <w:r>
        <w:rPr>
          <w:noProof/>
        </w:rPr>
      </w:r>
      <w:r>
        <w:rPr>
          <w:noProof/>
        </w:rPr>
        <w:fldChar w:fldCharType="separate"/>
      </w:r>
      <w:r>
        <w:rPr>
          <w:noProof/>
        </w:rPr>
        <w:t>3</w:t>
      </w:r>
      <w:r>
        <w:rPr>
          <w:noProof/>
        </w:rPr>
        <w:fldChar w:fldCharType="end"/>
      </w:r>
    </w:p>
    <w:p w14:paraId="4DB4C5D3"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1.4.1.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_Toc284866370 \h </w:instrText>
      </w:r>
      <w:r>
        <w:rPr>
          <w:noProof/>
        </w:rPr>
      </w:r>
      <w:r>
        <w:rPr>
          <w:noProof/>
        </w:rPr>
        <w:fldChar w:fldCharType="separate"/>
      </w:r>
      <w:r>
        <w:rPr>
          <w:noProof/>
        </w:rPr>
        <w:t>3</w:t>
      </w:r>
      <w:r>
        <w:rPr>
          <w:noProof/>
        </w:rPr>
        <w:fldChar w:fldCharType="end"/>
      </w:r>
    </w:p>
    <w:p w14:paraId="2B15FE08"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_Toc284866371 \h </w:instrText>
      </w:r>
      <w:r>
        <w:rPr>
          <w:noProof/>
        </w:rPr>
      </w:r>
      <w:r>
        <w:rPr>
          <w:noProof/>
        </w:rPr>
        <w:fldChar w:fldCharType="separate"/>
      </w:r>
      <w:r>
        <w:rPr>
          <w:noProof/>
        </w:rPr>
        <w:t>3</w:t>
      </w:r>
      <w:r>
        <w:rPr>
          <w:noProof/>
        </w:rPr>
        <w:fldChar w:fldCharType="end"/>
      </w:r>
    </w:p>
    <w:p w14:paraId="05BF433D"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2.</w:t>
      </w:r>
      <w:r>
        <w:rPr>
          <w:rFonts w:asciiTheme="minorHAnsi" w:eastAsiaTheme="minorEastAsia" w:hAnsiTheme="minorHAnsi" w:cstheme="minorBidi"/>
          <w:b w:val="0"/>
          <w:sz w:val="24"/>
          <w:szCs w:val="24"/>
          <w:lang w:val="en-US" w:eastAsia="ja-JP"/>
        </w:rPr>
        <w:tab/>
      </w:r>
      <w:r w:rsidRPr="005D0584">
        <w:rPr>
          <w:lang w:val="en-GB"/>
        </w:rPr>
        <w:t>Methods</w:t>
      </w:r>
      <w:r>
        <w:tab/>
      </w:r>
      <w:r>
        <w:fldChar w:fldCharType="begin"/>
      </w:r>
      <w:r>
        <w:instrText xml:space="preserve"> PAGEREF _Toc284866372 \h </w:instrText>
      </w:r>
      <w:r>
        <w:fldChar w:fldCharType="separate"/>
      </w:r>
      <w:r>
        <w:t>4</w:t>
      </w:r>
      <w:r>
        <w:fldChar w:fldCharType="end"/>
      </w:r>
    </w:p>
    <w:p w14:paraId="158335D5"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2.1.</w:t>
      </w:r>
      <w:r>
        <w:rPr>
          <w:rFonts w:asciiTheme="minorHAnsi" w:eastAsiaTheme="minorEastAsia" w:hAnsiTheme="minorHAnsi" w:cstheme="minorBidi"/>
          <w:noProof/>
          <w:sz w:val="24"/>
          <w:szCs w:val="24"/>
          <w:lang w:val="en-US" w:eastAsia="ja-JP"/>
        </w:rPr>
        <w:tab/>
      </w:r>
      <w:r w:rsidRPr="005D0584">
        <w:rPr>
          <w:noProof/>
          <w:lang w:val="en-GB"/>
        </w:rPr>
        <w:t>Mathematical Foundations</w:t>
      </w:r>
      <w:r>
        <w:rPr>
          <w:noProof/>
        </w:rPr>
        <w:tab/>
      </w:r>
      <w:r>
        <w:rPr>
          <w:noProof/>
        </w:rPr>
        <w:fldChar w:fldCharType="begin"/>
      </w:r>
      <w:r>
        <w:rPr>
          <w:noProof/>
        </w:rPr>
        <w:instrText xml:space="preserve"> PAGEREF _Toc284866373 \h </w:instrText>
      </w:r>
      <w:r>
        <w:rPr>
          <w:noProof/>
        </w:rPr>
      </w:r>
      <w:r>
        <w:rPr>
          <w:noProof/>
        </w:rPr>
        <w:fldChar w:fldCharType="separate"/>
      </w:r>
      <w:r>
        <w:rPr>
          <w:noProof/>
        </w:rPr>
        <w:t>4</w:t>
      </w:r>
      <w:r>
        <w:rPr>
          <w:noProof/>
        </w:rPr>
        <w:fldChar w:fldCharType="end"/>
      </w:r>
    </w:p>
    <w:p w14:paraId="65B4E87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2.1.1.</w:t>
      </w:r>
      <w:r>
        <w:rPr>
          <w:rFonts w:asciiTheme="minorHAnsi" w:eastAsiaTheme="minorEastAsia" w:hAnsiTheme="minorHAnsi" w:cstheme="minorBidi"/>
          <w:noProof/>
          <w:sz w:val="24"/>
          <w:szCs w:val="24"/>
          <w:lang w:val="en-US" w:eastAsia="ja-JP"/>
        </w:rPr>
        <w:tab/>
      </w:r>
      <w:r w:rsidRPr="005D0584">
        <w:rPr>
          <w:noProof/>
          <w:lang w:val="en-GB"/>
        </w:rPr>
        <w:t>Basic Arithmetical Operations</w:t>
      </w:r>
      <w:r>
        <w:rPr>
          <w:noProof/>
        </w:rPr>
        <w:tab/>
      </w:r>
      <w:r>
        <w:rPr>
          <w:noProof/>
        </w:rPr>
        <w:fldChar w:fldCharType="begin"/>
      </w:r>
      <w:r>
        <w:rPr>
          <w:noProof/>
        </w:rPr>
        <w:instrText xml:space="preserve"> PAGEREF _Toc284866374 \h </w:instrText>
      </w:r>
      <w:r>
        <w:rPr>
          <w:noProof/>
        </w:rPr>
      </w:r>
      <w:r>
        <w:rPr>
          <w:noProof/>
        </w:rPr>
        <w:fldChar w:fldCharType="separate"/>
      </w:r>
      <w:r>
        <w:rPr>
          <w:noProof/>
        </w:rPr>
        <w:t>5</w:t>
      </w:r>
      <w:r>
        <w:rPr>
          <w:noProof/>
        </w:rPr>
        <w:fldChar w:fldCharType="end"/>
      </w:r>
    </w:p>
    <w:p w14:paraId="6847375B"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2.1.2.</w:t>
      </w:r>
      <w:r>
        <w:rPr>
          <w:rFonts w:asciiTheme="minorHAnsi" w:eastAsiaTheme="minorEastAsia" w:hAnsiTheme="minorHAnsi" w:cstheme="minorBidi"/>
          <w:noProof/>
          <w:sz w:val="24"/>
          <w:szCs w:val="24"/>
          <w:lang w:val="en-US" w:eastAsia="ja-JP"/>
        </w:rPr>
        <w:tab/>
      </w:r>
      <w:r w:rsidRPr="005D0584">
        <w:rPr>
          <w:noProof/>
          <w:lang w:val="en-GB"/>
        </w:rPr>
        <w:t>Finite-Element Methods (FEM)</w:t>
      </w:r>
      <w:r>
        <w:rPr>
          <w:noProof/>
        </w:rPr>
        <w:tab/>
      </w:r>
      <w:r>
        <w:rPr>
          <w:noProof/>
        </w:rPr>
        <w:fldChar w:fldCharType="begin"/>
      </w:r>
      <w:r>
        <w:rPr>
          <w:noProof/>
        </w:rPr>
        <w:instrText xml:space="preserve"> PAGEREF _Toc284866375 \h </w:instrText>
      </w:r>
      <w:r>
        <w:rPr>
          <w:noProof/>
        </w:rPr>
      </w:r>
      <w:r>
        <w:rPr>
          <w:noProof/>
        </w:rPr>
        <w:fldChar w:fldCharType="separate"/>
      </w:r>
      <w:r>
        <w:rPr>
          <w:noProof/>
        </w:rPr>
        <w:t>5</w:t>
      </w:r>
      <w:r>
        <w:rPr>
          <w:noProof/>
        </w:rPr>
        <w:fldChar w:fldCharType="end"/>
      </w:r>
    </w:p>
    <w:p w14:paraId="0F239041"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2.1.3.</w:t>
      </w:r>
      <w:r>
        <w:rPr>
          <w:rFonts w:asciiTheme="minorHAnsi" w:eastAsiaTheme="minorEastAsia" w:hAnsiTheme="minorHAnsi" w:cstheme="minorBidi"/>
          <w:noProof/>
          <w:sz w:val="24"/>
          <w:szCs w:val="24"/>
          <w:lang w:val="en-US" w:eastAsia="ja-JP"/>
        </w:rPr>
        <w:tab/>
      </w:r>
      <w:r w:rsidRPr="005D0584">
        <w:rPr>
          <w:noProof/>
          <w:lang w:val="en-GB"/>
        </w:rPr>
        <w:t>Methods – 2nd Subheading (Structural Level)</w:t>
      </w:r>
      <w:r>
        <w:rPr>
          <w:noProof/>
        </w:rPr>
        <w:tab/>
      </w:r>
      <w:r>
        <w:rPr>
          <w:noProof/>
        </w:rPr>
        <w:fldChar w:fldCharType="begin"/>
      </w:r>
      <w:r>
        <w:rPr>
          <w:noProof/>
        </w:rPr>
        <w:instrText xml:space="preserve"> PAGEREF _Toc284866376 \h </w:instrText>
      </w:r>
      <w:r>
        <w:rPr>
          <w:noProof/>
        </w:rPr>
      </w:r>
      <w:r>
        <w:rPr>
          <w:noProof/>
        </w:rPr>
        <w:fldChar w:fldCharType="separate"/>
      </w:r>
      <w:r>
        <w:rPr>
          <w:noProof/>
        </w:rPr>
        <w:t>5</w:t>
      </w:r>
      <w:r>
        <w:rPr>
          <w:noProof/>
        </w:rPr>
        <w:fldChar w:fldCharType="end"/>
      </w:r>
    </w:p>
    <w:p w14:paraId="6261BA32"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2.2.</w:t>
      </w:r>
      <w:r>
        <w:rPr>
          <w:rFonts w:asciiTheme="minorHAnsi" w:eastAsiaTheme="minorEastAsia" w:hAnsiTheme="minorHAnsi" w:cstheme="minorBidi"/>
          <w:noProof/>
          <w:sz w:val="24"/>
          <w:szCs w:val="24"/>
          <w:lang w:val="en-US" w:eastAsia="ja-JP"/>
        </w:rPr>
        <w:tab/>
      </w:r>
      <w:r w:rsidRPr="005D0584">
        <w:rPr>
          <w:noProof/>
          <w:lang w:val="en-GB"/>
        </w:rPr>
        <w:t>Mesh generation with Ansys ICEM 14</w:t>
      </w:r>
      <w:r>
        <w:rPr>
          <w:noProof/>
        </w:rPr>
        <w:tab/>
      </w:r>
      <w:r>
        <w:rPr>
          <w:noProof/>
        </w:rPr>
        <w:fldChar w:fldCharType="begin"/>
      </w:r>
      <w:r>
        <w:rPr>
          <w:noProof/>
        </w:rPr>
        <w:instrText xml:space="preserve"> PAGEREF _Toc284866377 \h </w:instrText>
      </w:r>
      <w:r>
        <w:rPr>
          <w:noProof/>
        </w:rPr>
      </w:r>
      <w:r>
        <w:rPr>
          <w:noProof/>
        </w:rPr>
        <w:fldChar w:fldCharType="separate"/>
      </w:r>
      <w:r>
        <w:rPr>
          <w:noProof/>
        </w:rPr>
        <w:t>5</w:t>
      </w:r>
      <w:r>
        <w:rPr>
          <w:noProof/>
        </w:rPr>
        <w:fldChar w:fldCharType="end"/>
      </w:r>
    </w:p>
    <w:p w14:paraId="5A30ECED"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2.2.1.</w:t>
      </w:r>
      <w:r>
        <w:rPr>
          <w:rFonts w:asciiTheme="minorHAnsi" w:eastAsiaTheme="minorEastAsia" w:hAnsiTheme="minorHAnsi" w:cstheme="minorBidi"/>
          <w:noProof/>
          <w:sz w:val="24"/>
          <w:szCs w:val="24"/>
          <w:lang w:val="en-US" w:eastAsia="ja-JP"/>
        </w:rPr>
        <w:tab/>
      </w:r>
      <w:r w:rsidRPr="005D0584">
        <w:rPr>
          <w:noProof/>
          <w:lang w:val="en-GB"/>
        </w:rPr>
        <w:t>Y+ Value</w:t>
      </w:r>
      <w:r>
        <w:rPr>
          <w:noProof/>
        </w:rPr>
        <w:tab/>
      </w:r>
      <w:r>
        <w:rPr>
          <w:noProof/>
        </w:rPr>
        <w:fldChar w:fldCharType="begin"/>
      </w:r>
      <w:r>
        <w:rPr>
          <w:noProof/>
        </w:rPr>
        <w:instrText xml:space="preserve"> PAGEREF _Toc284866378 \h </w:instrText>
      </w:r>
      <w:r>
        <w:rPr>
          <w:noProof/>
        </w:rPr>
      </w:r>
      <w:r>
        <w:rPr>
          <w:noProof/>
        </w:rPr>
        <w:fldChar w:fldCharType="separate"/>
      </w:r>
      <w:r>
        <w:rPr>
          <w:noProof/>
        </w:rPr>
        <w:t>6</w:t>
      </w:r>
      <w:r>
        <w:rPr>
          <w:noProof/>
        </w:rPr>
        <w:fldChar w:fldCharType="end"/>
      </w:r>
    </w:p>
    <w:p w14:paraId="21FE14FE"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2.2.2.</w:t>
      </w:r>
      <w:r>
        <w:rPr>
          <w:rFonts w:asciiTheme="minorHAnsi" w:eastAsiaTheme="minorEastAsia" w:hAnsiTheme="minorHAnsi" w:cstheme="minorBidi"/>
          <w:noProof/>
          <w:sz w:val="24"/>
          <w:szCs w:val="24"/>
          <w:lang w:val="en-US" w:eastAsia="ja-JP"/>
        </w:rPr>
        <w:tab/>
      </w:r>
      <w:r w:rsidRPr="005D0584">
        <w:rPr>
          <w:noProof/>
          <w:lang w:val="en-GB"/>
        </w:rPr>
        <w:t>xxx</w:t>
      </w:r>
      <w:r>
        <w:rPr>
          <w:noProof/>
        </w:rPr>
        <w:tab/>
      </w:r>
      <w:r>
        <w:rPr>
          <w:noProof/>
        </w:rPr>
        <w:fldChar w:fldCharType="begin"/>
      </w:r>
      <w:r>
        <w:rPr>
          <w:noProof/>
        </w:rPr>
        <w:instrText xml:space="preserve"> PAGEREF _Toc284866379 \h </w:instrText>
      </w:r>
      <w:r>
        <w:rPr>
          <w:noProof/>
        </w:rPr>
      </w:r>
      <w:r>
        <w:rPr>
          <w:noProof/>
        </w:rPr>
        <w:fldChar w:fldCharType="separate"/>
      </w:r>
      <w:r>
        <w:rPr>
          <w:noProof/>
        </w:rPr>
        <w:t>7</w:t>
      </w:r>
      <w:r>
        <w:rPr>
          <w:noProof/>
        </w:rPr>
        <w:fldChar w:fldCharType="end"/>
      </w:r>
    </w:p>
    <w:p w14:paraId="2B782665"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2.3.</w:t>
      </w:r>
      <w:r>
        <w:rPr>
          <w:rFonts w:asciiTheme="minorHAnsi" w:eastAsiaTheme="minorEastAsia" w:hAnsiTheme="minorHAnsi" w:cstheme="minorBidi"/>
          <w:noProof/>
          <w:sz w:val="24"/>
          <w:szCs w:val="24"/>
          <w:lang w:val="en-US" w:eastAsia="ja-JP"/>
        </w:rPr>
        <w:tab/>
      </w:r>
      <w:r w:rsidRPr="005D0584">
        <w:rPr>
          <w:noProof/>
          <w:lang w:val="en-GB"/>
        </w:rPr>
        <w:t>Simulation Setup in Ansys CFX-Pre 15</w:t>
      </w:r>
      <w:r>
        <w:rPr>
          <w:noProof/>
        </w:rPr>
        <w:tab/>
      </w:r>
      <w:r>
        <w:rPr>
          <w:noProof/>
        </w:rPr>
        <w:fldChar w:fldCharType="begin"/>
      </w:r>
      <w:r>
        <w:rPr>
          <w:noProof/>
        </w:rPr>
        <w:instrText xml:space="preserve"> PAGEREF _Toc284866380 \h </w:instrText>
      </w:r>
      <w:r>
        <w:rPr>
          <w:noProof/>
        </w:rPr>
      </w:r>
      <w:r>
        <w:rPr>
          <w:noProof/>
        </w:rPr>
        <w:fldChar w:fldCharType="separate"/>
      </w:r>
      <w:r>
        <w:rPr>
          <w:noProof/>
        </w:rPr>
        <w:t>7</w:t>
      </w:r>
      <w:r>
        <w:rPr>
          <w:noProof/>
        </w:rPr>
        <w:fldChar w:fldCharType="end"/>
      </w:r>
    </w:p>
    <w:p w14:paraId="3B65CD87"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2.3.1.</w:t>
      </w:r>
      <w:r>
        <w:rPr>
          <w:rFonts w:asciiTheme="minorHAnsi" w:eastAsiaTheme="minorEastAsia" w:hAnsiTheme="minorHAnsi" w:cstheme="minorBidi"/>
          <w:noProof/>
          <w:sz w:val="24"/>
          <w:szCs w:val="24"/>
          <w:lang w:val="en-US" w:eastAsia="ja-JP"/>
        </w:rPr>
        <w:tab/>
      </w:r>
      <w:r w:rsidRPr="005D0584">
        <w:rPr>
          <w:noProof/>
          <w:lang w:val="en-GB"/>
        </w:rPr>
        <w:t>Domain</w:t>
      </w:r>
      <w:r>
        <w:rPr>
          <w:noProof/>
        </w:rPr>
        <w:tab/>
      </w:r>
      <w:r>
        <w:rPr>
          <w:noProof/>
        </w:rPr>
        <w:fldChar w:fldCharType="begin"/>
      </w:r>
      <w:r>
        <w:rPr>
          <w:noProof/>
        </w:rPr>
        <w:instrText xml:space="preserve"> PAGEREF _Toc284866381 \h </w:instrText>
      </w:r>
      <w:r>
        <w:rPr>
          <w:noProof/>
        </w:rPr>
      </w:r>
      <w:r>
        <w:rPr>
          <w:noProof/>
        </w:rPr>
        <w:fldChar w:fldCharType="separate"/>
      </w:r>
      <w:r>
        <w:rPr>
          <w:noProof/>
        </w:rPr>
        <w:t>7</w:t>
      </w:r>
      <w:r>
        <w:rPr>
          <w:noProof/>
        </w:rPr>
        <w:fldChar w:fldCharType="end"/>
      </w:r>
    </w:p>
    <w:p w14:paraId="4B8A8FE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US"/>
        </w:rPr>
        <w:t>2.3.2.</w:t>
      </w:r>
      <w:r>
        <w:rPr>
          <w:rFonts w:asciiTheme="minorHAnsi" w:eastAsiaTheme="minorEastAsia" w:hAnsiTheme="minorHAnsi" w:cstheme="minorBidi"/>
          <w:noProof/>
          <w:sz w:val="24"/>
          <w:szCs w:val="24"/>
          <w:lang w:val="en-US" w:eastAsia="ja-JP"/>
        </w:rPr>
        <w:tab/>
      </w:r>
      <w:r w:rsidRPr="005D0584">
        <w:rPr>
          <w:noProof/>
          <w:lang w:val="en-US"/>
        </w:rPr>
        <w:t>Analysis Type</w:t>
      </w:r>
      <w:r>
        <w:rPr>
          <w:noProof/>
        </w:rPr>
        <w:tab/>
      </w:r>
      <w:r>
        <w:rPr>
          <w:noProof/>
        </w:rPr>
        <w:fldChar w:fldCharType="begin"/>
      </w:r>
      <w:r>
        <w:rPr>
          <w:noProof/>
        </w:rPr>
        <w:instrText xml:space="preserve"> PAGEREF _Toc284866382 \h </w:instrText>
      </w:r>
      <w:r>
        <w:rPr>
          <w:noProof/>
        </w:rPr>
      </w:r>
      <w:r>
        <w:rPr>
          <w:noProof/>
        </w:rPr>
        <w:fldChar w:fldCharType="separate"/>
      </w:r>
      <w:r>
        <w:rPr>
          <w:noProof/>
        </w:rPr>
        <w:t>7</w:t>
      </w:r>
      <w:r>
        <w:rPr>
          <w:noProof/>
        </w:rPr>
        <w:fldChar w:fldCharType="end"/>
      </w:r>
    </w:p>
    <w:p w14:paraId="1DBF8549"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US"/>
        </w:rPr>
        <w:t>2.3.3.</w:t>
      </w:r>
      <w:r>
        <w:rPr>
          <w:rFonts w:asciiTheme="minorHAnsi" w:eastAsiaTheme="minorEastAsia" w:hAnsiTheme="minorHAnsi" w:cstheme="minorBidi"/>
          <w:noProof/>
          <w:sz w:val="24"/>
          <w:szCs w:val="24"/>
          <w:lang w:val="en-US" w:eastAsia="ja-JP"/>
        </w:rPr>
        <w:tab/>
      </w:r>
      <w:r w:rsidRPr="005D0584">
        <w:rPr>
          <w:noProof/>
          <w:lang w:val="en-US"/>
        </w:rPr>
        <w:t>Boundary Conditions</w:t>
      </w:r>
      <w:r>
        <w:rPr>
          <w:noProof/>
        </w:rPr>
        <w:tab/>
      </w:r>
      <w:r>
        <w:rPr>
          <w:noProof/>
        </w:rPr>
        <w:fldChar w:fldCharType="begin"/>
      </w:r>
      <w:r>
        <w:rPr>
          <w:noProof/>
        </w:rPr>
        <w:instrText xml:space="preserve"> PAGEREF _Toc284866383 \h </w:instrText>
      </w:r>
      <w:r>
        <w:rPr>
          <w:noProof/>
        </w:rPr>
      </w:r>
      <w:r>
        <w:rPr>
          <w:noProof/>
        </w:rPr>
        <w:fldChar w:fldCharType="separate"/>
      </w:r>
      <w:r>
        <w:rPr>
          <w:noProof/>
        </w:rPr>
        <w:t>8</w:t>
      </w:r>
      <w:r>
        <w:rPr>
          <w:noProof/>
        </w:rPr>
        <w:fldChar w:fldCharType="end"/>
      </w:r>
    </w:p>
    <w:p w14:paraId="5768F85E"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2.3.4.</w:t>
      </w:r>
      <w:r>
        <w:rPr>
          <w:rFonts w:asciiTheme="minorHAnsi" w:eastAsiaTheme="minorEastAsia" w:hAnsiTheme="minorHAnsi" w:cstheme="minorBidi"/>
          <w:noProof/>
          <w:sz w:val="24"/>
          <w:szCs w:val="24"/>
          <w:lang w:val="en-US" w:eastAsia="ja-JP"/>
        </w:rPr>
        <w:tab/>
      </w:r>
      <w:r w:rsidRPr="005D0584">
        <w:rPr>
          <w:noProof/>
          <w:lang w:val="en-GB"/>
        </w:rPr>
        <w:t>Initial Conditions</w:t>
      </w:r>
      <w:r>
        <w:rPr>
          <w:noProof/>
        </w:rPr>
        <w:tab/>
      </w:r>
      <w:r>
        <w:rPr>
          <w:noProof/>
        </w:rPr>
        <w:fldChar w:fldCharType="begin"/>
      </w:r>
      <w:r>
        <w:rPr>
          <w:noProof/>
        </w:rPr>
        <w:instrText xml:space="preserve"> PAGEREF _Toc284866384 \h </w:instrText>
      </w:r>
      <w:r>
        <w:rPr>
          <w:noProof/>
        </w:rPr>
      </w:r>
      <w:r>
        <w:rPr>
          <w:noProof/>
        </w:rPr>
        <w:fldChar w:fldCharType="separate"/>
      </w:r>
      <w:r>
        <w:rPr>
          <w:noProof/>
        </w:rPr>
        <w:t>8</w:t>
      </w:r>
      <w:r>
        <w:rPr>
          <w:noProof/>
        </w:rPr>
        <w:fldChar w:fldCharType="end"/>
      </w:r>
    </w:p>
    <w:p w14:paraId="710D067C"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2.3.5.</w:t>
      </w:r>
      <w:r>
        <w:rPr>
          <w:rFonts w:asciiTheme="minorHAnsi" w:eastAsiaTheme="minorEastAsia" w:hAnsiTheme="minorHAnsi" w:cstheme="minorBidi"/>
          <w:noProof/>
          <w:sz w:val="24"/>
          <w:szCs w:val="24"/>
          <w:lang w:val="en-US" w:eastAsia="ja-JP"/>
        </w:rPr>
        <w:tab/>
      </w:r>
      <w:r w:rsidRPr="005D0584">
        <w:rPr>
          <w:noProof/>
          <w:lang w:val="en-GB"/>
        </w:rPr>
        <w:t>Solver Control Settings</w:t>
      </w:r>
      <w:r>
        <w:rPr>
          <w:noProof/>
        </w:rPr>
        <w:tab/>
      </w:r>
      <w:r>
        <w:rPr>
          <w:noProof/>
        </w:rPr>
        <w:fldChar w:fldCharType="begin"/>
      </w:r>
      <w:r>
        <w:rPr>
          <w:noProof/>
        </w:rPr>
        <w:instrText xml:space="preserve"> PAGEREF _Toc284866385 \h </w:instrText>
      </w:r>
      <w:r>
        <w:rPr>
          <w:noProof/>
        </w:rPr>
      </w:r>
      <w:r>
        <w:rPr>
          <w:noProof/>
        </w:rPr>
        <w:fldChar w:fldCharType="separate"/>
      </w:r>
      <w:r>
        <w:rPr>
          <w:noProof/>
        </w:rPr>
        <w:t>8</w:t>
      </w:r>
      <w:r>
        <w:rPr>
          <w:noProof/>
        </w:rPr>
        <w:fldChar w:fldCharType="end"/>
      </w:r>
    </w:p>
    <w:p w14:paraId="1BBEC92C"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2.3.6.</w:t>
      </w:r>
      <w:r>
        <w:rPr>
          <w:rFonts w:asciiTheme="minorHAnsi" w:eastAsiaTheme="minorEastAsia" w:hAnsiTheme="minorHAnsi" w:cstheme="minorBidi"/>
          <w:noProof/>
          <w:sz w:val="24"/>
          <w:szCs w:val="24"/>
          <w:lang w:val="en-US" w:eastAsia="ja-JP"/>
        </w:rPr>
        <w:tab/>
      </w:r>
      <w:r w:rsidRPr="005D0584">
        <w:rPr>
          <w:noProof/>
          <w:lang w:val="en-GB"/>
        </w:rPr>
        <w:t>Output Control</w:t>
      </w:r>
      <w:r>
        <w:rPr>
          <w:noProof/>
        </w:rPr>
        <w:tab/>
      </w:r>
      <w:r>
        <w:rPr>
          <w:noProof/>
        </w:rPr>
        <w:fldChar w:fldCharType="begin"/>
      </w:r>
      <w:r>
        <w:rPr>
          <w:noProof/>
        </w:rPr>
        <w:instrText xml:space="preserve"> PAGEREF _Toc284866386 \h </w:instrText>
      </w:r>
      <w:r>
        <w:rPr>
          <w:noProof/>
        </w:rPr>
      </w:r>
      <w:r>
        <w:rPr>
          <w:noProof/>
        </w:rPr>
        <w:fldChar w:fldCharType="separate"/>
      </w:r>
      <w:r>
        <w:rPr>
          <w:noProof/>
        </w:rPr>
        <w:t>9</w:t>
      </w:r>
      <w:r>
        <w:rPr>
          <w:noProof/>
        </w:rPr>
        <w:fldChar w:fldCharType="end"/>
      </w:r>
    </w:p>
    <w:p w14:paraId="013855DC"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2.4.</w:t>
      </w:r>
      <w:r>
        <w:rPr>
          <w:rFonts w:asciiTheme="minorHAnsi" w:eastAsiaTheme="minorEastAsia" w:hAnsiTheme="minorHAnsi" w:cstheme="minorBidi"/>
          <w:noProof/>
          <w:sz w:val="24"/>
          <w:szCs w:val="24"/>
          <w:lang w:val="en-US" w:eastAsia="ja-JP"/>
        </w:rPr>
        <w:tab/>
      </w:r>
      <w:r w:rsidRPr="005D0584">
        <w:rPr>
          <w:noProof/>
          <w:lang w:val="en-GB"/>
        </w:rPr>
        <w:t>Solution with Ansys CFX-Solver-Manager 15.0</w:t>
      </w:r>
      <w:r>
        <w:rPr>
          <w:noProof/>
        </w:rPr>
        <w:tab/>
      </w:r>
      <w:r>
        <w:rPr>
          <w:noProof/>
        </w:rPr>
        <w:fldChar w:fldCharType="begin"/>
      </w:r>
      <w:r>
        <w:rPr>
          <w:noProof/>
        </w:rPr>
        <w:instrText xml:space="preserve"> PAGEREF _Toc284866387 \h </w:instrText>
      </w:r>
      <w:r>
        <w:rPr>
          <w:noProof/>
        </w:rPr>
      </w:r>
      <w:r>
        <w:rPr>
          <w:noProof/>
        </w:rPr>
        <w:fldChar w:fldCharType="separate"/>
      </w:r>
      <w:r>
        <w:rPr>
          <w:noProof/>
        </w:rPr>
        <w:t>9</w:t>
      </w:r>
      <w:r>
        <w:rPr>
          <w:noProof/>
        </w:rPr>
        <w:fldChar w:fldCharType="end"/>
      </w:r>
    </w:p>
    <w:p w14:paraId="6942873A"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2.5.</w:t>
      </w:r>
      <w:r>
        <w:rPr>
          <w:rFonts w:asciiTheme="minorHAnsi" w:eastAsiaTheme="minorEastAsia" w:hAnsiTheme="minorHAnsi" w:cstheme="minorBidi"/>
          <w:noProof/>
          <w:sz w:val="24"/>
          <w:szCs w:val="24"/>
          <w:lang w:val="en-US" w:eastAsia="ja-JP"/>
        </w:rPr>
        <w:tab/>
      </w:r>
      <w:r>
        <w:rPr>
          <w:noProof/>
        </w:rPr>
        <w:t>Post-Processing with Ansys CFX-Post 15.0</w:t>
      </w:r>
      <w:r>
        <w:rPr>
          <w:noProof/>
        </w:rPr>
        <w:tab/>
      </w:r>
      <w:r>
        <w:rPr>
          <w:noProof/>
        </w:rPr>
        <w:fldChar w:fldCharType="begin"/>
      </w:r>
      <w:r>
        <w:rPr>
          <w:noProof/>
        </w:rPr>
        <w:instrText xml:space="preserve"> PAGEREF _Toc284866388 \h </w:instrText>
      </w:r>
      <w:r>
        <w:rPr>
          <w:noProof/>
        </w:rPr>
      </w:r>
      <w:r>
        <w:rPr>
          <w:noProof/>
        </w:rPr>
        <w:fldChar w:fldCharType="separate"/>
      </w:r>
      <w:r>
        <w:rPr>
          <w:noProof/>
        </w:rPr>
        <w:t>10</w:t>
      </w:r>
      <w:r>
        <w:rPr>
          <w:noProof/>
        </w:rPr>
        <w:fldChar w:fldCharType="end"/>
      </w:r>
    </w:p>
    <w:p w14:paraId="384A9FA7"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3.</w:t>
      </w:r>
      <w:r>
        <w:rPr>
          <w:rFonts w:asciiTheme="minorHAnsi" w:eastAsiaTheme="minorEastAsia" w:hAnsiTheme="minorHAnsi" w:cstheme="minorBidi"/>
          <w:b w:val="0"/>
          <w:sz w:val="24"/>
          <w:szCs w:val="24"/>
          <w:lang w:val="en-US" w:eastAsia="ja-JP"/>
        </w:rPr>
        <w:tab/>
      </w:r>
      <w:r w:rsidRPr="005D0584">
        <w:rPr>
          <w:lang w:val="en-GB"/>
        </w:rPr>
        <w:t>Results</w:t>
      </w:r>
      <w:r>
        <w:tab/>
      </w:r>
      <w:r>
        <w:fldChar w:fldCharType="begin"/>
      </w:r>
      <w:r>
        <w:instrText xml:space="preserve"> PAGEREF _Toc284866389 \h </w:instrText>
      </w:r>
      <w:r>
        <w:fldChar w:fldCharType="separate"/>
      </w:r>
      <w:r>
        <w:t>11</w:t>
      </w:r>
      <w:r>
        <w:fldChar w:fldCharType="end"/>
      </w:r>
    </w:p>
    <w:p w14:paraId="21DB97F8"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3.1.</w:t>
      </w:r>
      <w:r>
        <w:rPr>
          <w:rFonts w:asciiTheme="minorHAnsi" w:eastAsiaTheme="minorEastAsia" w:hAnsiTheme="minorHAnsi" w:cstheme="minorBidi"/>
          <w:noProof/>
          <w:sz w:val="24"/>
          <w:szCs w:val="24"/>
          <w:lang w:val="en-US" w:eastAsia="ja-JP"/>
        </w:rPr>
        <w:tab/>
      </w:r>
      <w:r w:rsidRPr="005D0584">
        <w:rPr>
          <w:noProof/>
          <w:lang w:val="en-GB"/>
        </w:rPr>
        <w:t>Results – 1st Subheading (Structural Level)</w:t>
      </w:r>
      <w:r>
        <w:rPr>
          <w:noProof/>
        </w:rPr>
        <w:tab/>
      </w:r>
      <w:r>
        <w:rPr>
          <w:noProof/>
        </w:rPr>
        <w:fldChar w:fldCharType="begin"/>
      </w:r>
      <w:r>
        <w:rPr>
          <w:noProof/>
        </w:rPr>
        <w:instrText xml:space="preserve"> PAGEREF _Toc284866390 \h </w:instrText>
      </w:r>
      <w:r>
        <w:rPr>
          <w:noProof/>
        </w:rPr>
      </w:r>
      <w:r>
        <w:rPr>
          <w:noProof/>
        </w:rPr>
        <w:fldChar w:fldCharType="separate"/>
      </w:r>
      <w:r>
        <w:rPr>
          <w:noProof/>
        </w:rPr>
        <w:t>11</w:t>
      </w:r>
      <w:r>
        <w:rPr>
          <w:noProof/>
        </w:rPr>
        <w:fldChar w:fldCharType="end"/>
      </w:r>
    </w:p>
    <w:p w14:paraId="0061D7D2"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3.1.1.</w:t>
      </w:r>
      <w:r>
        <w:rPr>
          <w:rFonts w:asciiTheme="minorHAnsi" w:eastAsiaTheme="minorEastAsia" w:hAnsiTheme="minorHAnsi" w:cstheme="minorBidi"/>
          <w:noProof/>
          <w:sz w:val="24"/>
          <w:szCs w:val="24"/>
          <w:lang w:val="en-US" w:eastAsia="ja-JP"/>
        </w:rPr>
        <w:tab/>
      </w:r>
      <w:r w:rsidRPr="005D0584">
        <w:rPr>
          <w:noProof/>
          <w:lang w:val="en-GB"/>
        </w:rPr>
        <w:t>Results – 2nd Subheading (Structural Level)</w:t>
      </w:r>
      <w:r>
        <w:rPr>
          <w:noProof/>
        </w:rPr>
        <w:tab/>
      </w:r>
      <w:r>
        <w:rPr>
          <w:noProof/>
        </w:rPr>
        <w:fldChar w:fldCharType="begin"/>
      </w:r>
      <w:r>
        <w:rPr>
          <w:noProof/>
        </w:rPr>
        <w:instrText xml:space="preserve"> PAGEREF _Toc284866391 \h </w:instrText>
      </w:r>
      <w:r>
        <w:rPr>
          <w:noProof/>
        </w:rPr>
      </w:r>
      <w:r>
        <w:rPr>
          <w:noProof/>
        </w:rPr>
        <w:fldChar w:fldCharType="separate"/>
      </w:r>
      <w:r>
        <w:rPr>
          <w:noProof/>
        </w:rPr>
        <w:t>11</w:t>
      </w:r>
      <w:r>
        <w:rPr>
          <w:noProof/>
        </w:rPr>
        <w:fldChar w:fldCharType="end"/>
      </w:r>
    </w:p>
    <w:p w14:paraId="44A134C8" w14:textId="77777777" w:rsidR="00CF38BB" w:rsidRDefault="00CF38BB">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5D0584">
        <w:rPr>
          <w:noProof/>
          <w:lang w:val="en-GB"/>
        </w:rPr>
        <w:t>3.1.2.</w:t>
      </w:r>
      <w:r>
        <w:rPr>
          <w:rFonts w:asciiTheme="minorHAnsi" w:eastAsiaTheme="minorEastAsia" w:hAnsiTheme="minorHAnsi" w:cstheme="minorBidi"/>
          <w:noProof/>
          <w:sz w:val="24"/>
          <w:szCs w:val="24"/>
          <w:lang w:val="en-US" w:eastAsia="ja-JP"/>
        </w:rPr>
        <w:tab/>
      </w:r>
      <w:r w:rsidRPr="005D0584">
        <w:rPr>
          <w:noProof/>
          <w:lang w:val="en-GB"/>
        </w:rPr>
        <w:t>Results – 2nd Subheading (Structural Level)</w:t>
      </w:r>
      <w:r>
        <w:rPr>
          <w:noProof/>
        </w:rPr>
        <w:tab/>
      </w:r>
      <w:r>
        <w:rPr>
          <w:noProof/>
        </w:rPr>
        <w:fldChar w:fldCharType="begin"/>
      </w:r>
      <w:r>
        <w:rPr>
          <w:noProof/>
        </w:rPr>
        <w:instrText xml:space="preserve"> PAGEREF _Toc284866392 \h </w:instrText>
      </w:r>
      <w:r>
        <w:rPr>
          <w:noProof/>
        </w:rPr>
      </w:r>
      <w:r>
        <w:rPr>
          <w:noProof/>
        </w:rPr>
        <w:fldChar w:fldCharType="separate"/>
      </w:r>
      <w:r>
        <w:rPr>
          <w:noProof/>
        </w:rPr>
        <w:t>11</w:t>
      </w:r>
      <w:r>
        <w:rPr>
          <w:noProof/>
        </w:rPr>
        <w:fldChar w:fldCharType="end"/>
      </w:r>
    </w:p>
    <w:p w14:paraId="7772BDE9"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3.2.</w:t>
      </w:r>
      <w:r>
        <w:rPr>
          <w:rFonts w:asciiTheme="minorHAnsi" w:eastAsiaTheme="minorEastAsia" w:hAnsiTheme="minorHAnsi" w:cstheme="minorBidi"/>
          <w:noProof/>
          <w:sz w:val="24"/>
          <w:szCs w:val="24"/>
          <w:lang w:val="en-US" w:eastAsia="ja-JP"/>
        </w:rPr>
        <w:tab/>
      </w:r>
      <w:r w:rsidRPr="005D0584">
        <w:rPr>
          <w:noProof/>
          <w:lang w:val="en-GB"/>
        </w:rPr>
        <w:t>Results – 1st Subheading (Structural Level)</w:t>
      </w:r>
      <w:r>
        <w:rPr>
          <w:noProof/>
        </w:rPr>
        <w:tab/>
      </w:r>
      <w:r>
        <w:rPr>
          <w:noProof/>
        </w:rPr>
        <w:fldChar w:fldCharType="begin"/>
      </w:r>
      <w:r>
        <w:rPr>
          <w:noProof/>
        </w:rPr>
        <w:instrText xml:space="preserve"> PAGEREF _Toc284866393 \h </w:instrText>
      </w:r>
      <w:r>
        <w:rPr>
          <w:noProof/>
        </w:rPr>
      </w:r>
      <w:r>
        <w:rPr>
          <w:noProof/>
        </w:rPr>
        <w:fldChar w:fldCharType="separate"/>
      </w:r>
      <w:r>
        <w:rPr>
          <w:noProof/>
        </w:rPr>
        <w:t>11</w:t>
      </w:r>
      <w:r>
        <w:rPr>
          <w:noProof/>
        </w:rPr>
        <w:fldChar w:fldCharType="end"/>
      </w:r>
    </w:p>
    <w:p w14:paraId="07EC9965"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4.</w:t>
      </w:r>
      <w:r>
        <w:rPr>
          <w:rFonts w:asciiTheme="minorHAnsi" w:eastAsiaTheme="minorEastAsia" w:hAnsiTheme="minorHAnsi" w:cstheme="minorBidi"/>
          <w:b w:val="0"/>
          <w:sz w:val="24"/>
          <w:szCs w:val="24"/>
          <w:lang w:val="en-US" w:eastAsia="ja-JP"/>
        </w:rPr>
        <w:tab/>
      </w:r>
      <w:r w:rsidRPr="005D0584">
        <w:rPr>
          <w:lang w:val="en-GB"/>
        </w:rPr>
        <w:t>Discussion</w:t>
      </w:r>
      <w:r>
        <w:tab/>
      </w:r>
      <w:r>
        <w:fldChar w:fldCharType="begin"/>
      </w:r>
      <w:r>
        <w:instrText xml:space="preserve"> PAGEREF _Toc284866394 \h </w:instrText>
      </w:r>
      <w:r>
        <w:fldChar w:fldCharType="separate"/>
      </w:r>
      <w:r>
        <w:t>12</w:t>
      </w:r>
      <w:r>
        <w:fldChar w:fldCharType="end"/>
      </w:r>
    </w:p>
    <w:p w14:paraId="1AC57403"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4.1.</w:t>
      </w:r>
      <w:r>
        <w:rPr>
          <w:rFonts w:asciiTheme="minorHAnsi" w:eastAsiaTheme="minorEastAsia" w:hAnsiTheme="minorHAnsi" w:cstheme="minorBidi"/>
          <w:noProof/>
          <w:sz w:val="24"/>
          <w:szCs w:val="24"/>
          <w:lang w:val="en-US" w:eastAsia="ja-JP"/>
        </w:rPr>
        <w:tab/>
      </w:r>
      <w:r w:rsidRPr="005D0584">
        <w:rPr>
          <w:noProof/>
          <w:lang w:val="en-GB"/>
        </w:rPr>
        <w:t>Discussion of Methods</w:t>
      </w:r>
      <w:r>
        <w:rPr>
          <w:noProof/>
        </w:rPr>
        <w:tab/>
      </w:r>
      <w:r>
        <w:rPr>
          <w:noProof/>
        </w:rPr>
        <w:fldChar w:fldCharType="begin"/>
      </w:r>
      <w:r>
        <w:rPr>
          <w:noProof/>
        </w:rPr>
        <w:instrText xml:space="preserve"> PAGEREF _Toc284866395 \h </w:instrText>
      </w:r>
      <w:r>
        <w:rPr>
          <w:noProof/>
        </w:rPr>
      </w:r>
      <w:r>
        <w:rPr>
          <w:noProof/>
        </w:rPr>
        <w:fldChar w:fldCharType="separate"/>
      </w:r>
      <w:r>
        <w:rPr>
          <w:noProof/>
        </w:rPr>
        <w:t>12</w:t>
      </w:r>
      <w:r>
        <w:rPr>
          <w:noProof/>
        </w:rPr>
        <w:fldChar w:fldCharType="end"/>
      </w:r>
    </w:p>
    <w:p w14:paraId="24005309" w14:textId="77777777" w:rsidR="00CF38BB" w:rsidRDefault="00CF38BB">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5D0584">
        <w:rPr>
          <w:noProof/>
          <w:lang w:val="en-GB"/>
        </w:rPr>
        <w:t>4.2.</w:t>
      </w:r>
      <w:r>
        <w:rPr>
          <w:rFonts w:asciiTheme="minorHAnsi" w:eastAsiaTheme="minorEastAsia" w:hAnsiTheme="minorHAnsi" w:cstheme="minorBidi"/>
          <w:noProof/>
          <w:sz w:val="24"/>
          <w:szCs w:val="24"/>
          <w:lang w:val="en-US" w:eastAsia="ja-JP"/>
        </w:rPr>
        <w:tab/>
      </w:r>
      <w:r w:rsidRPr="005D0584">
        <w:rPr>
          <w:noProof/>
          <w:lang w:val="en-GB"/>
        </w:rPr>
        <w:t>Comparison Large Eddy Simulation and RANS Equations</w:t>
      </w:r>
      <w:r>
        <w:rPr>
          <w:noProof/>
        </w:rPr>
        <w:tab/>
      </w:r>
      <w:r>
        <w:rPr>
          <w:noProof/>
        </w:rPr>
        <w:fldChar w:fldCharType="begin"/>
      </w:r>
      <w:r>
        <w:rPr>
          <w:noProof/>
        </w:rPr>
        <w:instrText xml:space="preserve"> PAGEREF _Toc284866396 \h </w:instrText>
      </w:r>
      <w:r>
        <w:rPr>
          <w:noProof/>
        </w:rPr>
      </w:r>
      <w:r>
        <w:rPr>
          <w:noProof/>
        </w:rPr>
        <w:fldChar w:fldCharType="separate"/>
      </w:r>
      <w:r>
        <w:rPr>
          <w:noProof/>
        </w:rPr>
        <w:t>12</w:t>
      </w:r>
      <w:r>
        <w:rPr>
          <w:noProof/>
        </w:rPr>
        <w:fldChar w:fldCharType="end"/>
      </w:r>
    </w:p>
    <w:p w14:paraId="3B7E3FBC" w14:textId="77777777" w:rsidR="00CF38BB" w:rsidRDefault="00CF38BB">
      <w:pPr>
        <w:pStyle w:val="Verzeichnis1"/>
        <w:tabs>
          <w:tab w:val="left" w:pos="476"/>
        </w:tabs>
        <w:rPr>
          <w:rFonts w:asciiTheme="minorHAnsi" w:eastAsiaTheme="minorEastAsia" w:hAnsiTheme="minorHAnsi" w:cstheme="minorBidi"/>
          <w:b w:val="0"/>
          <w:sz w:val="24"/>
          <w:szCs w:val="24"/>
          <w:lang w:val="en-US" w:eastAsia="ja-JP"/>
        </w:rPr>
      </w:pPr>
      <w:r w:rsidRPr="005D0584">
        <w:rPr>
          <w:lang w:val="en-GB"/>
        </w:rPr>
        <w:t>5.</w:t>
      </w:r>
      <w:r>
        <w:rPr>
          <w:rFonts w:asciiTheme="minorHAnsi" w:eastAsiaTheme="minorEastAsia" w:hAnsiTheme="minorHAnsi" w:cstheme="minorBidi"/>
          <w:b w:val="0"/>
          <w:sz w:val="24"/>
          <w:szCs w:val="24"/>
          <w:lang w:val="en-US" w:eastAsia="ja-JP"/>
        </w:rPr>
        <w:tab/>
      </w:r>
      <w:r w:rsidRPr="005D0584">
        <w:rPr>
          <w:lang w:val="en-GB"/>
        </w:rPr>
        <w:t>Conclusions</w:t>
      </w:r>
      <w:r>
        <w:tab/>
      </w:r>
      <w:r>
        <w:fldChar w:fldCharType="begin"/>
      </w:r>
      <w:r>
        <w:instrText xml:space="preserve"> PAGEREF _Toc284866397 \h </w:instrText>
      </w:r>
      <w:r>
        <w:fldChar w:fldCharType="separate"/>
      </w:r>
      <w:r>
        <w:t>13</w:t>
      </w:r>
      <w:r>
        <w:fldChar w:fldCharType="end"/>
      </w:r>
    </w:p>
    <w:p w14:paraId="755FE35D"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References</w:t>
      </w:r>
      <w:r>
        <w:tab/>
      </w:r>
      <w:r>
        <w:fldChar w:fldCharType="begin"/>
      </w:r>
      <w:r>
        <w:instrText xml:space="preserve"> PAGEREF _Toc284866398 \h </w:instrText>
      </w:r>
      <w:r>
        <w:fldChar w:fldCharType="separate"/>
      </w:r>
      <w:r>
        <w:t>14</w:t>
      </w:r>
      <w:r>
        <w:fldChar w:fldCharType="end"/>
      </w:r>
    </w:p>
    <w:p w14:paraId="7AA25F57"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Appendix A: Source Code or Similar Appendices</w:t>
      </w:r>
      <w:r>
        <w:tab/>
      </w:r>
      <w:r>
        <w:fldChar w:fldCharType="begin"/>
      </w:r>
      <w:r>
        <w:instrText xml:space="preserve"> PAGEREF _Toc284866399 \h </w:instrText>
      </w:r>
      <w:r>
        <w:fldChar w:fldCharType="separate"/>
      </w:r>
      <w:r>
        <w:t>16</w:t>
      </w:r>
      <w:r>
        <w:fldChar w:fldCharType="end"/>
      </w:r>
    </w:p>
    <w:p w14:paraId="423096D9" w14:textId="77777777" w:rsidR="00CF38BB" w:rsidRDefault="00CF38BB">
      <w:pPr>
        <w:pStyle w:val="Verzeichnis1"/>
        <w:rPr>
          <w:rFonts w:asciiTheme="minorHAnsi" w:eastAsiaTheme="minorEastAsia" w:hAnsiTheme="minorHAnsi" w:cstheme="minorBidi"/>
          <w:b w:val="0"/>
          <w:sz w:val="24"/>
          <w:szCs w:val="24"/>
          <w:lang w:val="en-US" w:eastAsia="ja-JP"/>
        </w:rPr>
      </w:pPr>
      <w:r w:rsidRPr="005D0584">
        <w:rPr>
          <w:lang w:val="en-GB"/>
        </w:rPr>
        <w:t>Appendix B: Style Sheet for Creating the References List</w:t>
      </w:r>
      <w:r>
        <w:tab/>
      </w:r>
      <w:r>
        <w:fldChar w:fldCharType="begin"/>
      </w:r>
      <w:r>
        <w:instrText xml:space="preserve"> PAGEREF _Toc284866400 \h </w:instrText>
      </w:r>
      <w:r>
        <w:fldChar w:fldCharType="separate"/>
      </w:r>
      <w:r>
        <w:t>17</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bookmarkStart w:id="0" w:name="_GoBack"/>
      <w:bookmarkEnd w:id="0"/>
      <w:r w:rsidR="00462F97" w:rsidRPr="004F349B">
        <w:rPr>
          <w:lang w:val="en-GB"/>
        </w:rPr>
        <w:br w:type="page"/>
      </w:r>
      <w:bookmarkStart w:id="1" w:name="_Toc284866357"/>
      <w:r w:rsidR="008753F3" w:rsidRPr="000D3DAB">
        <w:rPr>
          <w:lang w:val="en-GB"/>
        </w:rPr>
        <w:t>Abstract</w:t>
      </w:r>
      <w:bookmarkEnd w:id="1"/>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2" w:name="_Toc284866358"/>
      <w:r w:rsidR="008753F3" w:rsidRPr="000D3DAB">
        <w:rPr>
          <w:lang w:val="en-GB"/>
        </w:rPr>
        <w:t>Kurzfassung</w:t>
      </w:r>
      <w:bookmarkEnd w:id="2"/>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3" w:name="_Toc284866359"/>
      <w:r w:rsidR="00DB6D86" w:rsidRPr="000D3DAB">
        <w:rPr>
          <w:lang w:val="en-GB"/>
        </w:rPr>
        <w:t>List of Figures</w:t>
      </w:r>
      <w:bookmarkEnd w:id="3"/>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77777777"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77777777"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4" w:name="_Toc284866360"/>
      <w:r w:rsidR="00DB6D86" w:rsidRPr="000D3DAB">
        <w:rPr>
          <w:lang w:val="en-GB"/>
        </w:rPr>
        <w:t>List of Symbols</w:t>
      </w:r>
      <w:bookmarkEnd w:id="4"/>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5" w:name="_Toc284866361"/>
      <w:r w:rsidRPr="00A9420C">
        <w:rPr>
          <w:lang w:val="en-GB"/>
        </w:rPr>
        <w:t>List of Tables</w:t>
      </w:r>
      <w:bookmarkEnd w:id="5"/>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6" w:name="_Toc284866362"/>
      <w:r w:rsidRPr="00A9420C">
        <w:rPr>
          <w:lang w:val="en-GB"/>
        </w:rPr>
        <w:t>List of Abbreviations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77777777" w:rsidR="00AC1A15" w:rsidRPr="000D3DAB" w:rsidRDefault="004B2F45" w:rsidP="005F3DD4">
      <w:pPr>
        <w:pStyle w:val="berschrift1"/>
        <w:ind w:left="357" w:hanging="357"/>
        <w:rPr>
          <w:lang w:val="en-GB"/>
        </w:rPr>
      </w:pPr>
      <w:bookmarkStart w:id="7" w:name="_Toc284866363"/>
      <w:r w:rsidRPr="000D3DAB">
        <w:rPr>
          <w:lang w:val="en-GB"/>
        </w:rPr>
        <w:t>Large Eddy Simulation</w:t>
      </w:r>
      <w:bookmarkEnd w:id="7"/>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C539BC2" w14:textId="77777777" w:rsidR="006C643E" w:rsidRPr="000D3DAB" w:rsidRDefault="006C643E" w:rsidP="004B2F45">
      <w:pPr>
        <w:rPr>
          <w:rFonts w:ascii="Arial" w:hAnsi="Arial" w:cs="Arial"/>
        </w:rPr>
      </w:pPr>
      <w:r w:rsidRPr="000D3DAB">
        <w:rPr>
          <w:rFonts w:ascii="Arial" w:hAnsi="Arial" w:cs="Arial"/>
        </w:rPr>
        <w:t>In Computunal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3E8B3BB1" w14:textId="77777777" w:rsidR="006C643E" w:rsidRPr="000D3DAB" w:rsidRDefault="006C643E" w:rsidP="004B2F45">
      <w:pPr>
        <w:rPr>
          <w:rFonts w:ascii="Arial" w:hAnsi="Arial" w:cs="Arial"/>
        </w:rPr>
      </w:pPr>
      <w:r w:rsidRPr="000D3DAB">
        <w:rPr>
          <w:rFonts w:ascii="Arial" w:hAnsi="Arial" w:cs="Arial"/>
        </w:rPr>
        <w:tab/>
        <w:t>The so called RANS (Reynolds Averaged Navier-Stokes) equations ...</w:t>
      </w:r>
    </w:p>
    <w:p w14:paraId="7E7DC373" w14:textId="77777777" w:rsidR="006C643E" w:rsidRPr="000D3DAB" w:rsidRDefault="006C643E" w:rsidP="004B2F45">
      <w:pPr>
        <w:rPr>
          <w:rFonts w:ascii="Arial" w:hAnsi="Arial" w:cs="Arial"/>
        </w:rPr>
      </w:pPr>
      <w:r w:rsidRPr="000D3DAB">
        <w:rPr>
          <w:rFonts w:ascii="Arial" w:hAnsi="Arial" w:cs="Arial"/>
        </w:rPr>
        <w:tab/>
        <w:t>The LES (Large Eddy Simulation) is the method used project. It represents a sort of compromise between RANS equations and DNS (Direct Numerical Simulation).</w:t>
      </w:r>
    </w:p>
    <w:p w14:paraId="39BFFDED" w14:textId="77777777" w:rsidR="006C643E" w:rsidRPr="000D3DAB" w:rsidRDefault="006C643E" w:rsidP="004B2F45">
      <w:pPr>
        <w:rPr>
          <w:rFonts w:ascii="Arial" w:hAnsi="Arial" w:cs="Arial"/>
        </w:rPr>
      </w:pPr>
      <w:r w:rsidRPr="000D3DAB">
        <w:rPr>
          <w:rFonts w:ascii="Arial" w:hAnsi="Arial" w:cs="Arial"/>
        </w:rPr>
        <w:tab/>
        <w:t xml:space="preserve">The DNS is used to simulate every single eddy numerical. Due to its high demand in terms of </w:t>
      </w:r>
      <w:r w:rsidR="00531779" w:rsidRPr="000D3DAB">
        <w:rPr>
          <w:rFonts w:ascii="Arial" w:hAnsi="Arial" w:cs="Arial"/>
        </w:rPr>
        <w:t>ressources and mesh it is only performed for academic researches on rather small and simple geometries.</w:t>
      </w:r>
    </w:p>
    <w:p w14:paraId="157D3D59" w14:textId="77777777" w:rsidR="00531779" w:rsidRDefault="00531779" w:rsidP="004B2F45">
      <w:pPr>
        <w:rPr>
          <w:rFonts w:ascii="Arial" w:hAnsi="Arial" w:cs="Arial"/>
        </w:rPr>
      </w:pPr>
      <w:r w:rsidRPr="000D3DAB">
        <w:rPr>
          <w:rFonts w:ascii="Arial" w:hAnsi="Arial" w:cs="Arial"/>
        </w:rPr>
        <w:tab/>
        <w:t>There exist also a lot of sub-forms and mixtures of various approaches, like DES (Detached Eddy Simulation), etc., but to mention them would go beyond the scope of this report.</w:t>
      </w:r>
    </w:p>
    <w:p w14:paraId="00A7476B" w14:textId="77777777" w:rsidR="00AE7ED3" w:rsidRDefault="00AE7ED3" w:rsidP="004B2F45">
      <w:pPr>
        <w:rPr>
          <w:rFonts w:ascii="Arial" w:hAnsi="Arial" w:cs="Arial"/>
        </w:rPr>
      </w:pPr>
    </w:p>
    <w:p w14:paraId="2C6B7D4F" w14:textId="77777777" w:rsidR="00AE7ED3" w:rsidRPr="000D3DAB"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32B30456" w14:textId="77777777" w:rsidR="00141661" w:rsidRPr="000D3DAB" w:rsidRDefault="00141661" w:rsidP="00141661">
      <w:pPr>
        <w:pStyle w:val="berschrift2"/>
      </w:pPr>
      <w:bookmarkStart w:id="8" w:name="_Toc284866364"/>
      <w:r w:rsidRPr="000D3DAB">
        <w:t>Basic</w:t>
      </w:r>
      <w:r w:rsidR="004D5297" w:rsidRPr="000D3DAB">
        <w:t xml:space="preserve"> Idea of LES</w:t>
      </w:r>
      <w:bookmarkEnd w:id="8"/>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9" w:name="_Toc284866365"/>
      <w:r w:rsidRPr="000D3DAB">
        <w:t>Fine Structure Model</w:t>
      </w:r>
      <w:bookmarkEnd w:id="9"/>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0" w:name="_Toc284866366"/>
      <w:r w:rsidRPr="000D3DAB">
        <w:t>Turbulence Models</w:t>
      </w:r>
      <w:bookmarkEnd w:id="10"/>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1" w:name="_Toc284866367"/>
      <w:r>
        <w:t>k-ε Turbulence Model</w:t>
      </w:r>
      <w:bookmarkEnd w:id="11"/>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2" w:name="_Toc284866368"/>
      <w:r>
        <w:t xml:space="preserve">The Smagorinksy </w:t>
      </w:r>
      <w:r w:rsidR="00A87925">
        <w:t xml:space="preserve">SGS </w:t>
      </w:r>
      <w:r>
        <w:t>Model</w:t>
      </w:r>
      <w:bookmarkEnd w:id="12"/>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3" w:name="_Toc284866369"/>
      <w:r w:rsidRPr="000D3DAB">
        <w:t>Wall Models</w:t>
      </w:r>
      <w:bookmarkEnd w:id="13"/>
    </w:p>
    <w:p w14:paraId="5321F385" w14:textId="77777777" w:rsidR="00FD4DBB" w:rsidRDefault="00FD4DBB" w:rsidP="00FD4DBB">
      <w:pPr>
        <w:pStyle w:val="berschrift3"/>
      </w:pPr>
      <w:bookmarkStart w:id="14" w:name="_Toc284866370"/>
      <w:r>
        <w:t>Wall function in Ansys CFX</w:t>
      </w:r>
      <w:bookmarkEnd w:id="14"/>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5" w:name="_Toc284866371"/>
      <w:r w:rsidRPr="000D3DAB">
        <w:t>Heat Transfer</w:t>
      </w:r>
      <w:bookmarkEnd w:id="15"/>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6" w:name="_Toc284866372"/>
      <w:r w:rsidR="00741FA2" w:rsidRPr="000D3DAB">
        <w:rPr>
          <w:lang w:val="en-GB"/>
        </w:rPr>
        <w:t>Metho</w:t>
      </w:r>
      <w:r w:rsidR="00455A3A" w:rsidRPr="000D3DAB">
        <w:rPr>
          <w:lang w:val="en-GB"/>
        </w:rPr>
        <w:t>ds</w:t>
      </w:r>
      <w:bookmarkEnd w:id="16"/>
    </w:p>
    <w:p w14:paraId="42455B49" w14:textId="77777777" w:rsidR="00455A3A" w:rsidRPr="000D3DAB" w:rsidRDefault="00455A3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second chapter describes the methods used for solving the</w:t>
      </w:r>
      <w:r w:rsidR="009E27FE" w:rsidRPr="000D3DAB">
        <w:rPr>
          <w:rFonts w:ascii="Arial" w:hAnsi="Arial" w:cs="Arial"/>
          <w:sz w:val="24"/>
          <w:szCs w:val="24"/>
          <w:lang w:val="en-GB"/>
        </w:rPr>
        <w:t xml:space="preserve"> current</w:t>
      </w:r>
      <w:r w:rsidRPr="000D3DAB">
        <w:rPr>
          <w:rFonts w:ascii="Arial" w:hAnsi="Arial" w:cs="Arial"/>
          <w:sz w:val="24"/>
          <w:szCs w:val="24"/>
          <w:lang w:val="en-GB"/>
        </w:rPr>
        <w:t xml:space="preserve"> research problem</w:t>
      </w:r>
      <w:r w:rsidR="009E27FE" w:rsidRPr="000D3DAB">
        <w:rPr>
          <w:rFonts w:ascii="Arial" w:hAnsi="Arial" w:cs="Arial"/>
          <w:sz w:val="24"/>
          <w:szCs w:val="24"/>
          <w:lang w:val="en-GB"/>
        </w:rPr>
        <w:t xml:space="preserve"> and </w:t>
      </w:r>
      <w:r w:rsidR="002F03A8" w:rsidRPr="000D3DAB">
        <w:rPr>
          <w:rFonts w:ascii="Arial" w:hAnsi="Arial" w:cs="Arial"/>
          <w:sz w:val="24"/>
          <w:szCs w:val="24"/>
          <w:lang w:val="en-GB"/>
        </w:rPr>
        <w:t xml:space="preserve">for </w:t>
      </w:r>
      <w:r w:rsidR="009E27FE" w:rsidRPr="000D3DAB">
        <w:rPr>
          <w:rFonts w:ascii="Arial" w:hAnsi="Arial" w:cs="Arial"/>
          <w:sz w:val="24"/>
          <w:szCs w:val="24"/>
          <w:lang w:val="en-GB"/>
        </w:rPr>
        <w:t xml:space="preserve">producing the results to be discussed later. Again, </w:t>
      </w:r>
      <w:r w:rsidR="00974DCF" w:rsidRPr="000D3DAB">
        <w:rPr>
          <w:rFonts w:ascii="Arial" w:hAnsi="Arial" w:cs="Arial"/>
          <w:sz w:val="24"/>
          <w:szCs w:val="24"/>
          <w:lang w:val="en-GB"/>
        </w:rPr>
        <w:t xml:space="preserve">as a rule, </w:t>
      </w:r>
      <w:r w:rsidR="009E27FE" w:rsidRPr="000D3DAB">
        <w:rPr>
          <w:rFonts w:ascii="Arial" w:hAnsi="Arial" w:cs="Arial"/>
          <w:sz w:val="24"/>
          <w:szCs w:val="24"/>
          <w:lang w:val="en-GB"/>
        </w:rPr>
        <w:t xml:space="preserve">the </w:t>
      </w:r>
      <w:r w:rsidR="00974DCF" w:rsidRPr="000D3DAB">
        <w:rPr>
          <w:rFonts w:ascii="Arial" w:hAnsi="Arial" w:cs="Arial"/>
          <w:sz w:val="24"/>
          <w:szCs w:val="24"/>
          <w:lang w:val="en-GB"/>
        </w:rPr>
        <w:t>logical structure of</w:t>
      </w:r>
      <w:r w:rsidR="009E27FE" w:rsidRPr="000D3DAB">
        <w:rPr>
          <w:rFonts w:ascii="Arial" w:hAnsi="Arial" w:cs="Arial"/>
          <w:sz w:val="24"/>
          <w:szCs w:val="24"/>
          <w:lang w:val="en-GB"/>
        </w:rPr>
        <w:t xml:space="preserve"> this section moves from general to specific </w:t>
      </w:r>
      <w:r w:rsidR="00974DCF" w:rsidRPr="000D3DAB">
        <w:rPr>
          <w:rFonts w:ascii="Arial" w:hAnsi="Arial" w:cs="Arial"/>
          <w:sz w:val="24"/>
          <w:szCs w:val="24"/>
          <w:lang w:val="en-GB"/>
        </w:rPr>
        <w:t>information. This means that the author first discusses general principles (e.g. mathe</w:t>
      </w:r>
      <w:r w:rsidR="00422135" w:rsidRPr="000D3DAB">
        <w:rPr>
          <w:rFonts w:ascii="Arial" w:hAnsi="Arial" w:cs="Arial"/>
          <w:sz w:val="24"/>
          <w:szCs w:val="24"/>
          <w:lang w:val="en-GB"/>
        </w:rPr>
        <w:t>matical, technical or economic</w:t>
      </w:r>
      <w:r w:rsidR="00974DCF" w:rsidRPr="000D3DAB">
        <w:rPr>
          <w:rFonts w:ascii="Arial" w:hAnsi="Arial" w:cs="Arial"/>
          <w:sz w:val="24"/>
          <w:szCs w:val="24"/>
          <w:lang w:val="en-GB"/>
        </w:rPr>
        <w:t>) relevant to his or her thesis. Nevertheless, the author should avoid reproducing general knowledge and merely cover subject areas with which experts in the corresponding field are probably not familiar. For example,</w:t>
      </w:r>
      <w:r w:rsidR="00DE1DAD" w:rsidRPr="000D3DAB">
        <w:rPr>
          <w:rFonts w:ascii="Arial" w:hAnsi="Arial" w:cs="Arial"/>
          <w:sz w:val="24"/>
          <w:szCs w:val="24"/>
          <w:lang w:val="en-GB"/>
        </w:rPr>
        <w:t xml:space="preserve"> it can be assumed that every expert knows</w:t>
      </w:r>
      <w:r w:rsidR="00974DCF" w:rsidRPr="000D3DAB">
        <w:rPr>
          <w:rFonts w:ascii="Arial" w:hAnsi="Arial" w:cs="Arial"/>
          <w:sz w:val="24"/>
          <w:szCs w:val="24"/>
          <w:lang w:val="en-GB"/>
        </w:rPr>
        <w:t xml:space="preserve"> the basic theorems of differential and integral calculus</w:t>
      </w:r>
      <w:r w:rsidR="00DE1DAD" w:rsidRPr="000D3DAB">
        <w:rPr>
          <w:rFonts w:ascii="Arial" w:hAnsi="Arial" w:cs="Arial"/>
          <w:sz w:val="24"/>
          <w:szCs w:val="24"/>
          <w:lang w:val="en-GB"/>
        </w:rPr>
        <w:t>, but special techniques for solving a certain integral need to be explained. From a results-orien</w:t>
      </w:r>
      <w:r w:rsidR="005968D6" w:rsidRPr="000D3DAB">
        <w:rPr>
          <w:rFonts w:ascii="Arial" w:hAnsi="Arial" w:cs="Arial"/>
          <w:sz w:val="24"/>
          <w:szCs w:val="24"/>
          <w:lang w:val="en-GB"/>
        </w:rPr>
        <w:t>ted point of view, the chapter Methods</w:t>
      </w:r>
      <w:r w:rsidR="00DE1DAD" w:rsidRPr="000D3DAB">
        <w:rPr>
          <w:rFonts w:ascii="Arial" w:hAnsi="Arial" w:cs="Arial"/>
          <w:sz w:val="24"/>
          <w:szCs w:val="24"/>
          <w:lang w:val="en-GB"/>
        </w:rPr>
        <w:t xml:space="preserve"> merely describes the way to the results presented </w:t>
      </w:r>
      <w:r w:rsidR="005968D6" w:rsidRPr="000D3DAB">
        <w:rPr>
          <w:rFonts w:ascii="Arial" w:hAnsi="Arial" w:cs="Arial"/>
          <w:sz w:val="24"/>
          <w:szCs w:val="24"/>
          <w:lang w:val="en-GB"/>
        </w:rPr>
        <w:t>in a separate section</w:t>
      </w:r>
      <w:r w:rsidR="00DE1DAD" w:rsidRPr="000D3DAB">
        <w:rPr>
          <w:rFonts w:ascii="Arial" w:hAnsi="Arial" w:cs="Arial"/>
          <w:sz w:val="24"/>
          <w:szCs w:val="24"/>
          <w:lang w:val="en-GB"/>
        </w:rPr>
        <w:t>. The chosen depiction ha</w:t>
      </w:r>
      <w:r w:rsidR="00044D23" w:rsidRPr="000D3DAB">
        <w:rPr>
          <w:rFonts w:ascii="Arial" w:hAnsi="Arial" w:cs="Arial"/>
          <w:sz w:val="24"/>
          <w:szCs w:val="24"/>
          <w:lang w:val="en-GB"/>
        </w:rPr>
        <w:t>s</w:t>
      </w:r>
      <w:r w:rsidR="00DE1DAD" w:rsidRPr="000D3DAB">
        <w:rPr>
          <w:rFonts w:ascii="Arial" w:hAnsi="Arial" w:cs="Arial"/>
          <w:sz w:val="24"/>
          <w:szCs w:val="24"/>
          <w:lang w:val="en-GB"/>
        </w:rPr>
        <w:t xml:space="preserve"> to enable other working groups to comprehend the methods applied.</w:t>
      </w:r>
      <w:r w:rsidR="00044D23" w:rsidRPr="000D3DAB">
        <w:rPr>
          <w:rFonts w:ascii="Arial" w:hAnsi="Arial" w:cs="Arial"/>
          <w:sz w:val="24"/>
          <w:szCs w:val="24"/>
          <w:lang w:val="en-GB"/>
        </w:rPr>
        <w:t xml:space="preserve"> Abortive attempts and wrong paths towards a solution are not part of this section (even if it hurts).</w:t>
      </w:r>
    </w:p>
    <w:p w14:paraId="79CBE15F" w14:textId="77777777" w:rsidR="00CE7D0F" w:rsidRPr="000D3DAB" w:rsidRDefault="00CE7D0F" w:rsidP="00382A9C">
      <w:pPr>
        <w:pStyle w:val="StandardTitelseite"/>
        <w:spacing w:line="360" w:lineRule="auto"/>
        <w:rPr>
          <w:rFonts w:ascii="Arial" w:hAnsi="Arial" w:cs="Arial"/>
          <w:sz w:val="24"/>
          <w:szCs w:val="24"/>
          <w:lang w:val="en-GB"/>
        </w:rPr>
      </w:pPr>
    </w:p>
    <w:p w14:paraId="1D920242" w14:textId="77777777" w:rsidR="00CF2318" w:rsidRPr="000D3DAB" w:rsidRDefault="00044D23"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The remainder of this section illustrates the st</w:t>
      </w:r>
      <w:r w:rsidR="005968D6" w:rsidRPr="000D3DAB">
        <w:rPr>
          <w:rFonts w:ascii="Arial" w:hAnsi="Arial" w:cs="Arial"/>
          <w:sz w:val="24"/>
          <w:szCs w:val="24"/>
          <w:lang w:val="en-GB"/>
        </w:rPr>
        <w:t>ructural levels of the chapter Methods</w:t>
      </w:r>
      <w:r w:rsidRPr="000D3DAB">
        <w:rPr>
          <w:rFonts w:ascii="Arial" w:hAnsi="Arial" w:cs="Arial"/>
          <w:sz w:val="24"/>
          <w:szCs w:val="24"/>
          <w:lang w:val="en-GB"/>
        </w:rPr>
        <w:t xml:space="preserve"> in technical reports and theses. It is </w:t>
      </w:r>
      <w:r w:rsidR="00A7102F" w:rsidRPr="000D3DAB">
        <w:rPr>
          <w:rFonts w:ascii="Arial" w:hAnsi="Arial" w:cs="Arial"/>
          <w:sz w:val="24"/>
          <w:szCs w:val="24"/>
          <w:lang w:val="en-GB"/>
        </w:rPr>
        <w:t>necessary to include at least one introductory paragraph</w:t>
      </w:r>
      <w:r w:rsidRPr="000D3DAB">
        <w:rPr>
          <w:rFonts w:ascii="Arial" w:hAnsi="Arial" w:cs="Arial"/>
          <w:sz w:val="24"/>
          <w:szCs w:val="24"/>
          <w:lang w:val="en-GB"/>
        </w:rPr>
        <w:t xml:space="preserve"> between two structural levels</w:t>
      </w:r>
      <w:r w:rsidR="00A7102F" w:rsidRPr="000D3DAB">
        <w:rPr>
          <w:rFonts w:ascii="Arial" w:hAnsi="Arial" w:cs="Arial"/>
          <w:sz w:val="24"/>
          <w:szCs w:val="24"/>
          <w:lang w:val="en-GB"/>
        </w:rPr>
        <w:t xml:space="preserve"> to guide the reader through </w:t>
      </w:r>
      <w:r w:rsidR="005968D6" w:rsidRPr="000D3DAB">
        <w:rPr>
          <w:rFonts w:ascii="Arial" w:hAnsi="Arial" w:cs="Arial"/>
          <w:sz w:val="24"/>
          <w:szCs w:val="24"/>
          <w:lang w:val="en-GB"/>
        </w:rPr>
        <w:t>a</w:t>
      </w:r>
      <w:r w:rsidR="00A7102F" w:rsidRPr="000D3DAB">
        <w:rPr>
          <w:rFonts w:ascii="Arial" w:hAnsi="Arial" w:cs="Arial"/>
          <w:sz w:val="24"/>
          <w:szCs w:val="24"/>
          <w:lang w:val="en-GB"/>
        </w:rPr>
        <w:t xml:space="preserve"> thesis. </w:t>
      </w:r>
      <w:r w:rsidR="005968D6" w:rsidRPr="000D3DAB">
        <w:rPr>
          <w:rFonts w:ascii="Arial" w:hAnsi="Arial" w:cs="Arial"/>
          <w:sz w:val="24"/>
          <w:szCs w:val="24"/>
          <w:lang w:val="en-GB"/>
        </w:rPr>
        <w:t>For</w:t>
      </w:r>
      <w:r w:rsidR="00A7102F" w:rsidRPr="000D3DAB">
        <w:rPr>
          <w:rFonts w:ascii="Arial" w:hAnsi="Arial" w:cs="Arial"/>
          <w:sz w:val="24"/>
          <w:szCs w:val="24"/>
          <w:lang w:val="en-GB"/>
        </w:rPr>
        <w:t xml:space="preserve"> this section, the most common and natural tense is the past tense.</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77777777" w:rsidR="00AC1A15" w:rsidRPr="000D3DAB" w:rsidRDefault="00AC1A15" w:rsidP="00382A9C">
      <w:pPr>
        <w:pStyle w:val="berschrift2"/>
        <w:rPr>
          <w:lang w:val="en-GB"/>
        </w:rPr>
      </w:pPr>
      <w:bookmarkStart w:id="17" w:name="_Toc284866373"/>
      <w:r w:rsidRPr="000D3DAB">
        <w:rPr>
          <w:lang w:val="en-GB"/>
        </w:rPr>
        <w:t>M</w:t>
      </w:r>
      <w:r w:rsidR="00816F79" w:rsidRPr="000D3DAB">
        <w:rPr>
          <w:lang w:val="en-GB"/>
        </w:rPr>
        <w:t>athemati</w:t>
      </w:r>
      <w:r w:rsidR="00A7102F" w:rsidRPr="000D3DAB">
        <w:rPr>
          <w:lang w:val="en-GB"/>
        </w:rPr>
        <w:t>cal Foundations</w:t>
      </w:r>
      <w:bookmarkEnd w:id="17"/>
    </w:p>
    <w:p w14:paraId="4135352E" w14:textId="77777777" w:rsidR="00A7102F" w:rsidRPr="000D3DAB" w:rsidRDefault="00A7102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solving the xyz-problem during the computation and design of </w:t>
      </w:r>
      <w:r w:rsidR="00025C78" w:rsidRPr="000D3DAB">
        <w:rPr>
          <w:rFonts w:ascii="Arial" w:hAnsi="Arial" w:cs="Arial"/>
          <w:sz w:val="24"/>
          <w:szCs w:val="24"/>
          <w:lang w:val="en-GB"/>
        </w:rPr>
        <w:t>the</w:t>
      </w:r>
      <w:r w:rsidRPr="000D3DAB">
        <w:rPr>
          <w:rFonts w:ascii="Arial" w:hAnsi="Arial" w:cs="Arial"/>
          <w:sz w:val="24"/>
          <w:szCs w:val="24"/>
          <w:lang w:val="en-GB"/>
        </w:rPr>
        <w:t xml:space="preserve"> aircraft system</w:t>
      </w:r>
      <w:r w:rsidR="00025C78" w:rsidRPr="000D3DAB">
        <w:rPr>
          <w:rFonts w:ascii="Arial" w:hAnsi="Arial" w:cs="Arial"/>
          <w:sz w:val="24"/>
          <w:szCs w:val="24"/>
          <w:lang w:val="en-GB"/>
        </w:rPr>
        <w:t xml:space="preserve"> to be developed</w:t>
      </w:r>
      <w:r w:rsidRPr="000D3DAB">
        <w:rPr>
          <w:rFonts w:ascii="Arial" w:hAnsi="Arial" w:cs="Arial"/>
          <w:sz w:val="24"/>
          <w:szCs w:val="24"/>
          <w:lang w:val="en-GB"/>
        </w:rPr>
        <w:t>, the research team employed the finite-element method.</w:t>
      </w:r>
      <w:r w:rsidR="001128F4" w:rsidRPr="000D3DAB">
        <w:rPr>
          <w:rFonts w:ascii="Arial" w:hAnsi="Arial" w:cs="Arial"/>
          <w:sz w:val="24"/>
          <w:szCs w:val="24"/>
          <w:lang w:val="en-GB"/>
        </w:rPr>
        <w:t xml:space="preserve"> …</w:t>
      </w:r>
    </w:p>
    <w:p w14:paraId="3146065F" w14:textId="77777777" w:rsidR="00BC714E" w:rsidRPr="000D3DAB" w:rsidRDefault="00BC714E" w:rsidP="00382A9C">
      <w:pPr>
        <w:pStyle w:val="StandardTitelseite"/>
        <w:spacing w:line="360" w:lineRule="auto"/>
        <w:rPr>
          <w:rFonts w:ascii="Arial" w:hAnsi="Arial" w:cs="Arial"/>
          <w:sz w:val="24"/>
          <w:szCs w:val="24"/>
          <w:lang w:val="en-GB"/>
        </w:rPr>
      </w:pPr>
    </w:p>
    <w:p w14:paraId="666F2A20" w14:textId="77777777" w:rsidR="00025C78" w:rsidRPr="000D3DAB" w:rsidRDefault="00025C78"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 xml:space="preserve">The following sections demonstrate the above-mentioned top-down approach to scientific writing, using the example of basic arithmetical operations. For this purpose, the paragraph headings are set in </w:t>
      </w:r>
      <w:r w:rsidRPr="000D3DAB">
        <w:rPr>
          <w:rFonts w:ascii="Arial" w:hAnsi="Arial" w:cs="Arial"/>
          <w:i/>
          <w:sz w:val="24"/>
          <w:szCs w:val="24"/>
          <w:lang w:val="en-GB"/>
        </w:rPr>
        <w:t>italics</w:t>
      </w:r>
      <w:r w:rsidRPr="000D3DAB">
        <w:rPr>
          <w:rFonts w:ascii="Arial" w:hAnsi="Arial" w:cs="Arial"/>
          <w:sz w:val="24"/>
          <w:szCs w:val="24"/>
          <w:lang w:val="en-GB"/>
        </w:rPr>
        <w:t>.</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7777777" w:rsidR="00816F79" w:rsidRPr="000D3DAB" w:rsidRDefault="00025C78" w:rsidP="00382A9C">
      <w:pPr>
        <w:pStyle w:val="berschrift3"/>
        <w:rPr>
          <w:lang w:val="en-GB"/>
        </w:rPr>
      </w:pPr>
      <w:bookmarkStart w:id="18" w:name="_Toc284866374"/>
      <w:r w:rsidRPr="000D3DAB">
        <w:rPr>
          <w:lang w:val="en-GB"/>
        </w:rPr>
        <w:t>Basic Arithmetical Operations</w:t>
      </w:r>
      <w:bookmarkEnd w:id="18"/>
    </w:p>
    <w:p w14:paraId="4F983A64" w14:textId="77777777" w:rsidR="00816F79" w:rsidRPr="000D3DAB" w:rsidRDefault="00BC714E" w:rsidP="00382A9C">
      <w:pPr>
        <w:pStyle w:val="StandardTitelseite"/>
        <w:spacing w:line="360" w:lineRule="auto"/>
        <w:rPr>
          <w:rFonts w:ascii="Arial" w:hAnsi="Arial" w:cs="Arial"/>
          <w:sz w:val="24"/>
          <w:szCs w:val="24"/>
          <w:lang w:val="en-GB"/>
        </w:rPr>
      </w:pPr>
      <w:proofErr w:type="gramStart"/>
      <w:r w:rsidRPr="000D3DAB">
        <w:rPr>
          <w:rFonts w:ascii="Arial" w:hAnsi="Arial" w:cs="Arial"/>
          <w:i/>
          <w:sz w:val="24"/>
          <w:szCs w:val="24"/>
          <w:lang w:val="en-GB"/>
        </w:rPr>
        <w:t>Addition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w:t>
      </w:r>
      <w:r w:rsidRPr="000D3DAB">
        <w:rPr>
          <w:rFonts w:ascii="Arial" w:hAnsi="Arial" w:cs="Arial"/>
          <w:sz w:val="24"/>
          <w:szCs w:val="24"/>
          <w:lang w:val="en-GB"/>
        </w:rPr>
        <w:t xml:space="preserve"> 2.1.1</w:t>
      </w:r>
      <w:r w:rsidR="00AA571F" w:rsidRPr="000D3DAB">
        <w:rPr>
          <w:rFonts w:ascii="Arial" w:hAnsi="Arial" w:cs="Arial"/>
          <w:sz w:val="24"/>
          <w:szCs w:val="24"/>
          <w:lang w:val="en-GB"/>
        </w:rPr>
        <w:t>.</w:t>
      </w:r>
      <w:r w:rsidRPr="000D3DAB">
        <w:rPr>
          <w:rFonts w:ascii="Arial" w:hAnsi="Arial" w:cs="Arial"/>
          <w:sz w:val="24"/>
          <w:szCs w:val="24"/>
          <w:lang w:val="en-GB"/>
        </w:rPr>
        <w:t xml:space="preserve"> </w:t>
      </w:r>
      <w:r w:rsidR="00E87D46" w:rsidRPr="000D3DAB">
        <w:rPr>
          <w:rFonts w:ascii="Arial" w:hAnsi="Arial" w:cs="Arial"/>
          <w:sz w:val="24"/>
          <w:szCs w:val="24"/>
          <w:lang w:val="en-GB"/>
        </w:rPr>
        <w:t>discussing basic arithmetical operations)</w:t>
      </w:r>
      <w:r w:rsidRPr="000D3DAB">
        <w:rPr>
          <w:rFonts w:ascii="Arial" w:hAnsi="Arial" w:cs="Arial"/>
          <w:sz w:val="24"/>
          <w:szCs w:val="24"/>
          <w:lang w:val="en-GB"/>
        </w:rPr>
        <w:t>.</w:t>
      </w:r>
      <w:proofErr w:type="gramEnd"/>
      <w:r w:rsidRPr="000D3DAB">
        <w:rPr>
          <w:rFonts w:ascii="Arial" w:hAnsi="Arial" w:cs="Arial"/>
          <w:sz w:val="24"/>
          <w:szCs w:val="24"/>
          <w:lang w:val="en-GB"/>
        </w:rPr>
        <w:t xml:space="preserve"> </w:t>
      </w:r>
      <w:r w:rsidR="00E87D46" w:rsidRPr="000D3DAB">
        <w:rPr>
          <w:rFonts w:ascii="Arial" w:hAnsi="Arial" w:cs="Arial"/>
          <w:sz w:val="24"/>
          <w:szCs w:val="24"/>
          <w:lang w:val="en-GB"/>
        </w:rPr>
        <w:t>If required, this key word can be further subdivided logically in another step or replaced by running text.</w:t>
      </w:r>
    </w:p>
    <w:p w14:paraId="1E04DF07" w14:textId="77777777" w:rsidR="00BC714E" w:rsidRPr="000D3DAB" w:rsidRDefault="00BC714E" w:rsidP="00382A9C">
      <w:pPr>
        <w:pStyle w:val="StandardTitelseite"/>
        <w:spacing w:line="360" w:lineRule="auto"/>
        <w:rPr>
          <w:rFonts w:ascii="Arial" w:hAnsi="Arial" w:cs="Arial"/>
          <w:sz w:val="24"/>
          <w:szCs w:val="24"/>
          <w:lang w:val="en-GB"/>
        </w:rPr>
      </w:pPr>
    </w:p>
    <w:p w14:paraId="3BECDB12" w14:textId="77777777" w:rsidR="00BC714E" w:rsidRPr="000D3DAB" w:rsidRDefault="00BC714E" w:rsidP="00382A9C">
      <w:pPr>
        <w:pStyle w:val="StandardTitelseite"/>
        <w:spacing w:line="360" w:lineRule="auto"/>
        <w:rPr>
          <w:rFonts w:ascii="Arial" w:hAnsi="Arial" w:cs="Arial"/>
          <w:sz w:val="24"/>
          <w:szCs w:val="24"/>
          <w:lang w:val="en-GB"/>
        </w:rPr>
      </w:pPr>
      <w:proofErr w:type="gramStart"/>
      <w:r w:rsidRPr="000D3DAB">
        <w:rPr>
          <w:rFonts w:ascii="Arial" w:hAnsi="Arial" w:cs="Arial"/>
          <w:i/>
          <w:sz w:val="24"/>
          <w:szCs w:val="24"/>
          <w:lang w:val="en-GB"/>
        </w:rPr>
        <w:t>Subtra</w:t>
      </w:r>
      <w:r w:rsidR="00E87D46" w:rsidRPr="000D3DAB">
        <w:rPr>
          <w:rFonts w:ascii="Arial" w:hAnsi="Arial" w:cs="Arial"/>
          <w:i/>
          <w:sz w:val="24"/>
          <w:szCs w:val="24"/>
          <w:lang w:val="en-GB"/>
        </w:rPr>
        <w:t>c</w:t>
      </w:r>
      <w:r w:rsidRPr="000D3DAB">
        <w:rPr>
          <w:rFonts w:ascii="Arial" w:hAnsi="Arial" w:cs="Arial"/>
          <w:i/>
          <w:sz w:val="24"/>
          <w:szCs w:val="24"/>
          <w:lang w:val="en-GB"/>
        </w:rPr>
        <w:t>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 2.1.1. discussing basic arithmetical operations).</w:t>
      </w:r>
      <w:proofErr w:type="gramEnd"/>
    </w:p>
    <w:p w14:paraId="089D1EFA" w14:textId="77777777" w:rsidR="00BC714E" w:rsidRPr="000D3DAB" w:rsidRDefault="00BC714E" w:rsidP="00382A9C">
      <w:pPr>
        <w:pStyle w:val="StandardTitelseite"/>
        <w:spacing w:line="360" w:lineRule="auto"/>
        <w:rPr>
          <w:rFonts w:ascii="Arial" w:hAnsi="Arial" w:cs="Arial"/>
          <w:sz w:val="24"/>
          <w:szCs w:val="24"/>
          <w:lang w:val="en-GB"/>
        </w:rPr>
      </w:pPr>
    </w:p>
    <w:p w14:paraId="0EBA23B5" w14:textId="77777777"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Multipli</w:t>
      </w:r>
      <w:r w:rsidR="00E87D46" w:rsidRPr="000D3DAB">
        <w:rPr>
          <w:rFonts w:ascii="Arial" w:hAnsi="Arial" w:cs="Arial"/>
          <w:i/>
          <w:sz w:val="24"/>
          <w:szCs w:val="24"/>
          <w:lang w:val="en-GB"/>
        </w:rPr>
        <w:t>c</w:t>
      </w:r>
      <w:r w:rsidRPr="000D3DAB">
        <w:rPr>
          <w:rFonts w:ascii="Arial" w:hAnsi="Arial" w:cs="Arial"/>
          <w:i/>
          <w:sz w:val="24"/>
          <w:szCs w:val="24"/>
          <w:lang w:val="en-GB"/>
        </w:rPr>
        <w:t>ation</w:t>
      </w:r>
      <w:r w:rsidR="00E87D46" w:rsidRPr="000D3DAB">
        <w:rPr>
          <w:rFonts w:ascii="Arial" w:hAnsi="Arial" w:cs="Arial"/>
          <w:sz w:val="24"/>
          <w:szCs w:val="24"/>
          <w:lang w:val="en-GB"/>
        </w:rPr>
        <w:t>.</w:t>
      </w:r>
    </w:p>
    <w:p w14:paraId="15F883CA" w14:textId="77777777" w:rsidR="00BC714E" w:rsidRPr="000D3DAB" w:rsidRDefault="00BC714E" w:rsidP="00382A9C">
      <w:pPr>
        <w:pStyle w:val="StandardTitelseite"/>
        <w:spacing w:line="360" w:lineRule="auto"/>
        <w:rPr>
          <w:rFonts w:ascii="Arial" w:hAnsi="Arial" w:cs="Arial"/>
          <w:sz w:val="24"/>
          <w:szCs w:val="24"/>
          <w:lang w:val="en-GB"/>
        </w:rPr>
      </w:pPr>
    </w:p>
    <w:p w14:paraId="79E49639" w14:textId="77777777"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Division</w:t>
      </w:r>
      <w:r w:rsidR="00E87D46" w:rsidRPr="000D3DAB">
        <w:rPr>
          <w:rFonts w:ascii="Arial" w:hAnsi="Arial" w:cs="Arial"/>
          <w:sz w:val="24"/>
          <w:szCs w:val="24"/>
          <w:lang w:val="en-GB"/>
        </w:rPr>
        <w:t>.</w:t>
      </w:r>
    </w:p>
    <w:p w14:paraId="5164119A" w14:textId="77777777" w:rsidR="0093531A" w:rsidRPr="000D3DAB" w:rsidRDefault="004F349B" w:rsidP="00382A9C">
      <w:pPr>
        <w:pStyle w:val="berschrift3"/>
        <w:rPr>
          <w:lang w:val="en-GB"/>
        </w:rPr>
      </w:pPr>
      <w:bookmarkStart w:id="19" w:name="_Toc284866375"/>
      <w:r w:rsidRPr="000D3DAB">
        <w:rPr>
          <w:lang w:val="en-GB"/>
        </w:rPr>
        <w:t>Finite-</w:t>
      </w:r>
      <w:r w:rsidR="00BC714E" w:rsidRPr="000D3DAB">
        <w:rPr>
          <w:lang w:val="en-GB"/>
        </w:rPr>
        <w:t>Element</w:t>
      </w:r>
      <w:r w:rsidRPr="000D3DAB">
        <w:rPr>
          <w:lang w:val="en-GB"/>
        </w:rPr>
        <w:t xml:space="preserve"> Methods</w:t>
      </w:r>
      <w:r w:rsidR="00BC714E" w:rsidRPr="000D3DAB">
        <w:rPr>
          <w:lang w:val="en-GB"/>
        </w:rPr>
        <w:t xml:space="preserve"> (FEM)</w:t>
      </w:r>
      <w:bookmarkEnd w:id="19"/>
    </w:p>
    <w:p w14:paraId="07041565" w14:textId="77777777" w:rsidR="0093531A" w:rsidRPr="000D3DAB" w:rsidRDefault="0093531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14:paraId="42B56C01" w14:textId="77777777" w:rsidR="00816F79" w:rsidRPr="000D3DAB" w:rsidRDefault="00741FA2" w:rsidP="00382A9C">
      <w:pPr>
        <w:pStyle w:val="berschrift3"/>
        <w:rPr>
          <w:lang w:val="en-GB"/>
        </w:rPr>
      </w:pPr>
      <w:bookmarkStart w:id="20" w:name="_Toc284866376"/>
      <w:r w:rsidRPr="000D3DAB">
        <w:rPr>
          <w:lang w:val="en-GB"/>
        </w:rPr>
        <w:t>Method</w:t>
      </w:r>
      <w:r w:rsidR="004F349B" w:rsidRPr="000D3DAB">
        <w:rPr>
          <w:lang w:val="en-GB"/>
        </w:rPr>
        <w:t>s – 2nd</w:t>
      </w:r>
      <w:r w:rsidR="00816F79" w:rsidRPr="000D3DAB">
        <w:rPr>
          <w:lang w:val="en-GB"/>
        </w:rPr>
        <w:t xml:space="preserve"> </w:t>
      </w:r>
      <w:r w:rsidR="004F349B" w:rsidRPr="000D3DAB">
        <w:rPr>
          <w:lang w:val="en-GB"/>
        </w:rPr>
        <w:t>Sub</w:t>
      </w:r>
      <w:r w:rsidR="001440AC" w:rsidRPr="000D3DAB">
        <w:rPr>
          <w:lang w:val="en-GB"/>
        </w:rPr>
        <w:t>heading</w:t>
      </w:r>
      <w:r w:rsidR="004F349B" w:rsidRPr="000D3DAB">
        <w:rPr>
          <w:lang w:val="en-GB"/>
        </w:rPr>
        <w:t xml:space="preserve"> (Structural Level)</w:t>
      </w:r>
      <w:bookmarkEnd w:id="20"/>
    </w:p>
    <w:p w14:paraId="44FD3190" w14:textId="77777777" w:rsidR="00816F79" w:rsidRPr="000D3DAB" w:rsidRDefault="00816F79"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14:paraId="40633AED" w14:textId="77777777" w:rsidR="00AC1A15" w:rsidRPr="000D3DAB" w:rsidRDefault="00476025" w:rsidP="00382A9C">
      <w:pPr>
        <w:pStyle w:val="berschrift2"/>
        <w:rPr>
          <w:lang w:val="en-GB"/>
        </w:rPr>
      </w:pPr>
      <w:bookmarkStart w:id="21" w:name="_Toc284866377"/>
      <w:r w:rsidRPr="000D3DAB">
        <w:rPr>
          <w:lang w:val="en-GB"/>
        </w:rPr>
        <w:t>Mesh generation with Ansys ICEM 14</w:t>
      </w:r>
      <w:bookmarkEnd w:id="21"/>
    </w:p>
    <w:p w14:paraId="39D8793A"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The meshed NACA 0012 airfoil was provided as 2D mesh by Dr. Wolfgang Hassler</w:t>
      </w:r>
      <w:proofErr w:type="gramEnd"/>
      <w:r w:rsidRPr="000D3DAB">
        <w:rPr>
          <w:rFonts w:ascii="Arial" w:hAnsi="Arial" w:cs="Arial"/>
          <w:sz w:val="24"/>
          <w:szCs w:val="24"/>
          <w:lang w:val="en-GB"/>
        </w:rPr>
        <w:t xml:space="preserve">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40AF8BD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Due to the three dimensional characteristics of the Large Eddies this two dimensional mesh is not sufficient, but has to be extended in a third direction,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77777777"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2" w:name="_Toc284866378"/>
      <w:r w:rsidRPr="000D3DAB">
        <w:rPr>
          <w:lang w:val="en-GB"/>
        </w:rPr>
        <w:t>Y+ Value</w:t>
      </w:r>
      <w:bookmarkEnd w:id="22"/>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5434B4"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Pr="000D3DAB" w:rsidRDefault="00476025" w:rsidP="00476025">
      <w:pPr>
        <w:pStyle w:val="StandardTitelseite"/>
        <w:spacing w:line="360" w:lineRule="auto"/>
        <w:rPr>
          <w:rFonts w:ascii="Arial" w:hAnsi="Arial" w:cs="Arial"/>
          <w:sz w:val="24"/>
          <w:szCs w:val="24"/>
          <w:lang w:val="en-GB"/>
        </w:rPr>
      </w:pPr>
    </w:p>
    <w:p w14:paraId="2AD69137"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14:paraId="048DB1DE" w14:textId="77777777" w:rsidR="00853F58" w:rsidRPr="000D3DAB" w:rsidRDefault="00853F58" w:rsidP="00382A9C">
      <w:pPr>
        <w:pStyle w:val="StandardTitelseite"/>
        <w:spacing w:line="360" w:lineRule="auto"/>
        <w:rPr>
          <w:rFonts w:ascii="Arial" w:hAnsi="Arial" w:cs="Arial"/>
          <w:sz w:val="24"/>
          <w:szCs w:val="24"/>
          <w:lang w:val="en-GB"/>
        </w:rPr>
      </w:pPr>
    </w:p>
    <w:p w14:paraId="4AED3EAE" w14:textId="77777777" w:rsidR="00537E81" w:rsidRPr="000D3DAB" w:rsidRDefault="00476025" w:rsidP="00382A9C">
      <w:pPr>
        <w:pStyle w:val="berschrift3"/>
        <w:rPr>
          <w:lang w:val="en-GB"/>
        </w:rPr>
      </w:pPr>
      <w:bookmarkStart w:id="23" w:name="_Toc284866379"/>
      <w:proofErr w:type="gramStart"/>
      <w:r w:rsidRPr="000D3DAB">
        <w:rPr>
          <w:lang w:val="en-GB"/>
        </w:rPr>
        <w:t>xxx</w:t>
      </w:r>
      <w:bookmarkEnd w:id="23"/>
      <w:proofErr w:type="gramEnd"/>
    </w:p>
    <w:p w14:paraId="0A8A796C" w14:textId="77777777" w:rsidR="00537E81" w:rsidRPr="000D3DAB" w:rsidRDefault="00476025" w:rsidP="00476025">
      <w:pPr>
        <w:pStyle w:val="StandardTitelseite"/>
        <w:tabs>
          <w:tab w:val="left" w:pos="1260"/>
        </w:tabs>
        <w:spacing w:line="360" w:lineRule="auto"/>
        <w:rPr>
          <w:rFonts w:ascii="Arial" w:hAnsi="Arial" w:cs="Arial"/>
          <w:sz w:val="24"/>
          <w:szCs w:val="24"/>
          <w:lang w:val="en-GB"/>
        </w:rPr>
      </w:pPr>
      <w:r w:rsidRPr="000D3DAB">
        <w:rPr>
          <w:rFonts w:ascii="Arial" w:hAnsi="Arial" w:cs="Arial"/>
          <w:sz w:val="24"/>
          <w:szCs w:val="24"/>
          <w:lang w:val="en-US"/>
        </w:rPr>
        <w:t>Due to the three dimensional nature of the Large Eddy Simulation the given mesh was expanded by 30 cells in the z-direction with the Ansys ICEM function xxx, in order to receive a satisfying 3d mesh.</w:t>
      </w:r>
    </w:p>
    <w:p w14:paraId="7D60E066" w14:textId="77777777" w:rsidR="0093531A" w:rsidRPr="000D3DAB" w:rsidRDefault="00476025" w:rsidP="00382A9C">
      <w:pPr>
        <w:pStyle w:val="berschrift2"/>
        <w:rPr>
          <w:lang w:val="en-GB"/>
        </w:rPr>
      </w:pPr>
      <w:bookmarkStart w:id="24" w:name="_Toc284866380"/>
      <w:r w:rsidRPr="000D3DAB">
        <w:rPr>
          <w:lang w:val="en-GB"/>
        </w:rPr>
        <w:t>Simulation Setup in Ansys CFX-Pre 15</w:t>
      </w:r>
      <w:bookmarkEnd w:id="24"/>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5" w:name="_Toc284866381"/>
      <w:r>
        <w:rPr>
          <w:lang w:val="en-GB"/>
        </w:rPr>
        <w:t>Domain</w:t>
      </w:r>
      <w:bookmarkEnd w:id="25"/>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6" w:name="_Toc284866382"/>
      <w:r w:rsidRPr="000D3DAB">
        <w:rPr>
          <w:lang w:val="en-US"/>
        </w:rPr>
        <w:t>Analysis Type</w:t>
      </w:r>
      <w:bookmarkEnd w:id="26"/>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7" w:name="_Toc284866383"/>
      <w:r w:rsidRPr="000D3DAB">
        <w:rPr>
          <w:lang w:val="en-US"/>
        </w:rPr>
        <w:t>Boundary Conditions</w:t>
      </w:r>
      <w:bookmarkEnd w:id="27"/>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8" w:name="_Toc284866384"/>
      <w:r w:rsidRPr="000D3DAB">
        <w:rPr>
          <w:lang w:val="en-GB"/>
        </w:rPr>
        <w:t>Initial Conditions</w:t>
      </w:r>
      <w:bookmarkEnd w:id="28"/>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9" w:name="_Toc284866385"/>
      <w:r w:rsidRPr="000D3DAB">
        <w:rPr>
          <w:lang w:val="en-GB"/>
        </w:rPr>
        <w:t>Solver Control Settings</w:t>
      </w:r>
      <w:bookmarkEnd w:id="29"/>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5434B4" w:rsidP="003D3EDF">
      <w:pPr>
        <w:pStyle w:val="StandardTitelseite"/>
        <w:tabs>
          <w:tab w:val="left" w:pos="1260"/>
        </w:tabs>
        <w:spacing w:line="360" w:lineRule="auto"/>
        <w:rPr>
          <w:rFonts w:ascii="Arial" w:hAnsi="Arial" w:cs="Arial"/>
          <w:sz w:val="24"/>
          <w:szCs w:val="24"/>
          <w:lang w:val="en-US"/>
        </w:rPr>
      </w:pPr>
      <w:hyperlink r:id="rId12" w:history="1">
        <w:r w:rsidR="003D3EDF" w:rsidRPr="000D3DAB">
          <w:rPr>
            <w:rFonts w:ascii="Arial" w:hAnsi="Arial" w:cs="Arial"/>
            <w:sz w:val="24"/>
            <w:szCs w:val="24"/>
            <w:lang w:val="en-US"/>
          </w:rPr>
          <w:t>https://www.sharcnet.ca/Software/Fluent14/help/cfx_mod/i1303019.html</w:t>
        </w:r>
      </w:hyperlink>
    </w:p>
    <w:p w14:paraId="40735EB7" w14:textId="77777777" w:rsidR="003D3EDF" w:rsidRPr="0009737C" w:rsidRDefault="003D3EDF" w:rsidP="0009737C">
      <w:pPr>
        <w:pStyle w:val="berschrift3"/>
        <w:rPr>
          <w:lang w:val="en-GB"/>
        </w:rPr>
      </w:pPr>
      <w:bookmarkStart w:id="30" w:name="_Toc284866386"/>
      <w:r w:rsidRPr="0009737C">
        <w:rPr>
          <w:lang w:val="en-GB"/>
        </w:rPr>
        <w:t>Output Control</w:t>
      </w:r>
      <w:bookmarkEnd w:id="30"/>
    </w:p>
    <w:p w14:paraId="25056727" w14:textId="77777777" w:rsidR="003D3EDF" w:rsidRDefault="003D3ED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Trn Results, Trn Stats, Backup</w:t>
      </w:r>
    </w:p>
    <w:p w14:paraId="5B530062" w14:textId="77777777" w:rsidR="00AE7ED3" w:rsidRDefault="00AE7ED3" w:rsidP="00382A9C">
      <w:pPr>
        <w:pStyle w:val="StandardTitelseite"/>
        <w:spacing w:line="360" w:lineRule="auto"/>
        <w:rPr>
          <w:rFonts w:ascii="Arial" w:hAnsi="Arial" w:cs="Arial"/>
          <w:sz w:val="24"/>
          <w:szCs w:val="24"/>
          <w:lang w:val="en-GB"/>
        </w:rPr>
      </w:pPr>
    </w:p>
    <w:p w14:paraId="1A4298CE" w14:textId="77777777" w:rsidR="0009737C" w:rsidRDefault="0009737C" w:rsidP="00382A9C">
      <w:pPr>
        <w:pStyle w:val="StandardTitelseite"/>
        <w:spacing w:line="360" w:lineRule="auto"/>
        <w:rPr>
          <w:rFonts w:ascii="Arial" w:hAnsi="Arial" w:cs="Arial"/>
          <w:sz w:val="24"/>
          <w:szCs w:val="24"/>
          <w:lang w:val="en-GB"/>
        </w:rPr>
      </w:pPr>
    </w:p>
    <w:p w14:paraId="07ECCB37" w14:textId="77777777" w:rsidR="0009737C" w:rsidRDefault="0009737C" w:rsidP="00382A9C">
      <w:pPr>
        <w:pStyle w:val="StandardTitelseite"/>
        <w:spacing w:line="360" w:lineRule="auto"/>
        <w:rPr>
          <w:rFonts w:ascii="Arial" w:hAnsi="Arial" w:cs="Arial"/>
          <w:sz w:val="24"/>
          <w:szCs w:val="24"/>
          <w:lang w:val="en-GB"/>
        </w:rPr>
      </w:pPr>
    </w:p>
    <w:p w14:paraId="223CAF2F" w14:textId="77777777" w:rsidR="00AE7ED3" w:rsidRPr="000D3DAB" w:rsidRDefault="00AE7ED3" w:rsidP="00382A9C">
      <w:pPr>
        <w:pStyle w:val="StandardTitelseite"/>
        <w:spacing w:line="360" w:lineRule="auto"/>
        <w:rPr>
          <w:rFonts w:ascii="Arial" w:hAnsi="Arial" w:cs="Arial"/>
          <w:sz w:val="24"/>
          <w:szCs w:val="24"/>
          <w:lang w:val="en-GB"/>
        </w:rPr>
      </w:pPr>
      <w:r w:rsidRPr="00AE7ED3">
        <w:rPr>
          <w:rFonts w:ascii="Arial" w:hAnsi="Arial" w:cs="Arial"/>
          <w:sz w:val="24"/>
          <w:szCs w:val="24"/>
          <w:highlight w:val="red"/>
          <w:lang w:val="en-GB"/>
        </w:rPr>
        <w:t>Transient Simulation: Advection Scheme: Specified Blend Factor!</w:t>
      </w:r>
    </w:p>
    <w:p w14:paraId="0D196C61" w14:textId="77777777" w:rsidR="0093531A" w:rsidRDefault="003D3EDF" w:rsidP="0009737C">
      <w:pPr>
        <w:pStyle w:val="berschrift2"/>
        <w:rPr>
          <w:lang w:val="en-GB"/>
        </w:rPr>
      </w:pPr>
      <w:bookmarkStart w:id="31" w:name="_Toc284866387"/>
      <w:r w:rsidRPr="000D3DAB">
        <w:rPr>
          <w:lang w:val="en-GB"/>
        </w:rPr>
        <w:t>Solution with Ansys CFX-Solver-Manager 15.0</w:t>
      </w:r>
      <w:bookmarkEnd w:id="31"/>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77777777" w:rsidR="00E92584" w:rsidRDefault="00E92584" w:rsidP="0009737C">
      <w:r>
        <w:tab/>
        <w:t>Due to the adjustments in the [simulation control?] the solver started with the stationary simulation, which finished normally after ... . Thereafter the transient one was conducted. It took the computers ... to calculate all tenthousand timesteps. Finally it finished normally leaving thousand transient results files for post-processing.</w:t>
      </w:r>
    </w:p>
    <w:p w14:paraId="4F5123F2" w14:textId="77777777" w:rsidR="00E92584" w:rsidRDefault="00E92584" w:rsidP="00493199">
      <w:pPr>
        <w:pStyle w:val="berschrift2"/>
      </w:pPr>
      <w:bookmarkStart w:id="32" w:name="_Toc284866388"/>
      <w:r>
        <w:t>Post-Processing with Ansys CFX-Post</w:t>
      </w:r>
      <w:r w:rsidR="00493199">
        <w:t xml:space="preserve"> 15.0</w:t>
      </w:r>
      <w:bookmarkEnd w:id="32"/>
    </w:p>
    <w:p w14:paraId="76DCCBE9" w14:textId="77777777" w:rsidR="00493199" w:rsidRPr="0009737C" w:rsidRDefault="00493199" w:rsidP="0009737C">
      <w: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0F87910D" w14:textId="77777777" w:rsidR="00AC1A15" w:rsidRPr="000D3DAB" w:rsidRDefault="005F3DD4" w:rsidP="00382A9C">
      <w:pPr>
        <w:pStyle w:val="berschrift1"/>
        <w:rPr>
          <w:lang w:val="en-GB"/>
        </w:rPr>
      </w:pPr>
      <w:r w:rsidRPr="000D3DAB">
        <w:rPr>
          <w:lang w:val="en-GB"/>
        </w:rPr>
        <w:br w:type="page"/>
      </w:r>
      <w:bookmarkStart w:id="33" w:name="_Toc284866389"/>
      <w:r w:rsidR="004F349B" w:rsidRPr="000D3DAB">
        <w:rPr>
          <w:lang w:val="en-GB"/>
        </w:rPr>
        <w:t>Results</w:t>
      </w:r>
      <w:bookmarkEnd w:id="33"/>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109A3372" w14:textId="77777777" w:rsidR="00551329" w:rsidRPr="000D3DAB"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34" w:name="_Toc284866390"/>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4"/>
    </w:p>
    <w:p w14:paraId="4CF50CDE" w14:textId="77777777" w:rsidR="005434B4" w:rsidRPr="000D3DAB"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6FFB7B4F" w14:textId="77777777" w:rsidR="00853F58" w:rsidRPr="000D3DAB" w:rsidRDefault="003C7F8A" w:rsidP="0000579F">
      <w:pPr>
        <w:pStyle w:val="berschrift3"/>
        <w:rPr>
          <w:lang w:val="en-GB"/>
        </w:rPr>
      </w:pPr>
      <w:bookmarkStart w:id="35" w:name="_Toc284866391"/>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5"/>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6" w:name="_Toc284866392"/>
      <w:r w:rsidRPr="000D3DAB">
        <w:rPr>
          <w:lang w:val="en-GB"/>
        </w:rPr>
        <w:t>Results – 2nd</w:t>
      </w:r>
      <w:r w:rsidR="00853F58" w:rsidRPr="000D3DAB">
        <w:rPr>
          <w:lang w:val="en-GB"/>
        </w:rPr>
        <w:t xml:space="preserve"> </w:t>
      </w:r>
      <w:r w:rsidRPr="000D3DAB">
        <w:rPr>
          <w:lang w:val="en-GB"/>
        </w:rPr>
        <w:t>Subheading (Structural Level)</w:t>
      </w:r>
      <w:bookmarkEnd w:id="36"/>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7" w:name="_Toc284866393"/>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7"/>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8" w:name="_Toc284866394"/>
      <w:r w:rsidRPr="000D3DAB">
        <w:rPr>
          <w:lang w:val="en-GB"/>
        </w:rPr>
        <w:t>Dis</w:t>
      </w:r>
      <w:r w:rsidR="001440AC" w:rsidRPr="000D3DAB">
        <w:rPr>
          <w:lang w:val="en-GB"/>
        </w:rPr>
        <w:t>c</w:t>
      </w:r>
      <w:r w:rsidRPr="000D3DAB">
        <w:rPr>
          <w:lang w:val="en-GB"/>
        </w:rPr>
        <w:t>ussion</w:t>
      </w:r>
      <w:bookmarkEnd w:id="38"/>
    </w:p>
    <w:p w14:paraId="5836E79C"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Introductory paragraph</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39" w:name="_Toc253042027"/>
      <w:bookmarkStart w:id="40" w:name="_Toc284866395"/>
      <w:bookmarkEnd w:id="39"/>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40"/>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41" w:name="_Toc284866396"/>
      <w:r w:rsidRPr="000D3DAB">
        <w:rPr>
          <w:lang w:val="en-GB"/>
        </w:rPr>
        <w:t>Comparison Large Eddy Simulation and RANS Equations</w:t>
      </w:r>
      <w:bookmarkEnd w:id="41"/>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42" w:name="_Toc253042031"/>
      <w:bookmarkEnd w:id="42"/>
      <w:r w:rsidRPr="000D3DAB">
        <w:rPr>
          <w:lang w:val="en-GB"/>
        </w:rPr>
        <w:br w:type="page"/>
      </w:r>
      <w:bookmarkStart w:id="43" w:name="_Toc284866397"/>
      <w:r w:rsidR="00FB1FC1" w:rsidRPr="000D3DAB">
        <w:rPr>
          <w:lang w:val="en-GB"/>
        </w:rPr>
        <w:t>Conclusions</w:t>
      </w:r>
      <w:bookmarkEnd w:id="43"/>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4" w:name="_Toc284866398"/>
      <w:r w:rsidR="00781BCF" w:rsidRPr="000D3DAB">
        <w:rPr>
          <w:lang w:val="en-GB"/>
        </w:rPr>
        <w:t>References</w:t>
      </w:r>
      <w:bookmarkEnd w:id="44"/>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Pr="000D3DAB"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6F0644E2" w14:textId="77777777" w:rsidR="00EF5C8B" w:rsidRPr="000D3DAB" w:rsidRDefault="00EF5C8B" w:rsidP="00382A9C">
      <w:pPr>
        <w:pStyle w:val="berschrift1"/>
        <w:numPr>
          <w:ilvl w:val="0"/>
          <w:numId w:val="0"/>
        </w:numPr>
        <w:rPr>
          <w:lang w:val="en-GB"/>
        </w:rPr>
      </w:pPr>
      <w:r w:rsidRPr="000D3DAB">
        <w:rPr>
          <w:sz w:val="24"/>
          <w:szCs w:val="24"/>
          <w:lang w:val="en-GB"/>
        </w:rPr>
        <w:br w:type="page"/>
      </w:r>
      <w:bookmarkStart w:id="45" w:name="_Toc284866399"/>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5"/>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6" w:name="_Toc284866400"/>
      <w:r w:rsidRPr="000D3DAB">
        <w:rPr>
          <w:lang w:val="en-GB"/>
        </w:rPr>
        <w:t>Appendix B: Style Sheet for Creating the References List</w:t>
      </w:r>
      <w:bookmarkEnd w:id="46"/>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7" w:name="OLE_LINK1"/>
      <w:bookmarkStart w:id="48" w:name="OLE_LINK2"/>
      <w:r w:rsidRPr="000D3DAB">
        <w:rPr>
          <w:rFonts w:ascii="Arial" w:hAnsi="Arial" w:cs="Arial"/>
          <w:sz w:val="24"/>
          <w:szCs w:val="24"/>
          <w:lang w:val="en-GB"/>
        </w:rPr>
        <w:t>page numbers</w:t>
      </w:r>
      <w:bookmarkEnd w:id="47"/>
      <w:bookmarkEnd w:id="48"/>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A9420C" w:rsidRDefault="00A9420C">
      <w:r>
        <w:separator/>
      </w:r>
    </w:p>
  </w:endnote>
  <w:endnote w:type="continuationSeparator" w:id="0">
    <w:p w14:paraId="1ADB04A3" w14:textId="77777777" w:rsidR="00A9420C" w:rsidRDefault="00A9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A9420C" w:rsidRDefault="00A9420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CF38BB">
      <w:rPr>
        <w:rStyle w:val="Seitenzahl"/>
        <w:noProof/>
      </w:rPr>
      <w:t>iii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A9420C" w:rsidRDefault="00A9420C"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A9420C" w:rsidRDefault="00A9420C"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CF38BB">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A9420C" w:rsidRDefault="00A9420C">
      <w:r>
        <w:separator/>
      </w:r>
    </w:p>
  </w:footnote>
  <w:footnote w:type="continuationSeparator" w:id="0">
    <w:p w14:paraId="3BD759A8" w14:textId="77777777" w:rsidR="00A9420C" w:rsidRDefault="00A942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88C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6BE4"/>
    <w:rsid w:val="001F774A"/>
    <w:rsid w:val="001F7CF6"/>
    <w:rsid w:val="0020474B"/>
    <w:rsid w:val="00204CA4"/>
    <w:rsid w:val="0020677E"/>
    <w:rsid w:val="00206E9E"/>
    <w:rsid w:val="00212196"/>
    <w:rsid w:val="00216136"/>
    <w:rsid w:val="00225BE9"/>
    <w:rsid w:val="002273CD"/>
    <w:rsid w:val="002277C9"/>
    <w:rsid w:val="0023195E"/>
    <w:rsid w:val="0023593D"/>
    <w:rsid w:val="00235D52"/>
    <w:rsid w:val="0023633D"/>
    <w:rsid w:val="00237427"/>
    <w:rsid w:val="002404B1"/>
    <w:rsid w:val="002418C5"/>
    <w:rsid w:val="00241CF2"/>
    <w:rsid w:val="002424E3"/>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CC2"/>
    <w:rsid w:val="00287E15"/>
    <w:rsid w:val="00292078"/>
    <w:rsid w:val="00292788"/>
    <w:rsid w:val="00294137"/>
    <w:rsid w:val="0029639F"/>
    <w:rsid w:val="00296525"/>
    <w:rsid w:val="002A01B6"/>
    <w:rsid w:val="002A0637"/>
    <w:rsid w:val="002A0A85"/>
    <w:rsid w:val="002A2F9F"/>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355D"/>
    <w:rsid w:val="00334DF2"/>
    <w:rsid w:val="003374E5"/>
    <w:rsid w:val="00341760"/>
    <w:rsid w:val="00342252"/>
    <w:rsid w:val="00342D90"/>
    <w:rsid w:val="00345DCB"/>
    <w:rsid w:val="0034656F"/>
    <w:rsid w:val="003507CD"/>
    <w:rsid w:val="00350D99"/>
    <w:rsid w:val="00351536"/>
    <w:rsid w:val="003545E1"/>
    <w:rsid w:val="003548ED"/>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3FC9"/>
    <w:rsid w:val="00C151B0"/>
    <w:rsid w:val="00C155AD"/>
    <w:rsid w:val="00C158DC"/>
    <w:rsid w:val="00C1591B"/>
    <w:rsid w:val="00C1633A"/>
    <w:rsid w:val="00C16471"/>
    <w:rsid w:val="00C206AB"/>
    <w:rsid w:val="00C2164E"/>
    <w:rsid w:val="00C224F3"/>
    <w:rsid w:val="00C313B5"/>
    <w:rsid w:val="00C317B5"/>
    <w:rsid w:val="00C32984"/>
    <w:rsid w:val="00C35955"/>
    <w:rsid w:val="00C41376"/>
    <w:rsid w:val="00C43741"/>
    <w:rsid w:val="00C44A34"/>
    <w:rsid w:val="00C4621D"/>
    <w:rsid w:val="00C46D83"/>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42CE"/>
    <w:rsid w:val="00D2442C"/>
    <w:rsid w:val="00D24750"/>
    <w:rsid w:val="00D2791A"/>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5658</Words>
  <Characters>35650</Characters>
  <Application>Microsoft Macintosh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41226</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3</cp:revision>
  <cp:lastPrinted>2014-09-18T09:19:00Z</cp:lastPrinted>
  <dcterms:created xsi:type="dcterms:W3CDTF">2015-02-06T17:12:00Z</dcterms:created>
  <dcterms:modified xsi:type="dcterms:W3CDTF">2015-02-06T17:24:00Z</dcterms:modified>
</cp:coreProperties>
</file>