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2"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w:t>
      </w:r>
      <m:oMath>
        <m:sSup>
          <m:e>
            <m:r>
              <m:t>10</m:t>
            </m:r>
          </m:e>
          <m:sup>
            <m:r>
              <m:rPr>
                <m:sty m:val="p"/>
              </m:rPr>
              <m:t>−</m:t>
            </m:r>
            <m:r>
              <m:t>6</m:t>
            </m:r>
          </m:sup>
        </m:sSup>
      </m:oMath>
      <w:r>
        <w:t xml:space="preserve">), the lowest prose token −16.65 (5.9×</w:t>
      </w:r>
      <m:oMath>
        <m:sSup>
          <m:e>
            <m:r>
              <m:t>10</m:t>
            </m:r>
          </m:e>
          <m:sup>
            <m:r>
              <m:rPr>
                <m:sty m:val="p"/>
              </m:rPr>
              <m:t>−</m:t>
            </m:r>
            <m:r>
              <m:t>8</m:t>
            </m:r>
          </m:sup>
        </m:sSup>
      </m:oMath>
      <w:r>
        <w:t xml:space="preserve">), while</w:t>
      </w:r>
      <w:r>
        <w:t xml:space="preserve"> </w:t>
      </w:r>
      <m:oMath>
        <m:sSup>
          <m:e>
            <m:r>
              <m:t>10</m:t>
            </m:r>
          </m:e>
          <m:sup>
            <m:r>
              <m:rPr>
                <m:sty m:val="p"/>
              </m:rPr>
              <m:t>−</m:t>
            </m:r>
            <m:r>
              <m:t>9</m:t>
            </m:r>
          </m:sup>
        </m:sSup>
      </m:oMath>
      <w:r>
        <w:t xml:space="preserve"> </w:t>
      </w:r>
      <w:r>
        <w:t xml:space="preserve">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w:t>
      </w:r>
      <w:r>
        <w:rPr>
          <w:bCs/>
          <w:b/>
        </w:rPr>
        <w:t xml:space="preserve"> </w:t>
      </w:r>
      <m:oMath>
        <m:sSup>
          <m:e>
            <m:r>
              <m:t>10</m:t>
            </m:r>
          </m:e>
          <m:sup>
            <m:r>
              <m:rPr>
                <m:sty m:val="p"/>
              </m:rPr>
              <m:t>−</m:t>
            </m:r>
            <m:r>
              <m:t>9</m:t>
            </m:r>
          </m:sup>
        </m:sSup>
      </m:oMath>
      <w:r>
        <w:rPr>
          <w:bCs/>
          <w:b/>
        </w:rPr>
        <w:t xml:space="preserve"> </w:t>
      </w:r>
      <w:r>
        <w:rPr>
          <w:bCs/>
          <w:b/>
        </w:rPr>
        <w:t xml:space="preserve">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w:t>
      </w:r>
      <w:r>
        <w:t xml:space="preserve"> </w:t>
      </w:r>
      <m:oMath>
        <m:sSup>
          <m:e>
            <m:r>
              <m:t>10</m:t>
            </m:r>
          </m:e>
          <m:sup>
            <m:r>
              <m:rPr>
                <m:sty m:val="p"/>
              </m:rPr>
              <m:t>−</m:t>
            </m:r>
            <m:r>
              <m:t>9</m:t>
            </m:r>
          </m:sup>
        </m:sSup>
      </m:oMath>
      <w:r>
        <w:t xml:space="preserve"> </w:t>
      </w:r>
      <w:r>
        <w:t xml:space="preserve">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Introduction</w:t>
      </w:r>
    </w:p>
    <w:bookmarkStart w:id="21" w:name="the-claim"/>
    <w:p>
      <w:pPr>
        <w:pStyle w:val="Heading3"/>
      </w:pPr>
      <w:r>
        <w:t xml:space="preserve">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[1,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[1, Sec. 5.1–5.2, 2]</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(Section~</w:t>
      </w:r>
      <w:r>
        <w:t xml:space="preserve">). Three papers that examine closed models as scientific instruments converge on the same obstacle and identify it as a policy choice motivated by distillation concerns</w:t>
      </w:r>
      <w:r>
        <w:t xml:space="preserve"> </w:t>
      </w:r>
      <w:r>
        <w:t xml:space="preserve">[3–5]</w:t>
      </w:r>
      <w:r>
        <w:t xml:space="preserve">.</w:t>
      </w:r>
    </w:p>
    <w:p>
      <w:pPr>
        <w:pStyle w:val="BodyText"/>
      </w:pPr>
      <w:r>
        <w:t xml:space="preserve">The practical consequence is architectural (Section~</w:t>
      </w:r>
      <w:r>
        <w:t xml:space="preserve">): an agent-framework experiment cannot measure the tokens that matter, so the framework has to be removed.</w:t>
      </w:r>
    </w:p>
    <w:bookmarkEnd w:id="23"/>
    <w:bookmarkStart w:id="24" w:name="design-of-this-study"/>
    <w:p>
      <w:pPr>
        <w:pStyle w:val="Heading3"/>
      </w:pPr>
      <w:r>
        <w:t xml:space="preserve">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w:t>
      </w:r>
      <w:r>
        <w:t xml:space="preserve"> </w:t>
      </w:r>
      <m:oMath>
        <m:sSup>
          <m:e>
            <m:r>
              <m:t>10</m:t>
            </m:r>
          </m:e>
          <m:sup>
            <m:r>
              <m:rPr>
                <m:sty m:val="p"/>
              </m:rPr>
              <m:t>−</m:t>
            </m:r>
            <m:r>
              <m:t>9</m:t>
            </m:r>
          </m:sup>
        </m:sSup>
      </m:oMath>
      <w:r>
        <w:t xml:space="preserve"> </w:t>
      </w:r>
      <w:r>
        <w:t xml:space="preserve">floor?</w:t>
      </w:r>
    </w:p>
    <w:bookmarkEnd w:id="24"/>
    <w:bookmarkStart w:id="25" w:name="summary-of-results"/>
    <w:p>
      <w:pPr>
        <w:pStyle w:val="Heading3"/>
      </w:pPr>
      <w:r>
        <w:t xml:space="preserve">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w:t>
            </w:r>
            <m:oMath>
              <m:sSup>
                <m:e>
                  <m:r>
                    <m:t>10</m:t>
                  </m:r>
                </m:e>
                <m:sup>
                  <m:r>
                    <m:rPr>
                      <m:sty m:val="p"/>
                    </m:rPr>
                    <m:t>−</m:t>
                  </m:r>
                  <m:r>
                    <m:t>6</m:t>
                  </m:r>
                </m:sup>
              </m:sSup>
            </m:oMath>
            <w:r>
              <w:t xml:space="preserve">) vs the claimed −20.7</w:t>
            </w:r>
          </w:p>
        </w:tc>
      </w:tr>
    </w:tbl>
    <w:bookmarkEnd w:id="25"/>
    <w:bookmarkStart w:id="26" w:name="scope"/>
    <w:p>
      <w:pPr>
        <w:pStyle w:val="Heading3"/>
      </w:pPr>
      <w:r>
        <w:t xml:space="preserve">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Section~</w:t>
      </w:r>
      <w:r>
        <w:t xml:space="preserve">. It is the reason this paper reports a tension rather than a refutation.</w:t>
      </w:r>
    </w:p>
    <w:p>
      <w:pPr>
        <w:pStyle w:val="BodyText"/>
      </w:pPr>
      <w:r>
        <w:t xml:space="preserve">The code-side rate is 0.60%, which is small but nonzero, and two properties of it are claimed: that it does not vary with task difficulty, and that it does not concentrate at implementation decisions.</w:t>
      </w:r>
    </w:p>
    <w:p>
      <w:r>
        <w:pict>
          <v:rect style="width:0;height:1.5pt" o:hralign="center" o:hrstd="t" o:hr="t"/>
        </w:pict>
      </w:r>
    </w:p>
    <w:bookmarkEnd w:id="26"/>
    <w:bookmarkEnd w:id="27"/>
    <w:bookmarkStart w:id="33" w:name="related-work"/>
    <w:p>
      <w:pPr>
        <w:pStyle w:val="Heading2"/>
      </w:pPr>
      <w:r>
        <w:t xml:space="preserve">Related Work</w:t>
      </w:r>
    </w:p>
    <w:bookmarkStart w:id="28" w:name="the-causal-chain-under-test"/>
    <w:p>
      <w:pPr>
        <w:pStyle w:val="Heading3"/>
      </w:pPr>
      <w:r>
        <w:t xml:space="preserve">The causal chain under test</w:t>
      </w:r>
    </w:p>
    <w:p>
      <w:pPr>
        <w:pStyle w:val="FirstParagraph"/>
      </w:pPr>
      <w:r>
        <w:t xml:space="preserve">CUDA Agent’s mechanism, quoted in Section~</w:t>
      </w:r>
      <w:r>
        <w:t xml:space="preserve">, has the shape: rarity → low probability → precision amplification → ratio explosion</w:t>
      </w:r>
      <w:r>
        <w:t xml:space="preserve"> </w:t>
      </w:r>
      <w:r>
        <w:t xml:space="preserve">[1,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[1, 2]</w:t>
      </w:r>
      <w:r>
        <w:t xml:space="preserve">.</w:t>
      </w:r>
    </w:p>
    <w:p>
      <w:pPr>
        <w:pStyle w:val="BodyText"/>
      </w:pPr>
      <w:r>
        <w:rPr>
          <w:bCs/>
          <w:b/>
        </w:rPr>
        <w:t xml:space="preserve">An independent reading of the paper is relevant here.</w:t>
      </w:r>
      <w:r>
        <w:t xml:space="preserve"> </w:t>
      </w:r>
      <w:r>
        <w:t xml:space="preserve">A third-party overview reports that the authors attribute the instability to the base model’s distribution mismatch, and then records what the paper actually establishes: two observed associations — reward collapse accompanied by a rise in policy entropy when RFT is removed, and lower explained variance accompanied by longer trajectories when value pretraining is removed — which, in the overview’s assessment, are associations together with the authors’ interpretation rather than evidence for a single cause</w:t>
      </w:r>
      <w:r>
        <w:t xml:space="preserve"> </w:t>
      </w:r>
      <w:r>
        <w:t xml:space="preserve">[6]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w:t>
      </w:r>
      <w:r>
        <w:rPr>
          <w:bCs/>
          <w:b/>
        </w:rPr>
        <w:t xml:space="preserve"> </w:t>
      </w:r>
      <m:oMath>
        <m:sSup>
          <m:e>
            <m:r>
              <m:t>10</m:t>
            </m:r>
          </m:e>
          <m:sup>
            <m:r>
              <m:rPr>
                <m:sty m:val="p"/>
              </m:rPr>
              <m:t>−</m:t>
            </m:r>
            <m:r>
              <m:t>9</m:t>
            </m:r>
          </m:sup>
        </m:sSup>
      </m:oMath>
      <w:r>
        <w:rPr>
          <w:bCs/>
          <w:b/>
        </w:rPr>
        <w:t xml:space="preserve">.</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[7]</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[7, Sec. 5.1]</w:t>
      </w:r>
      <w:r>
        <w:t xml:space="preserve">.</w:t>
      </w:r>
    </w:p>
    <w:p>
      <w:pPr>
        <w:pStyle w:val="BodyText"/>
      </w:pPr>
      <w:r>
        <w:t xml:space="preserve">Its key negative finding is that MRS</w:t>
      </w:r>
      <w:r>
        <w:t xml:space="preserve"> </w:t>
      </w:r>
      <w:r>
        <w:t xml:space="preserve">“</w:t>
      </w:r>
      <w:r>
        <w:t xml:space="preserve">successfully stabilizes the training dynamics</w:t>
      </w:r>
      <w:r>
        <w:t xml:space="preserve">”</w:t>
      </w:r>
      <w:r>
        <w:t xml:space="preserve"> </w:t>
      </w:r>
      <w:r>
        <w:t xml:space="preserve">while failing to</w:t>
      </w:r>
      <w:r>
        <w:t xml:space="preserve"> </w:t>
      </w:r>
      <w:r>
        <w:t xml:space="preserve">“</w:t>
      </w:r>
      <w:r>
        <w:t xml:space="preserve">fundamentally lift the performance ceiling</w:t>
      </w:r>
      <w:r>
        <w:t xml:space="preserve">”</w:t>
      </w:r>
      <w:r>
        <w:t xml:space="preserve"> </w:t>
      </w:r>
      <w:r>
        <w:t xml:space="preserve">[7, Sec. 5.1]</w:t>
      </w:r>
      <w:r>
        <w:t xml:space="preserve">, which separates stability from capability. What MRS corrects is a distributional discrepancy between two inference engines, a property of the trajectory’s context rather than of the domain’s vocabulary.</w:t>
      </w:r>
    </w:p>
    <w:bookmarkEnd w:id="29"/>
    <w:bookmarkStart w:id="30" w:name="precision-mismatch-and-off-policy-drift"/>
    <w:p>
      <w:pPr>
        <w:pStyle w:val="Heading3"/>
      </w:pPr>
      <w:r>
        <w:t xml:space="preserve">Precision mismatch and off-policy drift</w:t>
      </w:r>
    </w:p>
    <w:p>
      <w:pPr>
        <w:pStyle w:val="FirstParagraph"/>
      </w:pPr>
      <w:r>
        <w:t xml:space="preserve">Three lines of work converge on the sensitivity of the PPO ratio when probabilities sit near the numerical floor, at which point a small absolute difference becomes a large relative one</w:t>
      </w:r>
      <w:r>
        <w:t xml:space="preserve"> </w:t>
      </w:r>
      <w:r>
        <w:t xml:space="preserve">[1, 2]</w:t>
      </w:r>
      <w:r>
        <w:t xml:space="preserve">:</w:t>
      </w:r>
    </w:p>
    <w:p>
      <w:pPr>
        <w:numPr>
          <w:ilvl w:val="0"/>
          <w:numId w:val="1002"/>
        </w:numPr>
        <w:pStyle w:val="Compact"/>
      </w:pPr>
      <w:r>
        <w:t xml:space="preserve">Jet-RL treats the train/inference precision mismatch as the operative difference;</w:t>
      </w:r>
    </w:p>
    <w:p>
      <w:pPr>
        <w:numPr>
          <w:ilvl w:val="0"/>
          <w:numId w:val="1002"/>
        </w:numPr>
        <w:pStyle w:val="Compact"/>
      </w:pPr>
      <w:r>
        <w:rPr>
          <w:iCs/>
          <w:i/>
        </w:rPr>
        <w:t xml:space="preserve">Precision Mismatch in Reasoning Models</w:t>
      </w:r>
      <w:r>
        <w:t xml:space="preserve"> </w:t>
      </w:r>
      <w:r>
        <w:t xml:space="preserve">examines the same effect in the reasoning setting;</w:t>
      </w:r>
    </w:p>
    <w:p>
      <w:pPr>
        <w:numPr>
          <w:ilvl w:val="0"/>
          <w:numId w:val="1002"/>
        </w:numPr>
        <w:pStyle w:val="Compact"/>
      </w:pPr>
      <w:r>
        <w:rPr>
          <w:iCs/>
          <w:i/>
        </w:rPr>
        <w:t xml:space="preserve">First-Order Approximation for Stable LLM-RL Training</w:t>
      </w:r>
      <w:r>
        <w:t xml:space="preserve"> </w:t>
      </w:r>
      <w:r>
        <w:t xml:space="preserve">analyses it as a stability property of the objective.</w:t>
      </w:r>
    </w:p>
    <w:p>
      <w:pPr>
        <w:pStyle w:val="FirstParagraph"/>
      </w:pPr>
      <w:r>
        <w:t xml:space="preserve">Liu et al. characterise the complementary phenomenon in which an RL framework’s efficiency machinery renders the training data off-policy</w:t>
      </w:r>
      <w:r>
        <w:t xml:space="preserve"> </w:t>
      </w:r>
      <w:r>
        <w:t xml:space="preserve">[8]</w:t>
      </w:r>
      <w:r>
        <w:t xml:space="preserve">.</w:t>
      </w:r>
    </w:p>
    <w:p>
      <w:pPr>
        <w:pStyle w:val="BodyText"/>
      </w:pPr>
      <w:r>
        <w:t xml:space="preserve">All three take the floor condition as given. The contribution of the present study is to test whether it holds at generation time, which makes the two lines of work complementary rather than competing.</w:t>
      </w:r>
    </w:p>
    <w:bookmarkEnd w:id="30"/>
    <w:bookmarkStart w:id="31" w:name="logprob-availability-in-closed-apis"/>
    <w:p>
      <w:pPr>
        <w:pStyle w:val="Heading3"/>
      </w:pPr>
      <w:r>
        <w:t xml:space="preserve">Logprob availability in closed APIs</w:t>
      </w:r>
    </w:p>
    <w:p>
      <w:pPr>
        <w:pStyle w:val="FirstParagraph"/>
      </w:pPr>
      <w:r>
        <w:t xml:space="preserve">The constraint described in Section~</w:t>
      </w:r>
      <w:r>
        <w:t xml:space="preserve"> </w:t>
      </w:r>
      <w:r>
        <w:t xml:space="preserve">has a methodological consequence worth separating from the engineering one. Because tool-call arguments carry no logprob, any measurement built on an agent framework is limited to the tokens the model emits outside its tool calls — that is, to its narration, not to the code. Studies that report probability statistics from framework-based collection are therefore measuring a different object from the one this paper measures, and comparisons across the two should be made with that in mind.</w:t>
      </w:r>
    </w:p>
    <w:bookmarkEnd w:id="31"/>
    <w:bookmarkStart w:id="32" w:name="position-of-this-work"/>
    <w:p>
      <w:pPr>
        <w:pStyle w:val="Heading3"/>
      </w:pPr>
      <w:r>
        <w:t xml:space="preserve">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Method</w:t>
      </w:r>
    </w:p>
    <w:bookmarkStart w:id="34" w:name="collection-without-an-agent-framework"/>
    <w:p>
      <w:pPr>
        <w:pStyle w:val="Heading3"/>
      </w:pPr>
      <w:r>
        <w:t xml:space="preserve">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(Section~</w:t>
      </w:r>
      <w:r>
        <w:t xml:space="preserve">).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[9]</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w:t>
      </w:r>
    </w:p>
    <w:p>
      <w:pPr>
        <w:numPr>
          <w:ilvl w:val="0"/>
          <w:numId w:val="1003"/>
        </w:numPr>
        <w:pStyle w:val="Compact"/>
      </w:pPr>
      <w:r>
        <w:t xml:space="preserve">fuse the entire chain into one kernel;</w:t>
      </w:r>
    </w:p>
    <w:p>
      <w:pPr>
        <w:numPr>
          <w:ilvl w:val="0"/>
          <w:numId w:val="1003"/>
        </w:numPr>
        <w:pStyle w:val="Compact"/>
      </w:pPr>
      <w:r>
        <w:t xml:space="preserve">fuse the elementwise tail into the epilogue of the heavy operation and keep that operation separate;</w:t>
      </w:r>
    </w:p>
    <w:p>
      <w:pPr>
        <w:numPr>
          <w:ilvl w:val="0"/>
          <w:numId w:val="1003"/>
        </w:numPr>
        <w:pStyle w:val="Compact"/>
      </w:pPr>
      <w:r>
        <w:t xml:space="preserve">or implement the sequence as written, with an intermediate tensor per step.</w:t>
      </w:r>
    </w:p>
    <w:p>
      <w:pPr>
        <w:pStyle w:val="FirstParagraph"/>
      </w:pPr>
      <w:r>
        <w:t xml:space="preserve">Selecting among them requires deciding what to fuse, whether an intermediate is materialised to global memory, and how to tile the heavy operation — precisely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Feedback conditions</w:t>
      </w:r>
    </w:p>
    <w:p>
      <w:pPr>
        <w:numPr>
          <w:ilvl w:val="0"/>
          <w:numId w:val="1004"/>
        </w:numPr>
        <w:pStyle w:val="Compact"/>
      </w:pPr>
      <w:r>
        <w:rPr>
          <w:bCs/>
          <w:b/>
        </w:rPr>
        <w:t xml:space="preserve">full</w:t>
      </w:r>
      <w:r>
        <w:t xml:space="preserve"> </w:t>
      </w:r>
      <w:r>
        <w:t xml:space="preserve">— the evaluator’s verbatim output.</w:t>
      </w:r>
    </w:p>
    <w:p>
      <w:pPr>
        <w:numPr>
          <w:ilvl w:val="0"/>
          <w:numId w:val="1004"/>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Both conditions were implemented before collection began and were held constant thereafter, so the comparison between them is not confounded by any later change of procedure.</w:t>
      </w:r>
    </w:p>
    <w:bookmarkEnd w:id="37"/>
    <w:bookmarkStart w:id="38" w:name="model-selection"/>
    <w:p>
      <w:pPr>
        <w:pStyle w:val="Heading3"/>
      </w:pPr>
      <w:r>
        <w:t xml:space="preserve">Model selection</w:t>
      </w:r>
    </w:p>
    <w:p>
      <w:pPr>
        <w:pStyle w:val="FirstParagraph"/>
      </w:pPr>
      <w:r>
        <w:t xml:space="preserve">The collection route and the model were settled together, through three attempts.</w:t>
      </w:r>
    </w:p>
    <w:p>
      <w:pPr>
        <w:pStyle w:val="BodyText"/>
      </w:pPr>
      <w:r>
        <w:rPr>
          <w:bCs/>
          <w:b/>
        </w:rPr>
        <w:t xml:space="preserve">First attempt: a consumer API with an agent framework.</w:t>
      </w:r>
      <w:r>
        <w:t xml:space="preserve"> </w:t>
      </w:r>
      <w:r>
        <w:t xml:space="preserve">The model writes the kernel through tool calls, and the API returns no logprob for tool-call arguments (Section~</w:t>
      </w:r>
      <w:r>
        <w:t xml:space="preserve">), so the tokens of interest are unmeasurable. This route was abandoned.</w:t>
      </w:r>
    </w:p>
    <w:p>
      <w:pPr>
        <w:pStyle w:val="BodyText"/>
      </w:pPr>
      <w:r>
        <w:rPr>
          <w:bCs/>
          <w:b/>
        </w:rPr>
        <w:t xml:space="preserve">Second attempt: a local model served by vLLM.</w:t>
      </w:r>
      <w:r>
        <w:t xml:space="preserve"> </w:t>
      </w:r>
      <w:r>
        <w:t xml:space="preserve">A cross-backend comparison showed vLLM to be the only serving stack that records tool-call arguments as ordinary generated tokens in</w:t>
      </w:r>
      <w:r>
        <w:t xml:space="preserve"> </w:t>
      </w:r>
      <w:r>
        <w:rPr>
          <w:rStyle w:val="VerbatimChar"/>
        </w:rPr>
        <w:t xml:space="preserve">logprobs</w:t>
      </w:r>
      <w:r>
        <w:t xml:space="preserve">, so collection was moved to a local server. The machine available has 8~GB of VRAM (RTX 5060, sm_120), which caps a locally served model at roughly 4B parameters;</w:t>
      </w:r>
      <w:r>
        <w:t xml:space="preserve"> </w:t>
      </w:r>
      <w:r>
        <w:rPr>
          <w:rStyle w:val="VerbatimChar"/>
        </w:rPr>
        <w:t xml:space="preserve">Qwen3-4B-AWQ</w:t>
      </w:r>
      <w:r>
        <w:t xml:space="preserve"> </w:t>
      </w:r>
      <w:r>
        <w:t xml:space="preserve">was therefore served under vLLM 0.31.0 with torch 2.13.0+cu130, the pairing required for Blackwell. Two engineering obstacles were met and bypassed: vLLM compiles kernels with torch.compile and so needs a C compiler, and its flashinfer sampler needs nvcc, which was avoided by disabling that sampler instead of installing a multi-gigabyte CUDA toolkit.</w:t>
      </w:r>
    </w:p>
    <w:p>
      <w:pPr>
        <w:pStyle w:val="BodyText"/>
      </w:pPr>
      <w:r>
        <w:t xml:space="preserve">This route produced data, but the 4B model skips tool calls unless</w:t>
      </w:r>
      <w:r>
        <w:t xml:space="preserve"> </w:t>
      </w:r>
      <w:r>
        <w:rPr>
          <w:rStyle w:val="VerbatimChar"/>
        </w:rPr>
        <w:t xml:space="preserve">tool_choice=required</w:t>
      </w:r>
      <w:r>
        <w:t xml:space="preserve">, and forcing tool use distorts the trajectories. More decisively, the measurements from this route are the ones withdrawn in Section~</w:t>
      </w:r>
      <w:r>
        <w:t xml:space="preserve">: the classification rule of the first pass interacted with the model’s output so as to manufacture a significant result. No measurement from the local route is reported in this paper.</w:t>
      </w:r>
    </w:p>
    <w:p>
      <w:pPr>
        <w:pStyle w:val="BodyText"/>
      </w:pPr>
      <w:r>
        <w:rPr>
          <w:bCs/>
          <w:b/>
        </w:rPr>
        <w:t xml:space="preserve">Third attempt, adopted: a consumer API without tools.</w:t>
      </w:r>
      <w:r>
        <w:t xml:space="preserve"> </w:t>
      </w:r>
      <w:r>
        <w:t xml:space="preserve">Removing the tools (Section~</w:t>
      </w:r>
      <w:r>
        <w:t xml:space="preserve">) removes the reason to run locally. The kernel is then written in</w:t>
      </w:r>
      <w:r>
        <w:t xml:space="preserve"> </w:t>
      </w:r>
      <w:r>
        <w:rPr>
          <w:rStyle w:val="VerbatimChar"/>
        </w:rPr>
        <w:t xml:space="preserve">message.content</w:t>
      </w:r>
      <w:r>
        <w:t xml:space="preserve">, which the consumer API does cover with</w:t>
      </w:r>
      <w:r>
        <w:t xml:space="preserve"> </w:t>
      </w:r>
      <w:r>
        <w:rPr>
          <w:rStyle w:val="VerbatimChar"/>
        </w:rPr>
        <w:t xml:space="preserve">logprobs</w:t>
      </w:r>
      <w:r>
        <w:t xml:space="preserve">, and a far larger model becomes available than the 8~GB card could serve. All reported runs use a non-reasoning model through that API with</w:t>
      </w:r>
      <w:r>
        <w:t xml:space="preserve"> </w:t>
      </w:r>
      <w:r>
        <w:rPr>
          <w:rStyle w:val="VerbatimChar"/>
        </w:rPr>
        <w:t xml:space="preserve">max_tokens=8192</w:t>
      </w:r>
      <w:r>
        <w:t xml:space="preserve">; the reasoning variant of the same API spends the entire budget inside the reasoning channel, producing zero content at</w:t>
      </w:r>
      <w:r>
        <w:t xml:space="preserve"> </w:t>
      </w:r>
      <w:r>
        <w:rPr>
          <w:rStyle w:val="VerbatimChar"/>
        </w:rPr>
        <w:t xml:space="preserve">max_tokens=4000</w:t>
      </w:r>
      <w:r>
        <w:t xml:space="preserve"> </w:t>
      </w:r>
      <w:r>
        <w:t xml:space="preserve">with</w:t>
      </w:r>
      <w:r>
        <w:t xml:space="preserve"> </w:t>
      </w:r>
      <w:r>
        <w:rPr>
          <w:rStyle w:val="VerbatimChar"/>
        </w:rPr>
        <w:t xml:space="preserve">finish_reason=length</w:t>
      </w:r>
      <w:r>
        <w:t xml:space="preserve">.</w:t>
      </w:r>
    </w:p>
    <w:p>
      <w:pPr>
        <w:pStyle w:val="BodyText"/>
      </w:pPr>
      <w:r>
        <w:t xml:space="preserve">The cost of this choice is that the model is aligned and served, so the base-model condition named in Section~</w:t>
      </w:r>
      <w:r>
        <w:t xml:space="preserve"> </w:t>
      </w:r>
      <w:r>
        <w:t xml:space="preserve">cannot be reached from here. That is why this paper reports a tension rather than a refutation.</w:t>
      </w:r>
    </w:p>
    <w:bookmarkEnd w:id="38"/>
    <w:bookmarkStart w:id="39" w:name="observables"/>
    <w:p>
      <w:pPr>
        <w:pStyle w:val="Heading3"/>
      </w:pPr>
      <w:r>
        <w:t xml:space="preserve">Observables</w:t>
      </w:r>
    </w:p>
    <w:p>
      <w:pPr>
        <w:pStyle w:val="FirstParagraph"/>
      </w:pPr>
      <w:r>
        <w:t xml:space="preserve">Because a rate cannot be compared against a probability, the observables below are stated as a distribution rather than a single number:</w:t>
      </w:r>
    </w:p>
    <w:p>
      <w:pPr>
        <w:numPr>
          <w:ilvl w:val="0"/>
          <w:numId w:val="1005"/>
        </w:numPr>
        <w:pStyle w:val="Compact"/>
      </w:pPr>
      <w:r>
        <w:rPr>
          <w:bCs/>
          <w:b/>
        </w:rPr>
        <w:t xml:space="preserve">Threshold rate</w:t>
      </w:r>
      <w:r>
        <w:t xml:space="preserve"> </w:t>
      </w:r>
      <m:oMath>
        <m:sSub>
          <m:e>
            <m:r>
              <m:t>R</m:t>
            </m:r>
          </m:e>
          <m:sub>
            <m:r>
              <m:rPr>
                <m:sty m:val="p"/>
              </m:rPr>
              <m:t>−</m:t>
            </m:r>
            <m:r>
              <m:t>2</m:t>
            </m:r>
          </m:sub>
        </m:sSub>
      </m:oMath>
      <w:r>
        <w:t xml:space="preserve">, for comparability with earlier work;</w:t>
      </w:r>
    </w:p>
    <w:p>
      <w:pPr>
        <w:numPr>
          <w:ilvl w:val="0"/>
          <w:numId w:val="1005"/>
        </w:numPr>
        <w:pStyle w:val="Compact"/>
      </w:pPr>
      <w:r>
        <w:rPr>
          <w:bCs/>
          <w:b/>
        </w:rPr>
        <w:t xml:space="preserve">Quantiles</w:t>
      </w:r>
      <w:r>
        <w:t xml:space="preserve"> </w:t>
      </w:r>
      <w:r>
        <w:t xml:space="preserve">at</w:t>
      </w:r>
      <w:r>
        <w:t xml:space="preserve"> </w:t>
      </w:r>
      <m:oMath>
        <m:sSub>
          <m:e>
            <m:r>
              <m:t>p</m:t>
            </m:r>
          </m:e>
          <m:sub>
            <m:r>
              <m:t>0.1</m:t>
            </m:r>
          </m:sub>
        </m:sSub>
        <m:r>
          <m:rPr>
            <m:sty m:val="p"/>
          </m:rPr>
          <m:t>,</m:t>
        </m:r>
        <m:sSub>
          <m:e>
            <m:r>
              <m:t>p</m:t>
            </m:r>
          </m:e>
          <m:sub>
            <m:r>
              <m:t>1</m:t>
            </m:r>
          </m:sub>
        </m:sSub>
        <m:r>
          <m:rPr>
            <m:sty m:val="p"/>
          </m:rPr>
          <m:t>,</m:t>
        </m:r>
        <m:sSub>
          <m:e>
            <m:r>
              <m:t>p</m:t>
            </m:r>
          </m:e>
          <m:sub>
            <m:r>
              <m:t>5</m:t>
            </m:r>
          </m:sub>
        </m:sSub>
        <m:r>
          <m:rPr>
            <m:sty m:val="p"/>
          </m:rPr>
          <m:t>,</m:t>
        </m:r>
        <m:sSub>
          <m:e>
            <m:r>
              <m:t>p</m:t>
            </m:r>
          </m:e>
          <m:sub>
            <m:r>
              <m:t>50</m:t>
            </m:r>
          </m:sub>
        </m:sSub>
      </m:oMath>
      <w:r>
        <w:t xml:space="preserve">, for the shape of each region’s distribution;</w:t>
      </w:r>
    </w:p>
    <w:p>
      <w:pPr>
        <w:numPr>
          <w:ilvl w:val="0"/>
          <w:numId w:val="1005"/>
        </w:numPr>
        <w:pStyle w:val="Compact"/>
      </w:pPr>
      <w:r>
        <w:rPr>
          <w:bCs/>
          <w:b/>
        </w:rPr>
        <w:t xml:space="preserve">Minimum logprob</w:t>
      </w:r>
      <w:r>
        <w:t xml:space="preserve">, converted to an absolute probability, for the comparison against the claimed floor;</w:t>
      </w:r>
    </w:p>
    <w:p>
      <w:pPr>
        <w:numPr>
          <w:ilvl w:val="0"/>
          <w:numId w:val="1005"/>
        </w:numPr>
        <w:pStyle w:val="Compact"/>
      </w:pPr>
      <w:r>
        <w:rPr>
          <w:bCs/>
          <w:b/>
        </w:rPr>
        <w:t xml:space="preserve">Mass concentration</w:t>
      </w:r>
      <w:r>
        <w:t xml:space="preserve">, the share of a region’s total negative logprob carried by its worst</w:t>
      </w:r>
      <w:r>
        <w:t xml:space="preserve"> </w:t>
      </w:r>
      <m:oMath>
        <m:r>
          <m:t>0.1</m:t>
        </m:r>
        <m:r>
          <m:rPr>
            <m:sty m:val="p"/>
          </m:rPr>
          <m:t>%</m:t>
        </m:r>
      </m:oMath>
      <w:r>
        <w:t xml:space="preserve">,</w:t>
      </w:r>
      <w:r>
        <w:t xml:space="preserve"> </w:t>
      </w:r>
      <m:oMath>
        <m:r>
          <m:t>1</m:t>
        </m:r>
        <m:r>
          <m:rPr>
            <m:sty m:val="p"/>
          </m:rPr>
          <m:t>%</m:t>
        </m:r>
      </m:oMath>
      <w:r>
        <w:t xml:space="preserve"> </w:t>
      </w:r>
      <w:r>
        <w:t xml:space="preserve">and</w:t>
      </w:r>
      <w:r>
        <w:t xml:space="preserve"> </w:t>
      </w:r>
      <m:oMath>
        <m:r>
          <m:t>5</m:t>
        </m:r>
        <m:r>
          <m:rPr>
            <m:sty m:val="p"/>
          </m:rPr>
          <m:t>%</m:t>
        </m:r>
      </m:oMath>
      <w:r>
        <w:t xml:space="preserve"> </w:t>
      </w:r>
      <w:r>
        <w:t xml:space="preserve">of tokens.</w:t>
      </w:r>
    </w:p>
    <w:p>
      <w:pPr>
        <w:pStyle w:val="FirstParagraph"/>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w:t>
      </w:r>
      <w:r>
        <w:t xml:space="preserve"> </w:t>
      </w:r>
      <m:oMath>
        <m:sSup>
          <m:e>
            <m:r>
              <m:t>10</m:t>
            </m:r>
          </m:e>
          <m:sup>
            <m:r>
              <m:rPr>
                <m:sty m:val="p"/>
              </m:rPr>
              <m:t>−</m:t>
            </m:r>
            <m:r>
              <m:t>9</m:t>
            </m:r>
          </m:sup>
        </m:sSup>
      </m:oMath>
      <w:r>
        <w:t xml:space="preserve">.</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Section~</w:t>
      </w:r>
      <w:r>
        <w:t xml:space="preserve">.</w:t>
      </w:r>
    </w:p>
    <w:p>
      <w:r>
        <w:pict>
          <v:rect style="width:0;height:1.5pt" o:hralign="center" o:hrstd="t" o:hr="t"/>
        </w:pict>
      </w:r>
    </w:p>
    <w:bookmarkEnd w:id="41"/>
    <w:bookmarkEnd w:id="42"/>
    <w:bookmarkStart w:id="50" w:name="results"/>
    <w:p>
      <w:pPr>
        <w:pStyle w:val="Heading2"/>
      </w:pPr>
      <w:r>
        <w:t xml:space="preserve">Results</w:t>
      </w:r>
    </w:p>
    <w:bookmarkStart w:id="43" w:name="Xb5e49fb6654a81f84284e701943628d73b2d90e"/>
    <w:p>
      <w:pPr>
        <w:pStyle w:val="Heading3"/>
      </w:pPr>
      <w:r>
        <w:t xml:space="preserve">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initially appeared to sharpen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showed 1.54% against 0.81%, which would suggest that positions with no lexical choice carry more uncertainty than positions with a domain-specific name.</w:t>
      </w:r>
    </w:p>
    <w:p>
      <w:pPr>
        <w:pStyle w:val="BodyText"/>
      </w:pPr>
      <w:r>
        <w:rPr>
          <w:bCs/>
          <w:b/>
        </w:rPr>
        <w:t xml:space="preserve">That reading does not survive the manual check in Section~</w:t>
      </w:r>
      <w:r>
        <w:rPr>
          <w:bCs/>
          <w:b/>
        </w:rPr>
        <w:t xml:space="preserve">.</w:t>
      </w:r>
      <w:r>
        <w:t xml:space="preserve"> </w:t>
      </w:r>
      <w:r>
        <w:t xml:space="preserve">Of the 40 low-probability structural tokens in Family A, 16 are ordinary English words used in prose —</w:t>
      </w:r>
      <w:r>
        <w:t xml:space="preserve"> </w:t>
      </w:r>
      <w:r>
        <w:rPr>
          <w:rStyle w:val="VerbatimChar"/>
        </w:rPr>
        <w:t xml:space="preserve">If you want to push speed further</w:t>
      </w:r>
      <w:r>
        <w:t xml:space="preserve">,</w:t>
      </w:r>
      <w:r>
        <w:t xml:space="preserve"> </w:t>
      </w:r>
      <w:r>
        <w:rPr>
          <w:rStyle w:val="VerbatimChar"/>
        </w:rPr>
        <w:t xml:space="preserve">Key design points for why</w:t>
      </w:r>
      <w:r>
        <w:t xml:space="preserve">,</w:t>
      </w:r>
      <w:r>
        <w:t xml:space="preserve"> </w:t>
      </w:r>
      <w:r>
        <w:rPr>
          <w:rStyle w:val="VerbatimChar"/>
        </w:rPr>
        <w:t xml:space="preserve">(pass BLOCK_COLS &gt;= n_cols)</w:t>
      </w:r>
      <w:r>
        <w:t xml:space="preserve">. A keyword table cannot tell</w:t>
      </w:r>
      <w:r>
        <w:t xml:space="preserve"> </w:t>
      </w:r>
      <w:r>
        <w:rPr>
          <w:rStyle w:val="VerbatimChar"/>
        </w:rPr>
        <w:t xml:space="preserve">for</w:t>
      </w:r>
      <w:r>
        <w:t xml:space="preserve"> </w:t>
      </w:r>
      <w:r>
        <w:t xml:space="preserve">the preposition from</w:t>
      </w:r>
      <w:r>
        <w:t xml:space="preserve"> </w:t>
      </w:r>
      <w:r>
        <w:rPr>
          <w:rStyle w:val="VerbatimChar"/>
        </w:rPr>
        <w:t xml:space="preserve">for</w:t>
      </w:r>
      <w:r>
        <w:t xml:space="preserve"> </w:t>
      </w:r>
      <w:r>
        <w:t xml:space="preserve">the loop. The apparent inversion is therefore an artefact of the same kind as the one described in Section~</w:t>
      </w:r>
      <w:r>
        <w:t xml:space="preserve">, and the only defensible statement about structural tokens is the one that comes from reading them (Section~</w:t>
      </w:r>
      <w:r>
        <w:t xml:space="preserve">).</w:t>
      </w:r>
    </w:p>
    <w:bookmarkEnd w:id="43"/>
    <w:bookmarkStart w:id="44" w:name="X9bde849f2769871d9a80d56e90995351f18c063"/>
    <w:p>
      <w:pPr>
        <w:pStyle w:val="Heading3"/>
      </w:pPr>
      <w:r>
        <w:t xml:space="preserve">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rather than 22.4×.</w:t>
      </w:r>
      <w:r>
        <w:t xml:space="preserve"> </w:t>
      </w:r>
      <w:r>
        <w:t xml:space="preserve">The 22.4× figure includes in-block comments in the code region and is reported only for comparability with Family A’s 0.67%, which used the same rule.</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$10^{-6}$</w:t>
      </w:r>
      <w:r>
        <w:br/>
      </w:r>
      <w:r>
        <w:rPr>
          <w:rStyle w:val="VerbatimChar"/>
        </w:rPr>
        <w:t xml:space="preserve">prose min  −16.65  →  5.9 × $10^{-8}$</w:t>
      </w:r>
      <w:r>
        <w:br/>
      </w:r>
      <w:r>
        <w:rPr>
          <w:rStyle w:val="VerbatimChar"/>
        </w:rPr>
        <w:t xml:space="preserve">claimed    $10^{-9}$     =  logprob −20.7</w:t>
      </w:r>
    </w:p>
    <w:p>
      <w:pPr>
        <w:pStyle w:val="FirstParagraph"/>
      </w:pPr>
      <w:r>
        <w:rPr>
          <w:bCs/>
          <w:b/>
        </w:rPr>
        <w:t xml:space="preserve">The lowest code token in 322,375 is 2.2×</w:t>
      </w:r>
      <m:oMath>
        <m:sSup>
          <m:e>
            <m:r>
              <m:t>10</m:t>
            </m:r>
          </m:e>
          <m:sup>
            <m:r>
              <m:rPr>
                <m:sty m:val="p"/>
              </m:rPr>
              <m:t>−</m:t>
            </m:r>
            <m:r>
              <m:t>6</m:t>
            </m:r>
          </m:sup>
        </m:sSup>
      </m:oMath>
      <w:r>
        <w:rPr>
          <w:bCs/>
          <w:b/>
        </w:rPr>
        <w:t xml:space="preserve">,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m:oMath>
        <m:sSup>
          <m:e>
            <m:r>
              <m:t>10</m:t>
            </m:r>
          </m:e>
          <m:sup>
            <m:r>
              <m:rPr>
                <m:sty m:val="p"/>
              </m:rPr>
              <m:t>−</m:t>
            </m:r>
            <m:r>
              <m:t>9</m:t>
            </m:r>
          </m:sup>
        </m:sSup>
      </m:oMath>
      <w:r>
        <w:t xml:space="preserve">,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Concentration of probability mass</w:t>
      </w:r>
    </w:p>
    <w:p>
      <w:pPr>
        <w:pStyle w:val="FirstParagraph"/>
      </w:pPr>
      <w:r>
        <w:t xml:space="preserve">For a region</w:t>
      </w:r>
      <w:r>
        <w:t xml:space="preserve"> </w:t>
      </w:r>
      <m:oMath>
        <m:r>
          <m:t>G</m:t>
        </m:r>
      </m:oMath>
      <w:r>
        <w:t xml:space="preserve"> </w:t>
      </w:r>
      <w:r>
        <w:t xml:space="preserve">with cost</w:t>
      </w:r>
      <w:r>
        <w:t xml:space="preserve"> </w:t>
      </w:r>
      <m:oMath>
        <m:r>
          <m:t>C</m:t>
        </m:r>
        <m:r>
          <m:rPr>
            <m:sty m:val="p"/>
          </m:rPr>
          <m:t>(</m:t>
        </m:r>
        <m:r>
          <m:t>G</m:t>
        </m:r>
        <m:r>
          <m:rPr>
            <m:sty m:val="p"/>
          </m:rPr>
          <m:t>)</m:t>
        </m:r>
        <m:r>
          <m:rPr>
            <m:sty m:val="p"/>
          </m:rPr>
          <m:t>=</m:t>
        </m:r>
        <m:r>
          <m:rPr>
            <m:sty m:val="p"/>
          </m:rPr>
          <m:t>−</m:t>
        </m:r>
        <m:nary>
          <m:naryPr>
            <m:chr m:val="∑"/>
            <m:limLoc m:val="undOvr"/>
            <m:subHide m:val="0"/>
            <m:supHide m:val="1"/>
          </m:naryPr>
          <m:sub>
            <m:r>
              <m:t>i</m:t>
            </m:r>
            <m:r>
              <m:rPr>
                <m:sty m:val="p"/>
              </m:rPr>
              <m:t>∈</m:t>
            </m:r>
            <m:r>
              <m:t>G</m:t>
            </m:r>
          </m:sub>
          <m:sup>
            <m:r>
              <m:t>​</m:t>
            </m:r>
          </m:sup>
          <m:e>
            <m:r>
              <m:rPr>
                <m:nor/>
                <m:sty m:val="p"/>
              </m:rPr>
              <m:t>log</m:t>
            </m:r>
          </m:e>
        </m:nary>
        <m:sSub>
          <m:e>
            <m:r>
              <m:t>π</m:t>
            </m:r>
          </m:e>
          <m:sub>
            <m:r>
              <m:t>θ</m:t>
            </m:r>
          </m:sub>
        </m:sSub>
        <m:r>
          <m:rPr>
            <m:sty m:val="p"/>
          </m:rPr>
          <m:t>(</m:t>
        </m:r>
        <m:sSub>
          <m:e>
            <m:r>
              <m:t>a</m:t>
            </m:r>
          </m:e>
          <m:sub>
            <m:r>
              <m:t>i</m:t>
            </m:r>
          </m:sub>
        </m:sSub>
        <m:r>
          <m:rPr>
            <m:sty m:val="p"/>
          </m:rPr>
          <m:t>|</m:t>
        </m:r>
        <m:sSub>
          <m:e>
            <m:r>
              <m:t>s</m:t>
            </m:r>
          </m:e>
          <m:sub>
            <m:r>
              <m:t>i</m:t>
            </m:r>
          </m:sub>
        </m:sSub>
        <m:r>
          <m:rPr>
            <m:sty m:val="p"/>
          </m:rPr>
          <m:t>)</m:t>
        </m:r>
      </m:oMath>
      <w:r>
        <w:t xml:space="preserve">, sort its tokens by logprob ascending and let</w:t>
      </w:r>
      <w:r>
        <w:t xml:space="preserve"> </w:t>
      </w:r>
      <m:oMath>
        <m:sSub>
          <m:e>
            <m:r>
              <m:t>G</m:t>
            </m:r>
          </m:e>
          <m:sub>
            <m:r>
              <m:t>q</m:t>
            </m:r>
          </m:sub>
        </m:sSub>
      </m:oMath>
      <w:r>
        <w:t xml:space="preserve"> </w:t>
      </w:r>
      <w:r>
        <w:t xml:space="preserve">be the worst fraction</w:t>
      </w:r>
      <w:r>
        <w:t xml:space="preserve"> </w:t>
      </w:r>
      <m:oMath>
        <m:r>
          <m:t>q</m:t>
        </m:r>
      </m:oMath>
      <w:r>
        <w:t xml:space="preserve"> </w:t>
      </w:r>
      <w:r>
        <w:t xml:space="preserve">of them. The concentration statistic is</w:t>
      </w:r>
    </w:p>
    <w:p>
      <w:pPr>
        <w:pStyle w:val="BodyText"/>
      </w:pPr>
      <m:oMathPara>
        <m:oMathParaPr>
          <m:jc m:val="center"/>
        </m:oMathParaPr>
        <m:oMath>
          <m:sSub>
            <m:e>
              <m:r>
                <m:t>κ</m:t>
              </m:r>
            </m:e>
            <m:sub>
              <m:r>
                <m:t>q</m:t>
              </m:r>
            </m:sub>
          </m:sSub>
          <m:r>
            <m:rPr>
              <m:sty m:val="p"/>
            </m:rPr>
            <m:t>(</m:t>
          </m:r>
          <m:r>
            <m:t>G</m:t>
          </m:r>
          <m:r>
            <m:rPr>
              <m:sty m:val="p"/>
            </m:rPr>
            <m:t>)</m:t>
          </m:r>
          <m:r>
            <m:rPr>
              <m:sty m:val="p"/>
            </m:rPr>
            <m:t>=</m:t>
          </m:r>
          <m:f>
            <m:fPr>
              <m:type m:val="bar"/>
            </m:fPr>
            <m:num>
              <m:r>
                <m:t>C</m:t>
              </m:r>
              <m:r>
                <m:rPr>
                  <m:sty m:val="p"/>
                </m:rPr>
                <m:t>(</m:t>
              </m:r>
              <m:sSub>
                <m:e>
                  <m:r>
                    <m:t>G</m:t>
                  </m:r>
                </m:e>
                <m:sub>
                  <m:r>
                    <m:t>q</m:t>
                  </m:r>
                </m:sub>
              </m:sSub>
              <m:r>
                <m:rPr>
                  <m:sty m:val="p"/>
                </m:rPr>
                <m:t>)</m:t>
              </m:r>
            </m:num>
            <m:den>
              <m:r>
                <m:t>C</m:t>
              </m:r>
              <m:r>
                <m:rPr>
                  <m:sty m:val="p"/>
                </m:rPr>
                <m:t>(</m:t>
              </m:r>
              <m:r>
                <m:t>G</m:t>
              </m:r>
              <m:r>
                <m:rPr>
                  <m:sty m:val="p"/>
                </m:rPr>
                <m:t>)</m:t>
              </m:r>
            </m:den>
          </m:f>
        </m:oMath>
      </m:oMathPara>
    </w:p>
    <w:p>
      <w:pPr>
        <w:pStyle w:val="FirstParagraph"/>
      </w:pPr>
      <w:r>
        <w:t xml:space="preserve">so that</w:t>
      </w:r>
      <w:r>
        <w:t xml:space="preserve"> </w:t>
      </w:r>
      <m:oMath>
        <m:sSub>
          <m:e>
            <m:r>
              <m:t>κ</m:t>
            </m:r>
          </m:e>
          <m:sub>
            <m:r>
              <m:t>0.05</m:t>
            </m:r>
          </m:sub>
        </m:sSub>
        <m:r>
          <m:rPr>
            <m:sty m:val="p"/>
          </m:rPr>
          <m:t>=</m:t>
        </m:r>
        <m:r>
          <m:t>0.981</m:t>
        </m:r>
      </m:oMath>
      <w:r>
        <w:t xml:space="preserve"> </w:t>
      </w:r>
      <w:r>
        <w:t xml:space="preserve">means the worst 5% of a region’s tokens generate 98.1% of that region’s total cost.</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(Limitation~5).</w:t>
      </w:r>
    </w:p>
    <w:bookmarkEnd w:id="48"/>
    <w:bookmarkStart w:id="49" w:name="Xdd90ce2efc3275bce9ccf6af03866e09d3c8952"/>
    <w:p>
      <w:pPr>
        <w:pStyle w:val="Heading3"/>
      </w:pPr>
      <w:r>
        <w:t xml:space="preserve">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w:t>
      </w:r>
      <w:r>
        <w:rPr>
          <w:bCs/>
          <w:b/>
        </w:rPr>
        <w:t xml:space="preserve"> </w:t>
      </w:r>
      <m:oMath>
        <m:r>
          <m:rPr>
            <m:sty m:val="p"/>
          </m:rPr>
          <m:t>≤</m:t>
        </m:r>
        <m:r>
          <m:rPr>
            <m:sty m:val="p"/>
          </m:rPr>
          <m:t>−</m:t>
        </m:r>
        <m:r>
          <m:t>4.5</m:t>
        </m:r>
      </m:oMath>
      <w:r>
        <w:rPr>
          <w:bCs/>
          <w:b/>
        </w:rP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with no plausible intent behind it.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t xml:space="preserve">The character of these values is mechanical rather than deliberative: each is a position at which a specific token was intended and a neighbouring string was produced instead, so the low probability reflects competition between surface forms rather than a choice among implementation strategies.</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Discussion</w:t>
      </w:r>
    </w:p>
    <w:bookmarkStart w:id="51" w:name="status-of-the-second-link"/>
    <w:p>
      <w:pPr>
        <w:pStyle w:val="Heading3"/>
      </w:pPr>
      <w:r>
        <w:t xml:space="preserve">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w:t>
      </w:r>
      <w:r>
        <w:t xml:space="preserve"> </w:t>
      </w:r>
      <m:oMath>
        <m:sSup>
          <m:e>
            <m:r>
              <m:t>10</m:t>
            </m:r>
          </m:e>
          <m:sup>
            <m:r>
              <m:rPr>
                <m:sty m:val="p"/>
              </m:rPr>
              <m:t>−</m:t>
            </m:r>
            <m:r>
              <m:t>9</m:t>
            </m:r>
          </m:sup>
        </m:sSup>
      </m:oMath>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A narrower claim survives, and it is harder to escape than the original: alignment cannot change what is in a pretraining corpus, so if a near-floor probability were a consequence of corpus rarity it would persist across alignment, the model retaining both its weights and its exposure frequency. We measure a value near 1.0 on an aligned model. Either the alignment step moved a token probability by nine orders of magnitude — which would mean the quantity is not a function of the corpus at all — or the</w:t>
      </w:r>
      <w:r>
        <w:t xml:space="preserve"> </w:t>
      </w:r>
      <m:oMath>
        <m:sSup>
          <m:e>
            <m:r>
              <m:t>10</m:t>
            </m:r>
          </m:e>
          <m:sup>
            <m:r>
              <m:rPr>
                <m:sty m:val="p"/>
              </m:rPr>
              <m:t>−</m:t>
            </m:r>
            <m:r>
              <m:t>9</m:t>
            </m:r>
          </m:sup>
        </m:sSup>
      </m:oMath>
      <w:r>
        <w:t xml:space="preserve"> </w:t>
      </w:r>
      <w:r>
        <w:t xml:space="preserve">was never a corpus consequence. Both readings leave the attribution without its stated mechanism.</w:t>
      </w:r>
    </w:p>
    <w:bookmarkEnd w:id="51"/>
    <w:bookmarkStart w:id="52" w:name="the-magnitude-gap-and-its-interpretation"/>
    <w:p>
      <w:pPr>
        <w:pStyle w:val="Heading3"/>
      </w:pPr>
      <w:r>
        <w:t xml:space="preserve">The magnitude gap and its interpretation</w:t>
      </w:r>
    </w:p>
    <w:p>
      <w:pPr>
        <w:pStyle w:val="FirstParagraph"/>
      </w:pPr>
      <w:r>
        <w:t xml:space="preserve">We measure a value near 1.0 where the source reports</w:t>
      </w:r>
      <w:r>
        <w:t xml:space="preserve"> </w:t>
      </w:r>
      <m:oMath>
        <m:sSup>
          <m:e>
            <m:r>
              <m:t>10</m:t>
            </m:r>
          </m:e>
          <m:sup>
            <m:r>
              <m:rPr>
                <m:sty m:val="p"/>
              </m:rPr>
              <m:t>−</m:t>
            </m:r>
            <m:r>
              <m:t>9</m:t>
            </m:r>
          </m:sup>
        </m:sSup>
      </m:oMath>
      <w:r>
        <w:t xml:space="preserve">.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The rate is 0.60% inside code fences and 13.56% outside, and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near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Section~</w:t>
      </w:r>
      <w:r>
        <w:t xml:space="preserve"> </w:t>
      </w:r>
      <w:r>
        <w:t xml:space="preserve">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Limitations</w:t>
      </w:r>
    </w:p>
    <w:p>
      <w:pPr>
        <w:numPr>
          <w:ilvl w:val="0"/>
          <w:numId w:val="1006"/>
        </w:numPr>
        <w:pStyle w:val="Compact"/>
      </w:pPr>
      <w:r>
        <w:rPr>
          <w:bCs/>
          <w:b/>
        </w:rPr>
        <w:t xml:space="preserve">Model state.</w:t>
      </w:r>
      <w:r>
        <w:t xml:space="preserve"> </w:t>
      </w:r>
      <w:r>
        <w:t xml:space="preserve">The measurement is on an aligned model at inference. The base-model control (Section~</w:t>
      </w:r>
      <w:r>
        <w:t xml:space="preserve">) is missing. The stated scope of this paper is conditional on that difference.</w:t>
      </w:r>
    </w:p>
    <w:p>
      <w:pPr>
        <w:numPr>
          <w:ilvl w:val="0"/>
          <w:numId w:val="1006"/>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6"/>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6"/>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6"/>
        </w:numPr>
        <w:pStyle w:val="Compact"/>
      </w:pPr>
      <w:r>
        <w:rPr>
          <w:bCs/>
          <w:b/>
        </w:rPr>
        <w:t xml:space="preserve">Statistical dependence.</w:t>
      </w:r>
      <w:r>
        <w:t xml:space="preserve"> </w:t>
      </w:r>
      <w:r>
        <w:t xml:space="preserve">Tokens within a completion are not independent, so exact tests are anti-conservative (Section~</w:t>
      </w:r>
      <w:r>
        <w:t xml:space="preserve">). No cluster-level analysis is reported.</w:t>
      </w:r>
    </w:p>
    <w:p>
      <w:pPr>
        <w:numPr>
          <w:ilvl w:val="0"/>
          <w:numId w:val="1006"/>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6"/>
        </w:numPr>
        <w:pStyle w:val="Compact"/>
      </w:pPr>
      <w:r>
        <w:rPr>
          <w:bCs/>
          <w:b/>
        </w:rPr>
        <w:t xml:space="preserve">One collection path.</w:t>
      </w:r>
      <w:r>
        <w:t xml:space="preserve"> </w:t>
      </w:r>
      <w:r>
        <w:t xml:space="preserve">A single driver against a single endpoint; no cross-engine replication.</w:t>
      </w:r>
    </w:p>
    <w:p>
      <w:pPr>
        <w:numPr>
          <w:ilvl w:val="0"/>
          <w:numId w:val="1006"/>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Fenced blocks used for non-code content (tracebacks, shell commands) are counted as code; we did not enumerate how many. Comments inside code blocks are also counted as code, which biases the code-side rate</w:t>
      </w:r>
      <w:r>
        <w:t xml:space="preserve"> </w:t>
      </w:r>
      <w:r>
        <w:rPr>
          <w:iCs/>
          <w:i/>
        </w:rPr>
        <w:t xml:space="preserve">upward</w:t>
      </w:r>
      <w:r>
        <w:t xml:space="preserve">; Section~</w:t>
      </w:r>
      <w:r>
        <w:t xml:space="preserve"> </w:t>
      </w:r>
      <w:r>
        <w:t xml:space="preserve">quantifies the effect (0.60% → 0.33%) rather than leaving it as a caveat.</w:t>
      </w:r>
    </w:p>
    <w:p>
      <w:pPr>
        <w:numPr>
          <w:ilvl w:val="0"/>
          <w:numId w:val="1006"/>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Conclusion</w:t>
      </w:r>
    </w:p>
    <w:p>
      <w:pPr>
        <w:pStyle w:val="FirstParagraph"/>
      </w:pPr>
      <w:r>
        <w:t xml:space="preserve">Whatever the reported</w:t>
      </w:r>
      <w:r>
        <w:t xml:space="preserve"> </w:t>
      </w:r>
      <m:oMath>
        <m:sSup>
          <m:e>
            <m:r>
              <m:t>10</m:t>
            </m:r>
          </m:e>
          <m:sup>
            <m:r>
              <m:rPr>
                <m:sty m:val="p"/>
              </m:rPr>
              <m:t>−</m:t>
            </m:r>
            <m:r>
              <m:t>9</m:t>
            </m:r>
          </m:sup>
        </m:sSup>
      </m:oMath>
      <w:r>
        <w:t xml:space="preserve"> </w:t>
      </w:r>
      <w:r>
        <w:t xml:space="preserve">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w:t>
      </w:r>
      <m:oMath>
        <m:sSup>
          <m:e>
            <m:r>
              <m:t>10</m:t>
            </m:r>
          </m:e>
          <m:sup>
            <m:r>
              <m:rPr>
                <m:sty m:val="p"/>
              </m:rPr>
              <m:t>−</m:t>
            </m:r>
            <m:r>
              <m:t>6</m:t>
            </m:r>
          </m:sup>
        </m:sSup>
      </m:oMath>
      <w:r>
        <w:t xml:space="preserve">,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Section~</w:t>
      </w:r>
      <w:r>
        <w:t xml:space="preserve">.</w:t>
      </w:r>
    </w:p>
    <w:bookmarkEnd w:id="59"/>
    <w:bookmarkStart w:id="60"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0"/>
    <w:bookmarkStart w:id="71"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0" w:name="refs"/>
    <w:bookmarkStart w:id="61" w:name="ref-cudaagent"/>
    <w:p>
      <w:pPr>
        <w:pStyle w:val="Bibliography"/>
      </w:pPr>
      <w:r>
        <w:t xml:space="preserve">[1]</w:t>
      </w:r>
      <w:r>
        <w:t xml:space="preserve"> </w:t>
      </w:r>
      <w:r>
        <w:t xml:space="preserve">	</w:t>
      </w:r>
      <w:r>
        <w:t xml:space="preserve">Dai, Weinan, Wu, Hanlin, Yu, Qiying, others.</w:t>
      </w:r>
      <w:r>
        <w:t xml:space="preserve"> </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p>
    <w:bookmarkEnd w:id="61"/>
    <w:bookmarkStart w:id="62" w:name="ref-cudaagentblog"/>
    <w:p>
      <w:pPr>
        <w:pStyle w:val="Bibliography"/>
      </w:pPr>
      <w:r>
        <w:t xml:space="preserve">[2]</w:t>
      </w:r>
      <w:r>
        <w:t xml:space="preserve"> </w:t>
      </w:r>
      <w:r>
        <w:t xml:space="preserve">	</w:t>
      </w:r>
      <w:r>
        <w:t xml:space="preserve">Huang, Jianyu.</w:t>
      </w:r>
      <w:r>
        <w:t xml:space="preserve"> </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 Technical blog.</w:t>
      </w:r>
    </w:p>
    <w:bookmarkEnd w:id="62"/>
    <w:bookmarkStart w:id="63" w:name="ref-carlini"/>
    <w:p>
      <w:pPr>
        <w:pStyle w:val="Bibliography"/>
      </w:pPr>
      <w:r>
        <w:t xml:space="preserve">[3]</w:t>
      </w:r>
      <w:r>
        <w:t xml:space="preserve"> </w:t>
      </w:r>
      <w:r>
        <w:t xml:space="preserve">	</w:t>
      </w:r>
      <w:r>
        <w:t xml:space="preserve">Carlini, Nicholas, others. Stealing part of a production language model.</w:t>
      </w:r>
      <w:r>
        <w:t xml:space="preserve"> </w:t>
      </w:r>
      <w:r>
        <w:rPr>
          <w:iCs/>
          <w:i/>
        </w:rPr>
        <w:t xml:space="preserve">International conference on machine learning</w:t>
      </w:r>
      <w:r>
        <w:t xml:space="preserve">.</w:t>
      </w:r>
    </w:p>
    <w:bookmarkEnd w:id="63"/>
    <w:bookmarkStart w:id="64" w:name="ref-howopen"/>
    <w:p>
      <w:pPr>
        <w:pStyle w:val="Bibliography"/>
      </w:pPr>
      <w:r>
        <w:t xml:space="preserve">[4]</w:t>
      </w:r>
      <w:r>
        <w:t xml:space="preserve"> </w:t>
      </w:r>
      <w:r>
        <w:t xml:space="preserve">	</w:t>
      </w:r>
      <w:r>
        <w:t xml:space="preserve">How Open Authors. How open must language models be to enable reliable scientific inference?</w:t>
      </w:r>
    </w:p>
    <w:bookmarkEnd w:id="64"/>
    <w:bookmarkStart w:id="65" w:name="ref-surrogate"/>
    <w:p>
      <w:pPr>
        <w:pStyle w:val="Bibliography"/>
      </w:pPr>
      <w:r>
        <w:t xml:space="preserve">[5]</w:t>
      </w:r>
      <w:r>
        <w:t xml:space="preserve"> </w:t>
      </w:r>
      <w:r>
        <w:t xml:space="preserve">	</w:t>
      </w:r>
      <w:r>
        <w:t xml:space="preserve">Surrogate Fidelity Authors. Surrogate fidelity: When can open</w:t>
      </w:r>
      <w:r>
        <w:t xml:space="preserve"> </w:t>
      </w:r>
      <w:r>
        <w:t xml:space="preserve">LLMs</w:t>
      </w:r>
      <w:r>
        <w:t xml:space="preserve"> </w:t>
      </w:r>
      <w:r>
        <w:t xml:space="preserve">explain closed ones?</w:t>
      </w:r>
    </w:p>
    <w:bookmarkEnd w:id="65"/>
    <w:bookmarkStart w:id="66" w:name="ref-logprobtracking"/>
    <w:p>
      <w:pPr>
        <w:pStyle w:val="Bibliography"/>
      </w:pPr>
      <w:r>
        <w:t xml:space="preserve">[6]</w:t>
      </w:r>
      <w:r>
        <w:t xml:space="preserve"> </w:t>
      </w:r>
      <w:r>
        <w:t xml:space="preserve">	</w:t>
      </w:r>
      <w:r>
        <w:t xml:space="preserve">INRIA Authors. Log probability tracking of</w:t>
      </w:r>
      <w:r>
        <w:t xml:space="preserve"> </w:t>
      </w:r>
      <w:r>
        <w:t xml:space="preserve">LLM</w:t>
      </w:r>
      <w:r>
        <w:t xml:space="preserve"> </w:t>
      </w:r>
      <w:r>
        <w:t xml:space="preserve">APIs</w:t>
      </w:r>
      <w:r>
        <w:t xml:space="preserve">.</w:t>
      </w:r>
    </w:p>
    <w:bookmarkEnd w:id="66"/>
    <w:bookmarkStart w:id="67" w:name="ref-drkernel"/>
    <w:p>
      <w:pPr>
        <w:pStyle w:val="Bibliography"/>
      </w:pPr>
      <w:r>
        <w:t xml:space="preserve">[7]</w:t>
      </w:r>
      <w:r>
        <w:t xml:space="preserve"> </w:t>
      </w:r>
      <w:r>
        <w:t xml:space="preserve">	</w:t>
      </w:r>
      <w:r>
        <w:t xml:space="preserve">DR. KERNEL Authors.</w:t>
      </w:r>
      <w:r>
        <w:t xml:space="preserve"> </w:t>
      </w:r>
      <w:r>
        <w:t xml:space="preserve">DR. KERNEL</w:t>
      </w:r>
      <w:r>
        <w:t xml:space="preserve">: Reinforcement learning done right for</w:t>
      </w:r>
      <w:r>
        <w:t xml:space="preserve"> </w:t>
      </w:r>
      <w:r>
        <w:t xml:space="preserve">Triton</w:t>
      </w:r>
      <w:r>
        <w:t xml:space="preserve"> </w:t>
      </w:r>
      <w:r>
        <w:t xml:space="preserve">kernel generations.</w:t>
      </w:r>
    </w:p>
    <w:bookmarkEnd w:id="67"/>
    <w:bookmarkStart w:id="68" w:name="ref-liuoffpolicy"/>
    <w:p>
      <w:pPr>
        <w:pStyle w:val="Bibliography"/>
      </w:pPr>
      <w:r>
        <w:t xml:space="preserve">[8]</w:t>
      </w:r>
      <w:r>
        <w:t xml:space="preserve"> </w:t>
      </w:r>
      <w:r>
        <w:t xml:space="preserve">	</w:t>
      </w:r>
      <w:r>
        <w:t xml:space="preserve">Liu, et al. 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68"/>
    <w:bookmarkStart w:id="69" w:name="ref-kernelbench"/>
    <w:p>
      <w:pPr>
        <w:pStyle w:val="Bibliography"/>
      </w:pPr>
      <w:r>
        <w:t xml:space="preserve">[9]</w:t>
      </w:r>
      <w:r>
        <w:t xml:space="preserve"> </w:t>
      </w:r>
      <w:r>
        <w:t xml:space="preserve">	</w:t>
      </w:r>
      <w:r>
        <w:t xml:space="preserve">Omsk, Keren, others.</w:t>
      </w:r>
      <w:r>
        <w:t xml:space="preserve"> </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p>
    <w:bookmarkEnd w:id="69"/>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2026-10-17T18:57:02Z</dcterms:created>
  <dcterms:modified xsi:type="dcterms:W3CDTF">2026-10-17T18:57:02Z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numeric-bracket.csl</vt:lpwstr>
  </property>
</Properties>
</file>