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u w:val="single"/>
        </w:rPr>
      </w:pPr>
      <w:r w:rsidDel="00000000" w:rsidR="00000000" w:rsidRPr="00000000">
        <w:rPr>
          <w:u w:val="single"/>
          <w:rtl w:val="0"/>
        </w:rPr>
        <w:t xml:space="preserve">QQOQCCP:</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tbl>
      <w:tblPr>
        <w:tblStyle w:val="Table1"/>
        <w:tblW w:w="90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25"/>
        <w:gridCol w:w="6975"/>
        <w:tblGridChange w:id="0">
          <w:tblGrid>
            <w:gridCol w:w="2025"/>
            <w:gridCol w:w="69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Pourquoi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L’entreprise manque de suivi durant les différentes phases de la production et cherche à améliorer son efficacité. Cet objectif est en  lien direct avec la volonté de l’entreprise d’étendre son marché à l’international.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L’entreprise Vitrifroid est le commanditaire du projet. Ce dernier touchera à la fois les employés mais aussi les partenaires et client de l’entreprise.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Quoi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Mise en place de système de suivi des différentes pièces ainsi que la création d’un intranet. La base de donnée mise en place par l’entreprise est quand à elle conservée car moderne.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Où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projet se déroule exclusivement au sein de l’usine de Vitrifroid.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Quand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Le projet doit être remis dans un délai de 6 mois maximum après son commencement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Comment ?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Mise en place de capteurs au niveau des convoyeurs. Des capteurs portables seront être fournis au employée. L’usine va aussi voir son système internet évoluer, notamment par la mise en place de borne wifi et d’un nouveau réseau de câble ethernet.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Combien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Aucun donnée financière n’est pour l’instant connue </w:t>
            </w:r>
          </w:p>
        </w:tc>
      </w:tr>
    </w:tbl>
    <w:p w:rsidR="00000000" w:rsidDel="00000000" w:rsidP="00000000" w:rsidRDefault="00000000" w:rsidRPr="00000000" w14:paraId="00000012">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