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Logistic Regression Results, family planning context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Crude and adjusted Odds Ratios for ever usage of contraceptives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Outcome: ever usage of contraceptives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CORs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AORs (95% CI)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15-17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(81.0)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(19.0)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 (45.7)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 (54.3)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5.06 (1.79-18.12, p=0.005)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1.82 (0.49-7.95, p=0.390)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(35.2)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(64.8)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7.82 (2.57-29.51, p=0.001)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3.56 (0.85-17.37, p=0.094)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(36.6)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 (63.4)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7.37 (2.49-27.26, p=0.001)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5.00 (1.14-25.43, p=0.040)*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(50.0)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(50.0)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4.25 (1.31-16.72, p=0.023)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3.32 (0.68-18.47, p=0.149)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Nulliparious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(56.4)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(43.6)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1-2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(41.0)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 (59.0)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1.87 (0.93-3.82, p=0.083)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2.06 (0.82-5.27, p=0.126)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3-4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(60.8)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2.00 (0.93-4.41, p=0.080)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2.86 (0.94-8.88, p=0.066)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5-6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(37.5)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(62.5)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2.16 (0.94-5.03, p=0.070)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1.67 (0.48-5.92, p=0.425)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 or more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(57.4)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(42.6)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0.96 (0.43-2.18, p=0.924)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1.05 (0.28-3.91, p=0.939)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Currently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153 (45.5)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183 (54.5)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Currently not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(36.9)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(63.1)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1.43 (0.83-2.50, p=0.202)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1.05 (0.50-2.24, p=0.898)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Lifestyle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Nomadic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 (58.4)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 (41.6)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Sedentary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 (36.7)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 (63.3)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2.42 (1.59-3.70,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1.77 (1.06-2.95, p=0.030)*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 (56.5)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 (43.5)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(36.9)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 (63.1)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2.22 (1.36-3.65, p=0.001)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1.88 (1.00-3.60, p=0.053)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 education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(28.6)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 (71.4)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3.24 (1.96-5.46,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2.50 (1.14-5.61, p=0.024)*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Economic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 (45.5)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177 (54.5)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(35.6)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(64.4)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1.51 (0.90-2.59, p=0.124)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0.98 (0.51-1.89, p=0.952)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of contraceptive methods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(20.0)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(80.0)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 (55.6)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 (44.4)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0.20 (0.08-0.46,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0.37 (0.12-1.03, p=0.069)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 (35.7)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 (64.3)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0.45 (0.17-1.04, p=0.077)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0.58 (0.19-1.57, p=0.310)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Fear of side effects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 (43.4)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 (56.6)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 (47.1)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 (52.9)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0.86 (0.53-1.40, p=0.544)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0.66 (0.37-1.17, p=0.157)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 (42.6)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 (57.4)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1.03 (0.65-1.66, p=0.892)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1.08 (0.61-1.94, p=0.787)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Contraceptive use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 (39.1)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185 (60.9)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(78.8)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(21.2)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0.17 (0.07-0.39,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0.33 (0.11-0.90, p=0.035)*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(50.0)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(50.0)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0.64 (0.37-1.11, p=0.110)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1.12 (0.59-2.16, p=0.730)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Contraceptive use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 (32.9)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 (67.1)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 (65.9)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(34.1)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0.25 (0.14-0.44,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0.56 (0.28-1.15, p=0.116)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 (44.5)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 (55.5)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0.61 (0.39-0.96, p=0.034)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0.78 (0.45-1.34, p=0.364)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Decision 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Husband or someone else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 (66.3)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 (36.9)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190 (63.1)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3.37 (2.09-5.53,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2.66 (1.50-4.77, p=0.001)*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 AIC: 485.64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Adjusted McFadden R²: 0.181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i/>
                <w:rFonts w:ascii="Calibri" w:hAnsi="Calibri"/>
                <w:sz w:val="20"/>
              </w:rPr>
              <w:t xml:space="preserve">AORs</w:t>
            </w:r>
            <w:r>
              <w:rPr>
                <w:rFonts w:ascii="Calibri" w:hAnsi="Calibri"/>
                <w:sz w:val="20"/>
              </w:rPr>
              <w:t xml:space="preserve"> adjusted odds ratio, </w:t>
            </w:r>
            <w:r>
              <w:rPr>
                <w:i/>
                <w:rFonts w:ascii="Calibri" w:hAnsi="Calibri"/>
                <w:sz w:val="20"/>
              </w:rPr>
              <w:t xml:space="preserve">CI</w:t>
            </w:r>
            <w:r>
              <w:rPr>
                <w:rFonts w:ascii="Calibri" w:hAnsi="Calibri"/>
                <w:sz w:val="20"/>
              </w:rPr>
              <w:t xml:space="preserve"> confidence interval,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i/>
                <w:rFonts w:ascii="Calibri" w:hAnsi="Calibri"/>
                <w:sz w:val="20"/>
              </w:rPr>
              <w:t xml:space="preserve">CORs</w:t>
            </w:r>
            <w:r>
              <w:rPr>
                <w:rFonts w:ascii="Calibri" w:hAnsi="Calibri"/>
                <w:sz w:val="20"/>
              </w:rPr>
              <w:t xml:space="preserve"> crude odds ratio, </w:t>
            </w:r>
            <w:r>
              <w:rPr>
                <w:i/>
                <w:rFonts w:ascii="Calibri" w:hAnsi="Calibri"/>
                <w:sz w:val="20"/>
              </w:rPr>
              <w:t xml:space="preserve">AIC</w:t>
            </w:r>
            <w:r>
              <w:rPr>
                <w:rFonts w:ascii="Calibri" w:hAnsi="Calibri"/>
                <w:sz w:val="20"/>
              </w:rPr>
              <w:t xml:space="preserve"> Akaike Information Criterion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2025-06-03T08:44:10Z</dcterms:created>
  <dcterms:modified xsi:type="dcterms:W3CDTF">2025-06-03T08:44:10Z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