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zper service design concept v0.1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Fonts w:ascii="Arial Unicode MS" w:cs="Arial Unicode MS" w:eastAsia="Arial Unicode MS" w:hAnsi="Arial Unicode MS"/>
          <w:b w:val="1"/>
          <w:rtl w:val="0"/>
        </w:rPr>
        <w:t xml:space="preserve">설계 배경 및 방향</w:t>
      </w:r>
    </w:p>
    <w:p w:rsidR="00000000" w:rsidDel="00000000" w:rsidP="00000000" w:rsidRDefault="00000000" w:rsidRPr="00000000" w14:paraId="00000003">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smart contract가 블럭체인에서 지향하는 모습으로 돌아가려면 각각의 클라이언트도 충분히 'smart' 해야 할 필요가 있다. 여기서 'smart' 하다는것은 각 클라이언트가 발행하는 contract에 신뢰, 가치(사업성), 실물경제와 연결된 상품일 경우 구속력이 있어야 한다는 얘기다. p2p에서 각각의 차입자들이 직접 contract(채권)를 구현할 경우, 안정성, 신용도 등의 문제를 해결하기 어려우니, 신뢰할 수 있는 p2p company에서 각 차입자들을 평가 후 포트폴리오 구성하여 contract를 발행 해야한다.</w:t>
      </w:r>
    </w:p>
    <w:p w:rsidR="00000000" w:rsidDel="00000000" w:rsidP="00000000" w:rsidRDefault="00000000" w:rsidRPr="00000000" w14:paraId="00000004">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zper service 내의 contract(채권)거래는 ZPR, ZPC 또는 ETH등의 암호화폐(이하 ZPR로 통칭)를 통한다. 암호화폐를 이용하지 않을 경우, 다른 화폐 유통 수단을 거쳐야 하고, 블럭체인 네트워크밖에서 해당 유통수단에 대한 신뢰 보증을 해야하므로 이는 스마트 콘트랙트 취지와 맞지 않는다.</w:t>
      </w:r>
    </w:p>
    <w:p w:rsidR="00000000" w:rsidDel="00000000" w:rsidP="00000000" w:rsidRDefault="00000000" w:rsidRPr="00000000" w14:paraId="00000005">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블럭체인 네트워크안에서 제공하는 신뢰와 네트워크 밖에서 각 클라이언트가 해결해야할 신뢰의 종류를 구분한다. 네트워크 밖과 안을 연결하는 신뢰는 각 클라이언트가 담당한다.</w:t>
      </w:r>
    </w:p>
    <w:p w:rsidR="00000000" w:rsidDel="00000000" w:rsidP="00000000" w:rsidRDefault="00000000" w:rsidRPr="00000000" w14:paraId="00000006">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zper service에서 유통되는 정보(채권 내용)의 저장과 조회는 블록체인 밖의 웹등을 통하고, contract에서 실행 가능한 정보의 권리 및 책임만 블럭체인 네트워크 내부에서 유통한다.</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Fonts w:ascii="Arial Unicode MS" w:cs="Arial Unicode MS" w:eastAsia="Arial Unicode MS" w:hAnsi="Arial Unicode MS"/>
          <w:b w:val="1"/>
          <w:rtl w:val="0"/>
        </w:rPr>
        <w:t xml:space="preserve">contract(채권) 구성</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Work Flow</w:t>
      </w:r>
    </w:p>
    <w:p w:rsidR="00000000" w:rsidDel="00000000" w:rsidP="00000000" w:rsidRDefault="00000000" w:rsidRPr="00000000" w14:paraId="0000000A">
      <w:pPr>
        <w:contextualSpacing w:val="0"/>
        <w:rPr/>
      </w:pPr>
      <w:r w:rsidDel="00000000" w:rsidR="00000000" w:rsidRPr="00000000">
        <w:rPr/>
        <mc:AlternateContent>
          <mc:Choice Requires="wpg">
            <w:drawing>
              <wp:inline distB="114300" distT="114300" distL="114300" distR="114300">
                <wp:extent cx="5734050" cy="3280261"/>
                <wp:effectExtent b="0" l="0" r="0" t="0"/>
                <wp:docPr id="1" name=""/>
                <a:graphic>
                  <a:graphicData uri="http://schemas.microsoft.com/office/word/2010/wordprocessingGroup">
                    <wpg:wgp>
                      <wpg:cNvGrpSpPr/>
                      <wpg:grpSpPr>
                        <a:xfrm>
                          <a:off x="168344" y="201125"/>
                          <a:ext cx="5734050" cy="3280261"/>
                          <a:chOff x="168344" y="201125"/>
                          <a:chExt cx="8504040" cy="4861875"/>
                        </a:xfrm>
                      </wpg:grpSpPr>
                      <wps:wsp>
                        <wps:cNvSpPr/>
                        <wps:cNvPr id="2" name="Shape 2"/>
                        <wps:spPr>
                          <a:xfrm>
                            <a:off x="686075" y="3715325"/>
                            <a:ext cx="2180400" cy="435600"/>
                          </a:xfrm>
                          <a:prstGeom prst="diamond">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투자 캡 달성</w:t>
                              </w:r>
                            </w:p>
                          </w:txbxContent>
                        </wps:txbx>
                        <wps:bodyPr anchorCtr="0" anchor="ctr" bIns="91425" lIns="91425" spcFirstLastPara="1" rIns="91425" wrap="square" tIns="91425"/>
                      </wps:wsp>
                      <wps:wsp>
                        <wps:cNvSpPr/>
                        <wps:cNvPr id="3" name="Shape 3"/>
                        <wps:spPr>
                          <a:xfrm>
                            <a:off x="387575" y="649850"/>
                            <a:ext cx="2777400" cy="322200"/>
                          </a:xfrm>
                          <a:prstGeom prst="roundRect">
                            <a:avLst>
                              <a:gd fmla="val 16667" name="adj"/>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crowdsale contract 발행: 차입자 모집</w:t>
                              </w:r>
                            </w:p>
                          </w:txbxContent>
                        </wps:txbx>
                        <wps:bodyPr anchorCtr="0" anchor="ctr" bIns="91425" lIns="91425" spcFirstLastPara="1" rIns="91425" wrap="square" tIns="91425"/>
                      </wps:wsp>
                      <wps:wsp>
                        <wps:cNvSpPr/>
                        <wps:cNvPr id="4" name="Shape 4"/>
                        <wps:spPr>
                          <a:xfrm>
                            <a:off x="387575" y="1164640"/>
                            <a:ext cx="2777400" cy="322200"/>
                          </a:xfrm>
                          <a:prstGeom prst="roundRect">
                            <a:avLst>
                              <a:gd fmla="val 16667" name="adj"/>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참가 신청: 희망 금액, 반환 기간 등</w:t>
                              </w:r>
                            </w:p>
                          </w:txbxContent>
                        </wps:txbx>
                        <wps:bodyPr anchorCtr="0" anchor="ctr" bIns="91425" lIns="91425" spcFirstLastPara="1" rIns="91425" wrap="square" tIns="91425"/>
                      </wps:wsp>
                      <wps:wsp>
                        <wps:cNvSpPr/>
                        <wps:cNvPr id="5" name="Shape 5"/>
                        <wps:spPr>
                          <a:xfrm>
                            <a:off x="387575" y="2154500"/>
                            <a:ext cx="2777400" cy="845700"/>
                          </a:xfrm>
                          <a:prstGeom prst="roundRect">
                            <a:avLst>
                              <a:gd fmla="val 16667" name="adj"/>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차입자 선정, sale 시작: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캡, 상환기간, 이자율(교환비율) 설정</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토큰¹ 발행</w:t>
                              </w:r>
                            </w:p>
                          </w:txbxContent>
                        </wps:txbx>
                        <wps:bodyPr anchorCtr="0" anchor="ctr" bIns="91425" lIns="91425" spcFirstLastPara="1" rIns="91425" wrap="square" tIns="91425"/>
                      </wps:wsp>
                      <wps:wsp>
                        <wps:cNvCnPr/>
                        <wps:spPr>
                          <a:xfrm>
                            <a:off x="1776275" y="972050"/>
                            <a:ext cx="0" cy="192600"/>
                          </a:xfrm>
                          <a:prstGeom prst="straightConnector1">
                            <a:avLst/>
                          </a:prstGeom>
                          <a:noFill/>
                          <a:ln cap="flat" cmpd="sng" w="19050">
                            <a:solidFill>
                              <a:srgbClr val="595959"/>
                            </a:solidFill>
                            <a:prstDash val="solid"/>
                            <a:round/>
                            <a:headEnd len="med" w="med" type="none"/>
                            <a:tailEnd len="med" w="med" type="triangle"/>
                          </a:ln>
                        </wps:spPr>
                        <wps:bodyPr anchorCtr="0" anchor="ctr" bIns="91425" lIns="91425" spcFirstLastPara="1" rIns="91425" wrap="square" tIns="91425"/>
                      </wps:wsp>
                      <wps:wsp>
                        <wps:cNvCnPr/>
                        <wps:spPr>
                          <a:xfrm>
                            <a:off x="1776275" y="1486840"/>
                            <a:ext cx="0" cy="177300"/>
                          </a:xfrm>
                          <a:prstGeom prst="straightConnector1">
                            <a:avLst/>
                          </a:prstGeom>
                          <a:noFill/>
                          <a:ln cap="flat" cmpd="sng" w="19050">
                            <a:solidFill>
                              <a:srgbClr val="595959"/>
                            </a:solidFill>
                            <a:prstDash val="solid"/>
                            <a:round/>
                            <a:headEnd len="med" w="med" type="none"/>
                            <a:tailEnd len="med" w="med" type="triangle"/>
                          </a:ln>
                        </wps:spPr>
                        <wps:bodyPr anchorCtr="0" anchor="ctr" bIns="91425" lIns="91425" spcFirstLastPara="1" rIns="91425" wrap="square" tIns="91425"/>
                      </wps:wsp>
                      <wps:wsp>
                        <wps:cNvSpPr/>
                        <wps:cNvPr id="9" name="Shape 9"/>
                        <wps:spPr>
                          <a:xfrm>
                            <a:off x="1063025" y="4494800"/>
                            <a:ext cx="1426500" cy="322200"/>
                          </a:xfrm>
                          <a:prstGeom prst="roundRect">
                            <a:avLst>
                              <a:gd fmla="val 16667" name="adj"/>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투자금 반환 및 종료</w:t>
                              </w:r>
                            </w:p>
                          </w:txbxContent>
                        </wps:txbx>
                        <wps:bodyPr anchorCtr="0" anchor="ctr" bIns="91425" lIns="91425" spcFirstLastPara="1" rIns="91425" wrap="square" tIns="91425"/>
                      </wps:wsp>
                      <wps:wsp>
                        <wps:cNvSpPr/>
                        <wps:cNvPr id="10" name="Shape 10"/>
                        <wps:spPr>
                          <a:xfrm>
                            <a:off x="387575" y="3201650"/>
                            <a:ext cx="2777400" cy="322200"/>
                          </a:xfrm>
                          <a:prstGeom prst="roundRect">
                            <a:avLst>
                              <a:gd fmla="val 16667" name="adj"/>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투자금 전송: ZPR</w:t>
                              </w:r>
                            </w:p>
                          </w:txbxContent>
                        </wps:txbx>
                        <wps:bodyPr anchorCtr="0" anchor="ctr" bIns="91425" lIns="91425" spcFirstLastPara="1" rIns="91425" wrap="square" tIns="91425"/>
                      </wps:wsp>
                      <wps:wsp>
                        <wps:cNvCnPr/>
                        <wps:spPr>
                          <a:xfrm>
                            <a:off x="1776275" y="3523850"/>
                            <a:ext cx="0" cy="191400"/>
                          </a:xfrm>
                          <a:prstGeom prst="straightConnector1">
                            <a:avLst/>
                          </a:prstGeom>
                          <a:noFill/>
                          <a:ln cap="flat" cmpd="sng" w="19050">
                            <a:solidFill>
                              <a:srgbClr val="595959"/>
                            </a:solidFill>
                            <a:prstDash val="solid"/>
                            <a:round/>
                            <a:headEnd len="med" w="med" type="none"/>
                            <a:tailEnd len="med" w="med" type="triangle"/>
                          </a:ln>
                        </wps:spPr>
                        <wps:bodyPr anchorCtr="0" anchor="ctr" bIns="91425" lIns="91425" spcFirstLastPara="1" rIns="91425" wrap="square" tIns="91425"/>
                      </wps:wsp>
                      <wps:wsp>
                        <wps:cNvCnPr/>
                        <wps:spPr>
                          <a:xfrm>
                            <a:off x="1776275" y="4150925"/>
                            <a:ext cx="0" cy="343800"/>
                          </a:xfrm>
                          <a:prstGeom prst="straightConnector1">
                            <a:avLst/>
                          </a:prstGeom>
                          <a:noFill/>
                          <a:ln cap="flat" cmpd="sng" w="19050">
                            <a:solidFill>
                              <a:srgbClr val="595959"/>
                            </a:solidFill>
                            <a:prstDash val="solid"/>
                            <a:round/>
                            <a:headEnd len="med" w="med" type="none"/>
                            <a:tailEnd len="med" w="med" type="triangle"/>
                          </a:ln>
                        </wps:spPr>
                        <wps:bodyPr anchorCtr="0" anchor="ctr" bIns="91425" lIns="91425" spcFirstLastPara="1" rIns="91425" wrap="square" tIns="91425"/>
                      </wps:wsp>
                      <wps:wsp>
                        <wps:cNvSpPr/>
                        <wps:cNvPr id="13" name="Shape 13"/>
                        <wps:spPr>
                          <a:xfrm>
                            <a:off x="5337000" y="954650"/>
                            <a:ext cx="2180400" cy="322200"/>
                          </a:xfrm>
                          <a:prstGeom prst="roundRect">
                            <a:avLst>
                              <a:gd fmla="val 16667" name="adj"/>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투자 기간 종료</w:t>
                              </w:r>
                            </w:p>
                          </w:txbxContent>
                        </wps:txbx>
                        <wps:bodyPr anchorCtr="0" anchor="ctr" bIns="91425" lIns="91425" spcFirstLastPara="1" rIns="91425" wrap="square" tIns="91425"/>
                      </wps:wsp>
                      <wps:wsp>
                        <wps:cNvCnPr/>
                        <wps:spPr>
                          <a:xfrm flipH="1" rot="10800000">
                            <a:off x="2866475" y="954725"/>
                            <a:ext cx="3560700" cy="2978400"/>
                          </a:xfrm>
                          <a:prstGeom prst="bentConnector4">
                            <a:avLst>
                              <a:gd fmla="val 53516" name="adj1"/>
                              <a:gd fmla="val 107998" name="adj2"/>
                            </a:avLst>
                          </a:prstGeom>
                          <a:noFill/>
                          <a:ln cap="flat" cmpd="sng" w="19050">
                            <a:solidFill>
                              <a:srgbClr val="595959"/>
                            </a:solidFill>
                            <a:prstDash val="solid"/>
                            <a:round/>
                            <a:headEnd len="med" w="med" type="none"/>
                            <a:tailEnd len="med" w="med" type="triangle"/>
                          </a:ln>
                        </wps:spPr>
                        <wps:bodyPr anchorCtr="0" anchor="ctr" bIns="91425" lIns="91425" spcFirstLastPara="1" rIns="91425" wrap="square" tIns="91425"/>
                      </wps:wsp>
                      <wps:wsp>
                        <wps:cNvCnPr/>
                        <wps:spPr>
                          <a:xfrm>
                            <a:off x="1776275" y="3000200"/>
                            <a:ext cx="0" cy="201600"/>
                          </a:xfrm>
                          <a:prstGeom prst="straightConnector1">
                            <a:avLst/>
                          </a:prstGeom>
                          <a:noFill/>
                          <a:ln cap="flat" cmpd="sng" w="19050">
                            <a:solidFill>
                              <a:srgbClr val="595959"/>
                            </a:solidFill>
                            <a:prstDash val="solid"/>
                            <a:round/>
                            <a:headEnd len="med" w="med" type="none"/>
                            <a:tailEnd len="med" w="med" type="triangle"/>
                          </a:ln>
                        </wps:spPr>
                        <wps:bodyPr anchorCtr="0" anchor="ctr" bIns="91425" lIns="91425" spcFirstLastPara="1" rIns="91425" wrap="square" tIns="91425"/>
                      </wps:wsp>
                      <wps:wsp>
                        <wps:cNvSpPr txBox="1"/>
                        <wps:cNvPr id="16" name="Shape 16"/>
                        <wps:spPr>
                          <a:xfrm>
                            <a:off x="5596025" y="4740800"/>
                            <a:ext cx="2463300" cy="32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토큰</w:t>
                              </w:r>
                              <w:r w:rsidDel="00000000" w:rsidR="00000000" w:rsidRPr="00000000">
                                <w:rPr>
                                  <w:rFonts w:ascii="Arial" w:cs="Arial" w:eastAsia="Arial" w:hAnsi="Arial"/>
                                  <w:b w:val="0"/>
                                  <w:i w:val="0"/>
                                  <w:smallCaps w:val="0"/>
                                  <w:strike w:val="0"/>
                                  <w:color w:val="000000"/>
                                  <w:sz w:val="22"/>
                                  <w:vertAlign w:val="baseline"/>
                                </w:rPr>
                                <w:t xml:space="preserve">¹</w:t>
                              </w:r>
                              <w:r w:rsidDel="00000000" w:rsidR="00000000" w:rsidRPr="00000000">
                                <w:rPr>
                                  <w:rFonts w:ascii="Arial" w:cs="Arial" w:eastAsia="Arial" w:hAnsi="Arial"/>
                                  <w:b w:val="0"/>
                                  <w:i w:val="0"/>
                                  <w:smallCaps w:val="0"/>
                                  <w:strike w:val="0"/>
                                  <w:color w:val="000000"/>
                                  <w:sz w:val="22"/>
                                  <w:vertAlign w:val="baseline"/>
                                </w:rPr>
                                <w:t xml:space="preserve">: 채권에만 연계되는 PLBT</w:t>
                              </w:r>
                            </w:p>
                          </w:txbxContent>
                        </wps:txbx>
                        <wps:bodyPr anchorCtr="0" anchor="t" bIns="91425" lIns="91425" spcFirstLastPara="1" rIns="91425" wrap="square" tIns="91425"/>
                      </wps:wsp>
                      <wps:wsp>
                        <wps:cNvSpPr txBox="1"/>
                        <wps:cNvPr id="17" name="Shape 17"/>
                        <wps:spPr>
                          <a:xfrm>
                            <a:off x="2984200" y="3933125"/>
                            <a:ext cx="434100" cy="3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예</w:t>
                              </w:r>
                            </w:p>
                          </w:txbxContent>
                        </wps:txbx>
                        <wps:bodyPr anchorCtr="0" anchor="t" bIns="91425" lIns="91425" spcFirstLastPara="1" rIns="91425" wrap="square" tIns="91425"/>
                      </wps:wsp>
                      <wps:wsp>
                        <wps:cNvSpPr txBox="1"/>
                        <wps:cNvPr id="18" name="Shape 18"/>
                        <wps:spPr>
                          <a:xfrm>
                            <a:off x="629100" y="201125"/>
                            <a:ext cx="4642800" cy="43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지퍼 서비스 work flow (실행 주체: P2PL, Robo Advisor)</w:t>
                              </w:r>
                            </w:p>
                          </w:txbxContent>
                        </wps:txbx>
                        <wps:bodyPr anchorCtr="0" anchor="t" bIns="91425" lIns="91425" spcFirstLastPara="1" rIns="91425" wrap="square" tIns="91425"/>
                      </wps:wsp>
                      <wps:wsp>
                        <wps:cNvSpPr/>
                        <wps:cNvPr id="19" name="Shape 19"/>
                        <wps:spPr>
                          <a:xfrm>
                            <a:off x="5337000" y="2207150"/>
                            <a:ext cx="2180400" cy="435600"/>
                          </a:xfrm>
                          <a:prstGeom prst="diamond">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투자금 회수완료</w:t>
                              </w:r>
                            </w:p>
                          </w:txbxContent>
                        </wps:txbx>
                        <wps:bodyPr anchorCtr="0" anchor="ctr" bIns="91425" lIns="91425" spcFirstLastPara="1" rIns="91425" wrap="square" tIns="91425"/>
                      </wps:wsp>
                      <wps:wsp>
                        <wps:cNvSpPr txBox="1"/>
                        <wps:cNvPr id="20" name="Shape 20"/>
                        <wps:spPr>
                          <a:xfrm>
                            <a:off x="1103110" y="4117273"/>
                            <a:ext cx="900300" cy="3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아니오</w:t>
                              </w:r>
                            </w:p>
                          </w:txbxContent>
                        </wps:txbx>
                        <wps:bodyPr anchorCtr="0" anchor="t" bIns="91425" lIns="91425" spcFirstLastPara="1" rIns="91425" wrap="square" tIns="91425"/>
                      </wps:wsp>
                      <wps:wsp>
                        <wps:cNvSpPr/>
                        <wps:cNvPr id="21" name="Shape 21"/>
                        <wps:spPr>
                          <a:xfrm>
                            <a:off x="5337000" y="3716475"/>
                            <a:ext cx="2180400" cy="322200"/>
                          </a:xfrm>
                          <a:prstGeom prst="roundRect">
                            <a:avLst>
                              <a:gd fmla="val 16667" name="adj"/>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투자금 회수: PLBT - ZPR</w:t>
                              </w:r>
                            </w:p>
                          </w:txbxContent>
                        </wps:txbx>
                        <wps:bodyPr anchorCtr="0" anchor="ctr" bIns="91425" lIns="91425" spcFirstLastPara="1" rIns="91425" wrap="square" tIns="91425"/>
                      </wps:wsp>
                      <wps:wsp>
                        <wps:cNvSpPr/>
                        <wps:cNvPr id="22" name="Shape 22"/>
                        <wps:spPr>
                          <a:xfrm>
                            <a:off x="7024184" y="2847722"/>
                            <a:ext cx="1648200" cy="322200"/>
                          </a:xfrm>
                          <a:prstGeom prst="roundRect">
                            <a:avLst>
                              <a:gd fmla="val 16667" name="adj"/>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NPL 매입</w:t>
                              </w:r>
                            </w:p>
                          </w:txbxContent>
                        </wps:txbx>
                        <wps:bodyPr anchorCtr="0" anchor="ctr" bIns="91425" lIns="91425" spcFirstLastPara="1" rIns="91425" wrap="square" tIns="91425"/>
                      </wps:wsp>
                      <wps:wsp>
                        <wps:cNvCnPr/>
                        <wps:spPr>
                          <a:xfrm>
                            <a:off x="6427200" y="1276850"/>
                            <a:ext cx="0" cy="281400"/>
                          </a:xfrm>
                          <a:prstGeom prst="straightConnector1">
                            <a:avLst/>
                          </a:prstGeom>
                          <a:noFill/>
                          <a:ln cap="flat" cmpd="sng" w="19050">
                            <a:solidFill>
                              <a:srgbClr val="595959"/>
                            </a:solidFill>
                            <a:prstDash val="solid"/>
                            <a:round/>
                            <a:headEnd len="med" w="med" type="none"/>
                            <a:tailEnd len="med" w="med" type="triangle"/>
                          </a:ln>
                        </wps:spPr>
                        <wps:bodyPr anchorCtr="0" anchor="ctr" bIns="91425" lIns="91425" spcFirstLastPara="1" rIns="91425" wrap="square" tIns="91425"/>
                      </wps:wsp>
                      <wps:wsp>
                        <wps:cNvCnPr/>
                        <wps:spPr>
                          <a:xfrm>
                            <a:off x="6427200" y="2642750"/>
                            <a:ext cx="0" cy="1073700"/>
                          </a:xfrm>
                          <a:prstGeom prst="straightConnector1">
                            <a:avLst/>
                          </a:prstGeom>
                          <a:noFill/>
                          <a:ln cap="flat" cmpd="sng" w="19050">
                            <a:solidFill>
                              <a:srgbClr val="595959"/>
                            </a:solidFill>
                            <a:prstDash val="solid"/>
                            <a:round/>
                            <a:headEnd len="med" w="med" type="none"/>
                            <a:tailEnd len="med" w="med" type="triangle"/>
                          </a:ln>
                        </wps:spPr>
                        <wps:bodyPr anchorCtr="0" anchor="ctr" bIns="91425" lIns="91425" spcFirstLastPara="1" rIns="91425" wrap="square" tIns="91425"/>
                      </wps:wsp>
                      <wps:wsp>
                        <wps:cNvCnPr/>
                        <wps:spPr>
                          <a:xfrm>
                            <a:off x="7517400" y="2424950"/>
                            <a:ext cx="330900" cy="422700"/>
                          </a:xfrm>
                          <a:prstGeom prst="bentConnector2">
                            <a:avLst/>
                          </a:prstGeom>
                          <a:noFill/>
                          <a:ln cap="flat" cmpd="sng" w="19050">
                            <a:solidFill>
                              <a:srgbClr val="595959"/>
                            </a:solidFill>
                            <a:prstDash val="solid"/>
                            <a:round/>
                            <a:headEnd len="med" w="med" type="none"/>
                            <a:tailEnd len="med" w="med" type="triangle"/>
                          </a:ln>
                        </wps:spPr>
                        <wps:bodyPr anchorCtr="0" anchor="ctr" bIns="91425" lIns="91425" spcFirstLastPara="1" rIns="91425" wrap="square" tIns="91425"/>
                      </wps:wsp>
                      <wps:wsp>
                        <wps:cNvSpPr/>
                        <wps:cNvPr id="24" name="Shape 24"/>
                        <wps:spPr>
                          <a:xfrm>
                            <a:off x="5337000" y="1558178"/>
                            <a:ext cx="2180400" cy="322200"/>
                          </a:xfrm>
                          <a:prstGeom prst="roundRect">
                            <a:avLst>
                              <a:gd fmla="val 16667" name="adj"/>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투자금 반환</w:t>
                              </w:r>
                            </w:p>
                          </w:txbxContent>
                        </wps:txbx>
                        <wps:bodyPr anchorCtr="0" anchor="ctr" bIns="91425" lIns="91425" spcFirstLastPara="1" rIns="91425" wrap="square" tIns="91425"/>
                      </wps:wsp>
                      <wps:wsp>
                        <wps:cNvCnPr/>
                        <wps:spPr>
                          <a:xfrm>
                            <a:off x="6427200" y="1880378"/>
                            <a:ext cx="0" cy="326700"/>
                          </a:xfrm>
                          <a:prstGeom prst="straightConnector1">
                            <a:avLst/>
                          </a:prstGeom>
                          <a:noFill/>
                          <a:ln cap="flat" cmpd="sng" w="19050">
                            <a:solidFill>
                              <a:srgbClr val="595959"/>
                            </a:solidFill>
                            <a:prstDash val="solid"/>
                            <a:round/>
                            <a:headEnd len="med" w="med" type="none"/>
                            <a:tailEnd len="med" w="med" type="triangle"/>
                          </a:ln>
                        </wps:spPr>
                        <wps:bodyPr anchorCtr="0" anchor="ctr" bIns="91425" lIns="91425" spcFirstLastPara="1" rIns="91425" wrap="square" tIns="91425"/>
                      </wps:wsp>
                      <wps:wsp>
                        <wps:cNvSpPr/>
                        <wps:cNvPr id="8" name="Shape 8"/>
                        <wps:spPr>
                          <a:xfrm>
                            <a:off x="387575" y="1664000"/>
                            <a:ext cx="2777400" cy="322200"/>
                          </a:xfrm>
                          <a:prstGeom prst="roundRect">
                            <a:avLst>
                              <a:gd fmla="val 16667" name="adj"/>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승인 또는 거부</w:t>
                              </w:r>
                            </w:p>
                          </w:txbxContent>
                        </wps:txbx>
                        <wps:bodyPr anchorCtr="0" anchor="ctr" bIns="91425" lIns="91425" spcFirstLastPara="1" rIns="91425" wrap="square" tIns="91425"/>
                      </wps:wsp>
                      <wps:wsp>
                        <wps:cNvCnPr/>
                        <wps:spPr>
                          <a:xfrm>
                            <a:off x="1776275" y="1986200"/>
                            <a:ext cx="0" cy="168300"/>
                          </a:xfrm>
                          <a:prstGeom prst="straightConnector1">
                            <a:avLst/>
                          </a:prstGeom>
                          <a:noFill/>
                          <a:ln cap="flat" cmpd="sng" w="19050">
                            <a:solidFill>
                              <a:srgbClr val="595959"/>
                            </a:solidFill>
                            <a:prstDash val="solid"/>
                            <a:round/>
                            <a:headEnd len="med" w="med" type="none"/>
                            <a:tailEnd len="med" w="med" type="triangle"/>
                          </a:ln>
                        </wps:spPr>
                        <wps:bodyPr anchorCtr="0" anchor="ctr" bIns="91425" lIns="91425" spcFirstLastPara="1" rIns="91425" wrap="square" tIns="91425"/>
                      </wps:wsp>
                      <wps:wsp>
                        <wps:cNvSpPr/>
                        <wps:cNvPr id="29" name="Shape 29"/>
                        <wps:spPr>
                          <a:xfrm>
                            <a:off x="168344" y="1205017"/>
                            <a:ext cx="567075" cy="201600"/>
                          </a:xfrm>
                          <a:prstGeom prst="flowChartProcess">
                            <a:avLst/>
                          </a:prstGeom>
                          <a:solidFill>
                            <a:srgbClr val="1C458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차입자</w:t>
                              </w:r>
                            </w:p>
                          </w:txbxContent>
                        </wps:txbx>
                        <wps:bodyPr anchorCtr="0" anchor="ctr" bIns="91425" lIns="91425" spcFirstLastPara="1" rIns="91425" wrap="square" tIns="91425"/>
                      </wps:wsp>
                      <wps:wsp>
                        <wps:cNvSpPr/>
                        <wps:cNvPr id="30" name="Shape 30"/>
                        <wps:spPr>
                          <a:xfrm>
                            <a:off x="5167419" y="1641192"/>
                            <a:ext cx="567075" cy="201600"/>
                          </a:xfrm>
                          <a:prstGeom prst="flowChartProcess">
                            <a:avLst/>
                          </a:prstGeom>
                          <a:solidFill>
                            <a:srgbClr val="1C458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차입자</w:t>
                              </w:r>
                            </w:p>
                          </w:txbxContent>
                        </wps:txbx>
                        <wps:bodyPr anchorCtr="0" anchor="ctr" bIns="91425" lIns="91425" spcFirstLastPara="1" rIns="91425" wrap="square" tIns="91425"/>
                      </wps:wsp>
                      <wps:wsp>
                        <wps:cNvSpPr/>
                        <wps:cNvPr id="31" name="Shape 31"/>
                        <wps:spPr>
                          <a:xfrm>
                            <a:off x="233894" y="3256954"/>
                            <a:ext cx="567075" cy="201600"/>
                          </a:xfrm>
                          <a:prstGeom prst="flowChartProcess">
                            <a:avLst/>
                          </a:prstGeom>
                          <a:solidFill>
                            <a:srgbClr val="1C458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투자자</w:t>
                              </w:r>
                            </w:p>
                          </w:txbxContent>
                        </wps:txbx>
                        <wps:bodyPr anchorCtr="0" anchor="ctr" bIns="91425" lIns="91425" spcFirstLastPara="1" rIns="91425" wrap="square" tIns="91425"/>
                      </wps:wsp>
                      <wps:wsp>
                        <wps:cNvSpPr/>
                        <wps:cNvPr id="32" name="Shape 32"/>
                        <wps:spPr>
                          <a:xfrm>
                            <a:off x="6872194" y="2908017"/>
                            <a:ext cx="567075" cy="201600"/>
                          </a:xfrm>
                          <a:prstGeom prst="flowChartProcess">
                            <a:avLst/>
                          </a:prstGeom>
                          <a:solidFill>
                            <a:srgbClr val="1C458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NPL</w:t>
                              </w:r>
                            </w:p>
                          </w:txbxContent>
                        </wps:txbx>
                        <wps:bodyPr anchorCtr="0" anchor="ctr" bIns="91425" lIns="91425" spcFirstLastPara="1" rIns="91425" wrap="square" tIns="91425"/>
                      </wps:wsp>
                      <wps:wsp>
                        <wps:cNvSpPr/>
                        <wps:cNvPr id="33" name="Shape 33"/>
                        <wps:spPr>
                          <a:xfrm>
                            <a:off x="3304950" y="636725"/>
                            <a:ext cx="1258200" cy="515400"/>
                          </a:xfrm>
                          <a:prstGeom prst="wedgeRectCallout">
                            <a:avLst>
                              <a:gd fmla="val -69962" name="adj1"/>
                              <a:gd fmla="val -11119"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정보게시(web)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차입자 모집 요강</w:t>
                              </w:r>
                            </w:p>
                          </w:txbxContent>
                        </wps:txbx>
                        <wps:bodyPr anchorCtr="0" anchor="ctr" bIns="91425" lIns="91425" spcFirstLastPara="1" rIns="91425" wrap="square" tIns="91425"/>
                      </wps:wsp>
                      <wps:wsp>
                        <wps:cNvSpPr/>
                        <wps:cNvPr id="34" name="Shape 34"/>
                        <wps:spPr>
                          <a:xfrm>
                            <a:off x="3262425" y="2167250"/>
                            <a:ext cx="1258200" cy="740700"/>
                          </a:xfrm>
                          <a:prstGeom prst="wedgeRectCallout">
                            <a:avLst>
                              <a:gd fmla="val -69962" name="adj1"/>
                              <a:gd fmla="val -11119"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정보게시(web)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채권 정보</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포트폴리오 구성</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734050" cy="3280261"/>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34050" cy="32802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Arial Unicode MS" w:cs="Arial Unicode MS" w:eastAsia="Arial Unicode MS" w:hAnsi="Arial Unicode MS"/>
          <w:rtl w:val="0"/>
        </w:rPr>
        <w:t xml:space="preserve">2. contract 기능(또는 트랜잭션) 리스트 및 파라미터</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차입자 참가신청: 희망금액, 기간</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차입자 심사결과: 거부 또는 승인</w:t>
      </w:r>
    </w:p>
    <w:p w:rsidR="00000000" w:rsidDel="00000000" w:rsidP="00000000" w:rsidRDefault="00000000" w:rsidRPr="00000000" w14:paraId="0000000E">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Crowd sale 배포: 모집기간, 모집금액, 투자대상</w:t>
        <w:tab/>
        <w:tab/>
        <w:tab/>
        <w:tab/>
        <w:tab/>
      </w:r>
    </w:p>
    <w:p w:rsidR="00000000" w:rsidDel="00000000" w:rsidP="00000000" w:rsidRDefault="00000000" w:rsidRPr="00000000" w14:paraId="0000000F">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투자 신청(투자금 전송): 투자금액</w:t>
      </w:r>
    </w:p>
    <w:p w:rsidR="00000000" w:rsidDel="00000000" w:rsidP="00000000" w:rsidRDefault="00000000" w:rsidRPr="00000000" w14:paraId="00000010">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Sale 실패시 투자금 반환: 투자금액</w:t>
      </w:r>
    </w:p>
    <w:p w:rsidR="00000000" w:rsidDel="00000000" w:rsidP="00000000" w:rsidRDefault="00000000" w:rsidRPr="00000000" w14:paraId="00000011">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배포자 -&gt; 투자자 PLBT 전송: 이자율, 토큰 갯수</w:t>
      </w:r>
    </w:p>
    <w:p w:rsidR="00000000" w:rsidDel="00000000" w:rsidP="00000000" w:rsidRDefault="00000000" w:rsidRPr="00000000" w14:paraId="00000012">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차입자 -&gt; 배포자 ZPR 전송: 반환 금액</w:t>
      </w:r>
    </w:p>
    <w:p w:rsidR="00000000" w:rsidDel="00000000" w:rsidP="00000000" w:rsidRDefault="00000000" w:rsidRPr="00000000" w14:paraId="00000013">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배포자 -&gt; 투자자 ZPR-PLBT 교환: 회수 금액</w:t>
      </w:r>
    </w:p>
    <w:p w:rsidR="00000000" w:rsidDel="00000000" w:rsidP="00000000" w:rsidRDefault="00000000" w:rsidRPr="00000000" w14:paraId="00000014">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NPL(또는 지퍼가디언) -&gt; 투자자 PLBT 매입: 매입금액</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Fonts w:ascii="Arial Unicode MS" w:cs="Arial Unicode MS" w:eastAsia="Arial Unicode MS" w:hAnsi="Arial Unicode MS"/>
          <w:b w:val="1"/>
          <w:rtl w:val="0"/>
        </w:rPr>
        <w:t xml:space="preserve">추가 논의 사항</w:t>
      </w:r>
    </w:p>
    <w:p w:rsidR="00000000" w:rsidDel="00000000" w:rsidP="00000000" w:rsidRDefault="00000000" w:rsidRPr="00000000" w14:paraId="00000017">
      <w:pPr>
        <w:numPr>
          <w:ilvl w:val="0"/>
          <w:numId w:val="4"/>
        </w:numPr>
        <w:ind w:left="720" w:hanging="360"/>
        <w:contextualSpacing w:val="1"/>
        <w:rPr>
          <w:u w:val="none"/>
        </w:rPr>
      </w:pPr>
      <w:r w:rsidDel="00000000" w:rsidR="00000000" w:rsidRPr="00000000">
        <w:rPr>
          <w:rFonts w:ascii="Arial Unicode MS" w:cs="Arial Unicode MS" w:eastAsia="Arial Unicode MS" w:hAnsi="Arial Unicode MS"/>
          <w:rtl w:val="0"/>
        </w:rPr>
        <w:t xml:space="preserve">zper service를 통해 충분한 신용점수를 획득한 차입자 클라이언트의 contract 직접 발행</w:t>
      </w:r>
    </w:p>
    <w:p w:rsidR="00000000" w:rsidDel="00000000" w:rsidP="00000000" w:rsidRDefault="00000000" w:rsidRPr="00000000" w14:paraId="00000018">
      <w:pPr>
        <w:numPr>
          <w:ilvl w:val="0"/>
          <w:numId w:val="4"/>
        </w:numPr>
        <w:ind w:left="720" w:hanging="360"/>
        <w:contextualSpacing w:val="1"/>
        <w:rPr>
          <w:u w:val="none"/>
        </w:rPr>
      </w:pPr>
      <w:r w:rsidDel="00000000" w:rsidR="00000000" w:rsidRPr="00000000">
        <w:rPr>
          <w:rFonts w:ascii="Arial Unicode MS" w:cs="Arial Unicode MS" w:eastAsia="Arial Unicode MS" w:hAnsi="Arial Unicode MS"/>
          <w:rtl w:val="0"/>
        </w:rPr>
        <w:t xml:space="preserve">본 설계상에서 P2PL company 와 robo advisor 역할의 구분</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What zper pursue with blockchain</w:t>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 블록체인 네트워크에서 각 노드간 발생하는 모든 트랜잭션 정보는 위변조가 불가능하다. 지퍼는 지퍼 네트워크의 모든 참여자들의 고유한 활동 내용을 트랜잭션에 담고, 이를 통해 각 참여자들에 대한 불량 0%의 고부가가치 프로필을 만들어 낼 수 있다. </w:t>
      </w:r>
    </w:p>
    <w:p w:rsidR="00000000" w:rsidDel="00000000" w:rsidP="00000000" w:rsidRDefault="00000000" w:rsidRPr="00000000" w14:paraId="0000001C">
      <w:pPr>
        <w:contextualSpacing w:val="0"/>
        <w:rPr/>
      </w:pPr>
      <w:r w:rsidDel="00000000" w:rsidR="00000000" w:rsidRPr="00000000">
        <w:rPr>
          <w:rFonts w:ascii="Arial Unicode MS" w:cs="Arial Unicode MS" w:eastAsia="Arial Unicode MS" w:hAnsi="Arial Unicode MS"/>
          <w:rtl w:val="0"/>
        </w:rPr>
        <w:t xml:space="preserve"> 지퍼 네트워크의 차입자는 대출금 신청, 상환등의 트랜잭션을 발생시키며, 꾸준한 대출금 상환을 통해 자신의 신용평가 점수를 높일 수 있다. P2P company는 대출 및 상환 트랜잭션을 네트워크에 기록하고 이 트랜잭션들을 모아서 자신들의 리스크 관리능력과 사업 능력을 검증받을 수 있다. 기타 다른 참여자들 - 로보 어드바이저, 지퍼 가디언 등- 의 경우도, 각각의 고유한 서비스를 제공하는 활동 자체가 수익률 및 채권에대한 안전성 제공 능력을 검증 받을 수 있는 트랜잭션들을 발생시키는 것이다. 서비스가 지속될수록 이 정보들의 양은 많아지고 신뢰도는 점점 높아진다. 지퍼는 이러한 정보들을 전세계 모든 금융회사들이 신뢰할 수 있는 최고 수준의 신용정보로 만들고자 한다.</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zperService in World Computer</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Features</w:t>
      </w:r>
    </w:p>
    <w:p w:rsidR="00000000" w:rsidDel="00000000" w:rsidP="00000000" w:rsidRDefault="00000000" w:rsidRPr="00000000" w14:paraId="00000022">
      <w:pPr>
        <w:contextualSpacing w:val="0"/>
        <w:rPr/>
      </w:pPr>
      <w:r w:rsidDel="00000000" w:rsidR="00000000" w:rsidRPr="00000000">
        <w:rPr>
          <w:rFonts w:ascii="Arial Unicode MS" w:cs="Arial Unicode MS" w:eastAsia="Arial Unicode MS" w:hAnsi="Arial Unicode MS"/>
          <w:rtl w:val="0"/>
        </w:rPr>
        <w:t xml:space="preserve"> Managing Bond Sale (채권 판매 콘트랙트 관리)</w:t>
      </w:r>
    </w:p>
    <w:p w:rsidR="00000000" w:rsidDel="00000000" w:rsidP="00000000" w:rsidRDefault="00000000" w:rsidRPr="00000000" w14:paraId="00000023">
      <w:pPr>
        <w:contextualSpacing w:val="0"/>
        <w:rPr/>
      </w:pPr>
      <w:r w:rsidDel="00000000" w:rsidR="00000000" w:rsidRPr="00000000">
        <w:rPr>
          <w:rFonts w:ascii="Arial Unicode MS" w:cs="Arial Unicode MS" w:eastAsia="Arial Unicode MS" w:hAnsi="Arial Unicode MS"/>
          <w:rtl w:val="0"/>
        </w:rPr>
        <w:t xml:space="preserve"> Managing Accounts (서비스 참여자 관리. 채권에 연결 등)</w:t>
      </w:r>
    </w:p>
    <w:p w:rsidR="00000000" w:rsidDel="00000000" w:rsidP="00000000" w:rsidRDefault="00000000" w:rsidRPr="00000000" w14:paraId="00000024">
      <w:pPr>
        <w:contextualSpacing w:val="0"/>
        <w:rPr/>
      </w:pPr>
      <w:r w:rsidDel="00000000" w:rsidR="00000000" w:rsidRPr="00000000">
        <w:rPr>
          <w:rtl w:val="0"/>
        </w:rPr>
        <w:t xml:space="preserv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