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9FA1" w14:textId="77777777" w:rsidR="006B3A4D" w:rsidRPr="006B3A4D" w:rsidRDefault="006B3A4D" w:rsidP="006B3A4D">
      <w:pPr>
        <w:rPr>
          <w:b/>
          <w:bCs/>
        </w:rPr>
      </w:pPr>
      <w:r w:rsidRPr="006B3A4D">
        <w:rPr>
          <w:b/>
          <w:bCs/>
        </w:rPr>
        <w:t>Multi-Tier Decision Engine for Photovoltaic Farm Optimization</w:t>
      </w:r>
    </w:p>
    <w:p w14:paraId="2975B2EB" w14:textId="77777777" w:rsidR="006B3A4D" w:rsidRPr="006B3A4D" w:rsidRDefault="006B3A4D" w:rsidP="006B3A4D">
      <w:pPr>
        <w:rPr>
          <w:b/>
          <w:bCs/>
        </w:rPr>
      </w:pPr>
      <w:r w:rsidRPr="006B3A4D">
        <w:rPr>
          <w:b/>
          <w:bCs/>
        </w:rPr>
        <w:t>System Architecture Overview</w:t>
      </w:r>
    </w:p>
    <w:p w14:paraId="235D9A2B" w14:textId="77777777" w:rsidR="006B3A4D" w:rsidRPr="006B3A4D" w:rsidRDefault="006B3A4D" w:rsidP="006B3A4D">
      <w:r w:rsidRPr="006B3A4D">
        <w:t xml:space="preserve">The proposed control architecture operates as a </w:t>
      </w:r>
      <w:r w:rsidRPr="006B3A4D">
        <w:rPr>
          <w:b/>
          <w:bCs/>
        </w:rPr>
        <w:t>three-tier hierarchical decision engine</w:t>
      </w:r>
      <w:r w:rsidRPr="006B3A4D">
        <w:t xml:space="preserve"> that integrates real-time condition monitoring, predictive optimization, and distributed asset coordination. This framework aligns with established hierarchical control structures in renewable energy systems, where primary control handles immediate stability, secondary control manages resource coordination, and tertiary control optimizes economic dispatch over longer horizons</w:t>
      </w:r>
    </w:p>
    <w:p w14:paraId="6D642353" w14:textId="77777777" w:rsidR="00D43466" w:rsidRPr="00D43466" w:rsidRDefault="00D43466" w:rsidP="00D43466">
      <w:pPr>
        <w:rPr>
          <w:b/>
          <w:bCs/>
        </w:rPr>
      </w:pPr>
      <w:r w:rsidRPr="00D43466">
        <w:rPr>
          <w:b/>
          <w:bCs/>
        </w:rPr>
        <w:t>Tier 1: Asset Health Assessment Layer (30-second cycle)</w:t>
      </w:r>
    </w:p>
    <w:p w14:paraId="35AC0D48" w14:textId="77777777" w:rsidR="00D43466" w:rsidRPr="00D43466" w:rsidRDefault="00D43466" w:rsidP="00D43466">
      <w:r w:rsidRPr="00D43466">
        <w:rPr>
          <w:b/>
          <w:bCs/>
        </w:rPr>
        <w:t>Function:</w:t>
      </w:r>
      <w:r w:rsidRPr="00D43466">
        <w:t xml:space="preserve"> Continuous diagnostic evaluation of photovoltaic panel performance</w:t>
      </w:r>
    </w:p>
    <w:p w14:paraId="24864CD0" w14:textId="77777777" w:rsidR="00D43466" w:rsidRPr="00D43466" w:rsidRDefault="00D43466" w:rsidP="00D43466">
      <w:r w:rsidRPr="00D43466">
        <w:rPr>
          <w:b/>
          <w:bCs/>
        </w:rPr>
        <w:t>Methodology:</w:t>
      </w:r>
    </w:p>
    <w:p w14:paraId="4F3D903E" w14:textId="635E1E3A" w:rsidR="00D43466" w:rsidRPr="00D43466" w:rsidRDefault="00D43466" w:rsidP="00D43466">
      <w:pPr>
        <w:numPr>
          <w:ilvl w:val="0"/>
          <w:numId w:val="2"/>
        </w:numPr>
      </w:pPr>
      <w:r w:rsidRPr="00D43466">
        <w:rPr>
          <w:b/>
          <w:bCs/>
        </w:rPr>
        <w:t>Direct Sensing:</w:t>
      </w:r>
      <w:r w:rsidRPr="00D43466">
        <w:t xml:space="preserve"> On-panel sensors provide operational telemetry: power output and</w:t>
      </w:r>
      <w:r w:rsidR="00B9548C">
        <w:t xml:space="preserve"> </w:t>
      </w:r>
      <w:r w:rsidRPr="00D43466">
        <w:t xml:space="preserve">thermal state </w:t>
      </w:r>
    </w:p>
    <w:p w14:paraId="07D37BB6" w14:textId="77777777" w:rsidR="00D43466" w:rsidRPr="00D43466" w:rsidRDefault="00D43466" w:rsidP="00D43466">
      <w:pPr>
        <w:numPr>
          <w:ilvl w:val="0"/>
          <w:numId w:val="2"/>
        </w:numPr>
      </w:pPr>
      <w:r w:rsidRPr="00D43466">
        <w:rPr>
          <w:b/>
          <w:bCs/>
        </w:rPr>
        <w:t>Health Index Calculation:</w:t>
      </w:r>
      <w:r w:rsidRPr="00D43466">
        <w:t xml:space="preserve"> A normalized health score is computed, where indicates catastrophic failure and denotes optimal performance</w:t>
      </w:r>
    </w:p>
    <w:p w14:paraId="573D98C8" w14:textId="77777777" w:rsidR="00D43466" w:rsidRPr="00D43466" w:rsidRDefault="00D43466" w:rsidP="00D43466">
      <w:pPr>
        <w:numPr>
          <w:ilvl w:val="0"/>
          <w:numId w:val="2"/>
        </w:numPr>
      </w:pPr>
      <w:r w:rsidRPr="00D43466">
        <w:rPr>
          <w:b/>
          <w:bCs/>
        </w:rPr>
        <w:t>Degradation Detection:</w:t>
      </w:r>
      <w:r w:rsidRPr="00D43466">
        <w:t xml:space="preserve"> Anomaly detection algorithms identify thermal runaway, soiling losses, or electrical faults based on deviation from expected - characteristics</w:t>
      </w:r>
    </w:p>
    <w:p w14:paraId="5A274D8C" w14:textId="77777777" w:rsidR="00F360F4" w:rsidRDefault="00F360F4"/>
    <w:sectPr w:rsidR="00F36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27E76"/>
    <w:multiLevelType w:val="multilevel"/>
    <w:tmpl w:val="B65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BA3935"/>
    <w:multiLevelType w:val="multilevel"/>
    <w:tmpl w:val="E01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18076">
    <w:abstractNumId w:val="0"/>
  </w:num>
  <w:num w:numId="2" w16cid:durableId="1215048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4D"/>
    <w:rsid w:val="006B3A4D"/>
    <w:rsid w:val="007D1EE3"/>
    <w:rsid w:val="008746A4"/>
    <w:rsid w:val="00AC15EA"/>
    <w:rsid w:val="00B9548C"/>
    <w:rsid w:val="00D43466"/>
    <w:rsid w:val="00EB330A"/>
    <w:rsid w:val="00F3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90E4"/>
  <w15:chartTrackingRefBased/>
  <w15:docId w15:val="{1E56CC16-C670-461F-B657-B9797ED4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4D"/>
    <w:rPr>
      <w:rFonts w:eastAsiaTheme="majorEastAsia" w:cstheme="majorBidi"/>
      <w:color w:val="272727" w:themeColor="text1" w:themeTint="D8"/>
    </w:rPr>
  </w:style>
  <w:style w:type="paragraph" w:styleId="Title">
    <w:name w:val="Title"/>
    <w:basedOn w:val="Normal"/>
    <w:next w:val="Normal"/>
    <w:link w:val="TitleChar"/>
    <w:uiPriority w:val="10"/>
    <w:qFormat/>
    <w:rsid w:val="006B3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A4D"/>
    <w:pPr>
      <w:spacing w:before="160"/>
      <w:jc w:val="center"/>
    </w:pPr>
    <w:rPr>
      <w:i/>
      <w:iCs/>
      <w:color w:val="404040" w:themeColor="text1" w:themeTint="BF"/>
    </w:rPr>
  </w:style>
  <w:style w:type="character" w:customStyle="1" w:styleId="QuoteChar">
    <w:name w:val="Quote Char"/>
    <w:basedOn w:val="DefaultParagraphFont"/>
    <w:link w:val="Quote"/>
    <w:uiPriority w:val="29"/>
    <w:rsid w:val="006B3A4D"/>
    <w:rPr>
      <w:i/>
      <w:iCs/>
      <w:color w:val="404040" w:themeColor="text1" w:themeTint="BF"/>
    </w:rPr>
  </w:style>
  <w:style w:type="paragraph" w:styleId="ListParagraph">
    <w:name w:val="List Paragraph"/>
    <w:basedOn w:val="Normal"/>
    <w:uiPriority w:val="34"/>
    <w:qFormat/>
    <w:rsid w:val="006B3A4D"/>
    <w:pPr>
      <w:ind w:left="720"/>
      <w:contextualSpacing/>
    </w:pPr>
  </w:style>
  <w:style w:type="character" w:styleId="IntenseEmphasis">
    <w:name w:val="Intense Emphasis"/>
    <w:basedOn w:val="DefaultParagraphFont"/>
    <w:uiPriority w:val="21"/>
    <w:qFormat/>
    <w:rsid w:val="006B3A4D"/>
    <w:rPr>
      <w:i/>
      <w:iCs/>
      <w:color w:val="2F5496" w:themeColor="accent1" w:themeShade="BF"/>
    </w:rPr>
  </w:style>
  <w:style w:type="paragraph" w:styleId="IntenseQuote">
    <w:name w:val="Intense Quote"/>
    <w:basedOn w:val="Normal"/>
    <w:next w:val="Normal"/>
    <w:link w:val="IntenseQuoteChar"/>
    <w:uiPriority w:val="30"/>
    <w:qFormat/>
    <w:rsid w:val="006B3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A4D"/>
    <w:rPr>
      <w:i/>
      <w:iCs/>
      <w:color w:val="2F5496" w:themeColor="accent1" w:themeShade="BF"/>
    </w:rPr>
  </w:style>
  <w:style w:type="character" w:styleId="IntenseReference">
    <w:name w:val="Intense Reference"/>
    <w:basedOn w:val="DefaultParagraphFont"/>
    <w:uiPriority w:val="32"/>
    <w:qFormat/>
    <w:rsid w:val="006B3A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Htun, Leo</dc:creator>
  <cp:keywords/>
  <dc:description/>
  <cp:lastModifiedBy>Ye Htun, Leo</cp:lastModifiedBy>
  <cp:revision>3</cp:revision>
  <dcterms:created xsi:type="dcterms:W3CDTF">2026-03-12T10:05:00Z</dcterms:created>
  <dcterms:modified xsi:type="dcterms:W3CDTF">2026-03-12T10:10:00Z</dcterms:modified>
</cp:coreProperties>
</file>