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rk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AI Defensive Agent</w:t>
      </w:r>
    </w:p>
    <w:p>
      <w:pPr>
        <w:pStyle w:val="Subtitle"/>
        <w:jc w:val="center"/>
      </w:pPr>
      <w:r>
        <w:t>项目阶段总结汇报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783"/>
      </w:tblGrid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1.0</w:t>
            </w:r>
          </w:p>
        </w:tc>
      </w:tr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2026-07-25</w:t>
            </w:r>
          </w:p>
        </w:tc>
      </w:tr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管理层阶段汇报</w:t>
            </w:r>
          </w:p>
        </w:tc>
      </w:tr>
    </w:tbl>
    <w:p/>
    <w:p>
      <w:pPr>
        <w:jc w:val="center"/>
      </w:pPr>
      <w:r>
        <w:rPr>
          <w:rFonts w:ascii="PingFang SC" w:hAnsi="PingFang SC" w:eastAsia="PingFang SC"/>
          <w:color w:val="647785"/>
          <w:sz w:val="19"/>
        </w:rPr>
        <w:t>以当前代码、现场运行状态和保留证据为准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01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一、阶段结论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02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二、项目解决的问题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03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三、当前成果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04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四、代表案例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五、项目价值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06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六、需要管理层关注的边界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07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七、下一阶段建议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08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八、阶段判断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647785"/>
          <w:sz w:val="17"/>
        </w:rPr>
        <w:t>项目联调关系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一、阶段结论</w:t>
      </w:r>
    </w:p>
    <w:p>
      <w:r>
        <w:rPr>
          <w:rFonts w:ascii="PingFang SC" w:hAnsi="PingFang SC" w:eastAsia="PingFang SC"/>
          <w:b w:val="0"/>
          <w:i w:val="0"/>
        </w:rPr>
        <w:t>项目已完成从告警接收到研判、验证、审批、记忆和审计的端到端链路。RASP 与 BAS 的现场联调证明，系统处理的不是预先写好的展示文本：受控请求进入真实 Java/Tomcat 测试目标，RASP 在应用运行时产生 hook_data 和调用栈，Syslog 经 TCP 到达 AI Defensive Agent，远端模型完成分析，Validator 再对证据和权限进行校验。</w:t>
      </w:r>
    </w:p>
    <w:p>
      <w:r>
        <w:rPr>
          <w:rFonts w:ascii="PingFang SC" w:hAnsi="PingFang SC" w:eastAsia="PingFang SC"/>
          <w:b w:val="0"/>
          <w:i w:val="0"/>
        </w:rPr>
        <w:t>当前成果适合用于阶段演示、RASP 规则联调和小规模 PoC。生产化仍需替换单机数据底座，补充高可用、企业身份、工单/SOAR、端到端传输确认和正式盲测集。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二、项目解决的问题</w:t>
      </w:r>
    </w:p>
    <w:p>
      <w:r>
        <w:rPr>
          <w:rFonts w:ascii="PingFang SC" w:hAnsi="PingFang SC" w:eastAsia="PingFang SC"/>
          <w:b w:val="0"/>
          <w:i w:val="0"/>
        </w:rPr>
        <w:t>传统安全运营的主要问题不是没有告警，而是告警缺少统一证据结构、同类事件反复处置、模型结论难以追溯、误报经验无法安全复用。当前系统形成四项改变：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原有问题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当前能力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不同产品字段各异，分析依赖个人经验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五类产品分别映射并由专用 Agent 分析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高峰或 LLM 故障时告警容易丢失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持久队列、重试、deferred、DLQ 和恢复机制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多条同类告警重复生成处置记录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按资产、规则和时间窗聚合 Case，只展开最新审批轮次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模型回答缺少约束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原始证据留存、脱敏语义投影、确定性 Validator、人工审批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误报经验靠口头传递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带来源、范围、审批和过期时间的受控记忆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三、当前成果</w:t>
      </w:r>
    </w:p>
    <w:p>
      <w:r>
        <w:rPr>
          <w:rFonts w:ascii="PingFang SC" w:hAnsi="PingFang SC" w:eastAsia="PingFang SC"/>
          <w:b w:val="0"/>
          <w:i w:val="0"/>
        </w:rPr>
        <w:t>截至 2026-07-25，远端系统运行健康：Gateway 与 Vector 正常，Caddy 提供 HTTPS，SQLite 完整性检查通过，持久队列无积压和死信。</w:t>
      </w:r>
    </w:p>
    <w:p>
      <w:r>
        <w:rPr>
          <w:rFonts w:ascii="PingFang SC" w:hAnsi="PingFang SC" w:eastAsia="PingFang SC"/>
          <w:b w:val="0"/>
          <w:i w:val="0"/>
        </w:rPr>
        <w:t>RASP 侧当前保留 101 条归一化事件、31 个 Case，覆盖命令执行、文件读取/写入、JDBC、OGNL、JNI、恶意类加载、JNDI、脚本引擎、反序列化、内存马和 WebShell 等场景。14 个 Case 为 critical，17 个为 high。全部仍保留在待处置视图，便于继续核对测试授权和主机侧执行结果。</w:t>
      </w:r>
    </w:p>
    <w:p>
      <w:r>
        <w:rPr>
          <w:rFonts w:ascii="PingFang SC" w:hAnsi="PingFang SC" w:eastAsia="PingFang SC"/>
          <w:b w:val="0"/>
          <w:i w:val="0"/>
        </w:rPr>
        <w:t>这些数量包含现场投递、历史回放和重复验证，不能当作独立攻击次数或检出率。它们能够证明端到端工程链路和证据处理方法已完成验证。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四、代表案例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1. OGNL 表达式注入</w:t>
      </w:r>
    </w:p>
    <w:p>
      <w:r>
        <w:rPr>
          <w:rFonts w:ascii="PingFang SC" w:hAnsi="PingFang SC" w:eastAsia="PingFang SC"/>
          <w:b w:val="0"/>
          <w:i w:val="0"/>
        </w:rPr>
        <w:t xml:space="preserve">来源 </w:t>
      </w:r>
      <w:r>
        <w:rPr>
          <w:rFonts w:ascii="Menlo" w:hAnsi="Menlo" w:eastAsia="Menlo"/>
          <w:color w:val="0B1F2A"/>
          <w:sz w:val="17"/>
        </w:rPr>
        <w:t>43.154.138.159</w:t>
      </w:r>
      <w:r>
        <w:rPr>
          <w:rFonts w:ascii="PingFang SC" w:hAnsi="PingFang SC" w:eastAsia="PingFang SC"/>
          <w:b w:val="0"/>
          <w:i w:val="0"/>
        </w:rPr>
        <w:t xml:space="preserve"> 访问目标 </w:t>
      </w:r>
      <w:r>
        <w:rPr>
          <w:rFonts w:ascii="Menlo" w:hAnsi="Menlo" w:eastAsia="Menlo"/>
          <w:color w:val="0B1F2A"/>
          <w:sz w:val="17"/>
        </w:rPr>
        <w:t>106.53.107.29:8080</w:t>
      </w:r>
      <w:r>
        <w:rPr>
          <w:rFonts w:ascii="PingFang SC" w:hAnsi="PingFang SC" w:eastAsia="PingFang SC"/>
          <w:b w:val="0"/>
          <w:i w:val="0"/>
        </w:rPr>
        <w:t xml:space="preserve"> 的 </w:t>
      </w:r>
      <w:r>
        <w:rPr>
          <w:rFonts w:ascii="Menlo" w:hAnsi="Menlo" w:eastAsia="Menlo"/>
          <w:color w:val="0B1F2A"/>
          <w:sz w:val="17"/>
        </w:rPr>
        <w:t>POST /expression/ognl/postBody</w:t>
      </w:r>
      <w:r>
        <w:rPr>
          <w:rFonts w:ascii="PingFang SC" w:hAnsi="PingFang SC" w:eastAsia="PingFang SC"/>
          <w:b w:val="0"/>
          <w:i w:val="0"/>
        </w:rPr>
        <w:t xml:space="preserve">。RASP 规则 </w:t>
      </w:r>
      <w:r>
        <w:rPr>
          <w:rFonts w:ascii="Menlo" w:hAnsi="Menlo" w:eastAsia="Menlo"/>
          <w:color w:val="0B1F2A"/>
          <w:sz w:val="17"/>
        </w:rPr>
        <w:t>cloudrasp_ognl_103</w:t>
      </w:r>
      <w:r>
        <w:rPr>
          <w:rFonts w:ascii="PingFang SC" w:hAnsi="PingFang SC" w:eastAsia="PingFang SC"/>
          <w:b w:val="0"/>
          <w:i w:val="0"/>
        </w:rPr>
        <w:t xml:space="preserve"> 捕获到参数进入 OGNL 解析链，调用栈命中 </w:t>
      </w:r>
      <w:r>
        <w:rPr>
          <w:rFonts w:ascii="Menlo" w:hAnsi="Menlo" w:eastAsia="Menlo"/>
          <w:color w:val="0B1F2A"/>
          <w:sz w:val="17"/>
        </w:rPr>
        <w:t>evaluateGetValueBody</w:t>
      </w:r>
      <w:r>
        <w:rPr>
          <w:rFonts w:ascii="PingFang SC" w:hAnsi="PingFang SC" w:eastAsia="PingFang SC"/>
          <w:b w:val="0"/>
          <w:i w:val="0"/>
        </w:rPr>
        <w:t xml:space="preserve"> 和 </w:t>
      </w:r>
      <w:r>
        <w:rPr>
          <w:rFonts w:ascii="Menlo" w:hAnsi="Menlo" w:eastAsia="Menlo"/>
          <w:color w:val="0B1F2A"/>
          <w:sz w:val="17"/>
        </w:rPr>
        <w:t>callConstructor</w:t>
      </w:r>
      <w:r>
        <w:rPr>
          <w:rFonts w:ascii="PingFang SC" w:hAnsi="PingFang SC" w:eastAsia="PingFang SC"/>
          <w:b w:val="0"/>
          <w:i w:val="0"/>
        </w:rPr>
        <w:t>。2 条告警聚合为一个 Case，远端模型完成分析，Validator 通过，未使用本地降级。</w:t>
      </w:r>
    </w:p>
    <w:p>
      <w:r>
        <w:rPr>
          <w:rFonts w:ascii="PingFang SC" w:hAnsi="PingFang SC" w:eastAsia="PingFang SC"/>
          <w:b w:val="0"/>
          <w:i w:val="0"/>
        </w:rPr>
        <w:t>该案例说明系统能从“接口被访问”推进到“危险表达式调用链已触达”的判断。由于缺少来源授权记录和主机副作用审计，结论保持人工复核，没有把靶场命名当作误报，也没有直接宣称攻击成功。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2. ProcessBuilder 命令执行</w:t>
      </w:r>
    </w:p>
    <w:p>
      <w:r>
        <w:rPr>
          <w:rFonts w:ascii="PingFang SC" w:hAnsi="PingFang SC" w:eastAsia="PingFang SC"/>
          <w:b w:val="0"/>
          <w:i w:val="0"/>
        </w:rPr>
        <w:t xml:space="preserve">同一命令执行 Case 聚合 7 条告警。请求参数和 body 均由 RASP 标记为 present，调用栈命中 </w:t>
      </w:r>
      <w:r>
        <w:rPr>
          <w:rFonts w:ascii="Menlo" w:hAnsi="Menlo" w:eastAsia="Menlo"/>
          <w:color w:val="0B1F2A"/>
          <w:sz w:val="17"/>
        </w:rPr>
        <w:t>java.lang.ProcessBuilder.start</w:t>
      </w:r>
      <w:r>
        <w:rPr>
          <w:rFonts w:ascii="PingFang SC" w:hAnsi="PingFang SC" w:eastAsia="PingFang SC"/>
          <w:b w:val="0"/>
          <w:i w:val="0"/>
        </w:rPr>
        <w:t>。处置台只保留一个当前审批轮次，避免同一活动产生 7 组重复措施。系统明确要求补充进程返回码、子进程和副作用审计后再决定处置。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 最新 TCP 告警</w:t>
      </w:r>
    </w:p>
    <w:p>
      <w:r>
        <w:rPr>
          <w:rFonts w:ascii="PingFang SC" w:hAnsi="PingFang SC" w:eastAsia="PingFang SC"/>
          <w:b w:val="0"/>
          <w:i w:val="0"/>
        </w:rPr>
        <w:t>目录枚举与 WebShell 两条最新 RASP 事件均经 TCP 到达，分别约 6.6 KiB 和 4.6 KiB，hook_data、stacktrace、原始字节数和双重 SHA-256 均已记录。POST 事件明确显示 body present；GET 事件显示 body missing，符合 HTTP 请求形态，不能误判为网关丢失。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647785"/>
          <w:sz w:val="17"/>
        </w:rPr>
        <w:t>代表案例证据链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五、项目价值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把外围命中提升为运行时证据。</w:t>
      </w:r>
      <w:r>
        <w:rPr>
          <w:rFonts w:ascii="PingFang SC" w:hAnsi="PingFang SC" w:eastAsia="PingFang SC"/>
          <w:b w:val="0"/>
          <w:i w:val="0"/>
        </w:rPr>
        <w:t xml:space="preserve"> RASP 能证明输入是否触达 </w:t>
      </w:r>
      <w:r>
        <w:rPr>
          <w:rFonts w:ascii="Menlo" w:hAnsi="Menlo" w:eastAsia="Menlo"/>
          <w:color w:val="0B1F2A"/>
          <w:sz w:val="17"/>
        </w:rPr>
        <w:t>ProcessBuilder</w:t>
      </w:r>
      <w:r>
        <w:rPr>
          <w:rFonts w:ascii="PingFang SC" w:hAnsi="PingFang SC" w:eastAsia="PingFang SC"/>
          <w:b w:val="0"/>
          <w:i w:val="0"/>
        </w:rPr>
        <w:t>、OGNL、JDBC、文件和类加载等危险调用，研判不再只依赖 URL 或关键字。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把模型回答变成可审计 Case。</w:t>
      </w:r>
      <w:r>
        <w:rPr>
          <w:rFonts w:ascii="PingFang SC" w:hAnsi="PingFang SC" w:eastAsia="PingFang SC"/>
          <w:b w:val="0"/>
          <w:i w:val="0"/>
        </w:rPr>
        <w:t xml:space="preserve"> 每个结论都能回到原始告警、归一化事件、模型运行、验证、审批和审计记录。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减少重复处置。</w:t>
      </w:r>
      <w:r>
        <w:rPr>
          <w:rFonts w:ascii="PingFang SC" w:hAnsi="PingFang SC" w:eastAsia="PingFang SC"/>
          <w:b w:val="0"/>
          <w:i w:val="0"/>
        </w:rPr>
        <w:t xml:space="preserve"> 同一攻击活动聚合到一个 Case，处置措施按安全运维顺序排列，历史轮次折叠保留。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控制模型风险。</w:t>
      </w:r>
      <w:r>
        <w:rPr>
          <w:rFonts w:ascii="PingFang SC" w:hAnsi="PingFang SC" w:eastAsia="PingFang SC"/>
          <w:b w:val="0"/>
          <w:i w:val="0"/>
        </w:rPr>
        <w:t xml:space="preserve"> 原始敏感字段不直接发送给模型；远端模型不可达时告警等待恢复，不静默换成本地口径；401/403 等配置错误进入 DLQ。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沉淀可治理经验。</w:t>
      </w:r>
      <w:r>
        <w:rPr>
          <w:rFonts w:ascii="PingFang SC" w:hAnsi="PingFang SC" w:eastAsia="PingFang SC"/>
          <w:b w:val="0"/>
          <w:i w:val="0"/>
        </w:rPr>
        <w:t xml:space="preserve"> 误报经验必须经过人工批准、范围和过期检查；危险 sink 可以否决错误记忆，避免白名单扩散。</w:t>
      </w:r>
    </w:p>
    <w:p>
      <w:pPr>
        <w:pStyle w:val="ListNumber"/>
      </w:pPr>
      <w:r>
        <w:rPr>
          <w:rFonts w:ascii="PingFang SC" w:hAnsi="PingFang SC" w:eastAsia="PingFang SC"/>
          <w:b/>
          <w:i w:val="0"/>
        </w:rPr>
        <w:t>为企业化接入保留清晰边界。</w:t>
      </w:r>
      <w:r>
        <w:rPr>
          <w:rFonts w:ascii="PingFang SC" w:hAnsi="PingFang SC" w:eastAsia="PingFang SC"/>
          <w:b w:val="0"/>
          <w:i w:val="0"/>
        </w:rPr>
        <w:t xml:space="preserve"> 当前批准不执行生产动作，后续可对接 IAM、工单和 SOAR，同时保留双人复核和回滚条件。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六、需要管理层关注的边界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事项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当前状态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高可用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单主机、单 Gateway、单 Vector、SQLite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主机故障或升级期间无法持续接入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传输保障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已使用 TCP；UDP 仍兼容开放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尚无发送端确认、mTLS relay 和双 Collector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企业身份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独立角色 Token、双人审批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尚未接 SSO/IAM 和职责分离审计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自动处置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只生成建议，批准后仍不执行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需要工单/SOAR 执行器和签名回写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模型质量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已完成真实链路验证和确定性门禁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尚无覆盖业务场景的私有盲测集和准确率基线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容量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已有队列容量、优先级、公平调度和磁盘保护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尚未完成生产流量压测和跨节点扩容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七、下一阶段建议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第一优先级：形成可试点的生产底座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PostgreSQL 保存 Case 和治理状态，消息队列承载告警流，原始大日志进入对象存储；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Gateway 与分析 Worker 分离扩容；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RASP Syslog 建立双 Collector、mTLS relay、来源白名单和发送确认；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接入企业 CA、SSO/IAM、Secrets 管理和集中审计。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第二优先级：建立质量与运营基线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以当前 RASP Case 建立脱敏 Golden Set，补充真实误报和证据不足样本；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统计最老等待时间、处理速率、LLM P95、失败类型、磁盘和 Collector 缓冲；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接入测试授权、CMDB、变更窗口和主机审计，减少无效人工复核。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第三优先级：接入处置闭环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将审批结果对接工单和 SOAR；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保留双人审批、职责分离、回滚条件和执行回写；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逐步建设跨产品攻击链和实体关联，不直接放开模型执行权限。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八、阶段判断</w:t>
      </w:r>
    </w:p>
    <w:p>
      <w:r>
        <w:rPr>
          <w:rFonts w:ascii="PingFang SC" w:hAnsi="PingFang SC" w:eastAsia="PingFang SC"/>
          <w:b w:val="0"/>
          <w:i w:val="0"/>
        </w:rPr>
        <w:t>当前项目已经证明三件事：RASP 运行时证据可以稳定进入 AI Defensive Agent；模型分析可以被证据、验证和审批约束；同类告警可以收敛为可追溯 Case。下一阶段的主要投入不应继续堆叠展示功能，而应集中在高可用数据底座、企业身份与处置系统、传输保障和真实质量评测。</w:t>
      </w:r>
    </w:p>
    <w:p>
      <w:r>
        <w:rPr>
          <w:rFonts w:ascii="PingFang SC" w:hAnsi="PingFang SC" w:eastAsia="PingFang SC"/>
          <w:b w:val="0"/>
          <w:i w:val="0"/>
        </w:rPr>
        <w:t>完成上述生产化工作后，系统可以从“联调演示平台”进入“受控安全运营辅助系统”试点。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47785"/>
        <w:sz w:val="16"/>
      </w:rPr>
      <w:t xml:space="preserve">内部阶段资料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24"/>
      <w:gridCol w:w="9241"/>
    </w:tblGrid>
    <w:tr>
      <w:tc>
        <w:tcPr>
          <w:tcW w:type="dxa" w:w="4932"/>
        </w:tcPr>
        <w:p>
          <w:r>
            <w:drawing>
              <wp:inline xmlns:a="http://schemas.openxmlformats.org/drawingml/2006/main" xmlns:pic="http://schemas.openxmlformats.org/drawingml/2006/picture">
                <wp:extent cx="259200" cy="259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ark-51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" cy="259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PingFang SC" w:hAnsi="PingFang SC" w:eastAsia="PingFang SC"/>
              <w:color w:val="647785"/>
              <w:sz w:val="17"/>
            </w:rPr>
            <w:t>AI Defensive Agent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PingFang SC" w:hAnsi="PingFang SC" w:eastAsia="PingFang SC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879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C85E4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B1F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PingFang SC" w:hAnsi="PingFang SC" w:eastAsia="PingFang SC"/>
      <w:b w:val="0"/>
      <w:i/>
      <w:iCs/>
      <w:color w:val="6477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27" w:right="227"/>
    </w:pPr>
    <w:rPr>
      <w:rFonts w:ascii="Menlo" w:hAnsi="Menlo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Defensive Agent</dc:title>
  <dc:subject>技术架构、RASP 联调与阶段评审</dc:subject>
  <dc:creator>AI Defensive Agent 项目组</dc:creator>
  <cp:keywords>RASP, BAS, AI Defensive Agent, 安全运营, Case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