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280"/>
        <w:jc w:val="center"/>
      </w:pPr>
      <w:r>
        <w:rPr>
          <w:rFonts w:ascii="Arial Unicode MS" w:hAnsi="Arial Unicode MS" w:eastAsia="Arial Unicode MS"/>
          <w:b/>
          <w:color w:val="17324D"/>
          <w:sz w:val="50"/>
        </w:rPr>
        <w:t>AI 安全告警研判与多层记忆工作流说明</w:t>
      </w:r>
    </w:p>
    <w:p>
      <w:pPr>
        <w:spacing w:after="520"/>
        <w:jc w:val="center"/>
      </w:pPr>
      <w:r>
        <w:rPr>
          <w:rFonts w:ascii="Arial Unicode MS" w:hAnsi="Arial Unicode MS" w:eastAsia="Arial Unicode MS"/>
          <w:b w:val="0"/>
          <w:color w:val="176B87"/>
          <w:sz w:val="26"/>
        </w:rPr>
        <w:t>从 Alert 接入、Gateway LLM 分析到研判摘要与 Memory 治理闭环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855"/>
            <w:shd w:fill="EEF4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6B87"/>
                <w:sz w:val="20"/>
              </w:rPr>
              <w:t>文档定位：</w:t>
            </w:r>
            <w:r>
              <w:rPr>
                <w:rFonts w:ascii="Arial Unicode MS" w:hAnsi="Arial Unicode MS" w:eastAsia="Arial Unicode MS"/>
                <w:b w:val="0"/>
                <w:color w:val="1D2730"/>
                <w:sz w:val="20"/>
              </w:rPr>
              <w:t>基于当前 Defensive AI Gateway Demo 的真实实现说明运行链路，明确 LLM、确定性组件、持久化队列和多层 Memory 各自承担的职责。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855"/>
            <w:shd w:fill="FFF7E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B36B00"/>
                <w:sz w:val="20"/>
              </w:rPr>
              <w:t>当前运行口径：</w:t>
            </w:r>
            <w:r>
              <w:rPr>
                <w:rFonts w:ascii="Arial Unicode MS" w:hAnsi="Arial Unicode MS" w:eastAsia="Arial Unicode MS"/>
                <w:b w:val="0"/>
                <w:color w:val="1D2730"/>
                <w:sz w:val="20"/>
              </w:rPr>
              <w:t>Demo 主模型路径为 Enterprise Gateway / claude-sonnet-4-6；Gateway 调用失败时才降级为本地启发式。可信 Demo 样本可由服务端结构化真值校正，普通 HTTP/Syslog 告警不能注入预期结论。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rFonts w:ascii="Arial Unicode MS" w:hAnsi="Arial Unicode MS" w:eastAsia="Arial Unicode MS"/>
          <w:b w:val="0"/>
          <w:color w:val="5F6B76"/>
          <w:sz w:val="19"/>
        </w:rPr>
        <w:t>版本 1.0  |  2026-07-15  |  架构与 Demo 工作流说明</w:t>
      </w:r>
    </w:p>
    <w:p>
      <w:r>
        <w:br w:type="page"/>
      </w:r>
    </w:p>
    <w:p>
      <w:pPr>
        <w:keepNext/>
        <w:spacing w:before="160" w:after="100"/>
        <w:ind w:left="0"/>
        <w:pBdr>
          <w:bottom w:val="single" w:sz="12" w:space="3" w:color="176B87"/>
        </w:pBdr>
      </w:pPr>
      <w:r>
        <w:rPr>
          <w:rFonts w:ascii="Arial Unicode MS" w:hAnsi="Arial Unicode MS" w:eastAsia="Arial Unicode MS"/>
          <w:b/>
          <w:color w:val="17324D"/>
          <w:sz w:val="32"/>
        </w:rPr>
        <w:t>一、核心结论与职责边界</w:t>
      </w:r>
    </w:p>
    <w:p>
      <w:pPr>
        <w:spacing w:after="80" w:line="283" w:lineRule="auto"/>
      </w:pPr>
      <w:r>
        <w:rPr>
          <w:rFonts w:ascii="Arial Unicode MS" w:hAnsi="Arial Unicode MS" w:eastAsia="Arial Unicode MS"/>
          <w:b w:val="0"/>
          <w:color w:val="1D2730"/>
          <w:sz w:val="21"/>
        </w:rPr>
        <w:t>分析处置台的“研判摘要”不是 LLM 原始文本的直接展示，而是由规范化证据、多层上下文、产品专属 Agent、Gateway LLM、MemoryMatcher 和 Validator 共同形成，并通过原子事务持久化后展示。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LLM 负责概率性理解与综合：识别攻击意图、证据强弱、业务影响、证据缺口和建议步骤。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Normalizer、Policy、MemoryMatcher、Validator 负责确定性约束：脱敏、证据锚定、历史模式评分、攻击证据否决、动作权限和输出契约检查。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Memory 不是自动训练模型，而是受治理的外部经验层；它只把批准、未过期且范围匹配的经验带入后续分析。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Gateway 只生成分析建议；高影响动作进入审批队列，当前 Demo 不执行封禁、隔离、策略变更或 SOAR 动作。</w:t>
      </w:r>
    </w:p>
    <w:p>
      <w:pPr>
        <w:keepNext/>
        <w:spacing w:before="100" w:after="100"/>
      </w:pPr>
      <w:r>
        <w:rPr>
          <w:rFonts w:ascii="Arial Unicode MS" w:hAnsi="Arial Unicode MS" w:eastAsia="Arial Unicode MS"/>
          <w:b/>
          <w:color w:val="176B87"/>
          <w:sz w:val="24"/>
        </w:rPr>
        <w:t>1.1 两类队列必须区分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队列</w:t>
            </w:r>
          </w:p>
        </w:tc>
        <w:tc>
          <w:tcPr>
            <w:tcW w:type="dxa" w:w="5329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969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核心状态</w:t>
            </w:r>
          </w:p>
        </w:tc>
        <w:tc>
          <w:tcPr>
            <w:tcW w:type="dxa" w:w="340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是否已经形成 Case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告警处理队列</w:t>
            </w:r>
          </w:p>
        </w:tc>
        <w:tc>
          <w:tcPr>
            <w:tcW w:type="dxa" w:w="532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HTTP/Syslog 已接收，但 Agent/LLM 尚未完成的工作项</w:t>
            </w:r>
          </w:p>
        </w:tc>
        <w:tc>
          <w:tcPr>
            <w:tcW w:type="dxa" w:w="396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pending / retry / processing</w:t>
            </w:r>
          </w:p>
        </w:tc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通常尚未形成完整 Case</w:t>
            </w:r>
          </w:p>
        </w:tc>
      </w:tr>
      <w:tr>
        <w:trPr>
          <w:cantSplit/>
        </w:trPr>
        <w:tc>
          <w:tcPr>
            <w:tcW w:type="dxa" w:w="238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处置审批队列</w:t>
            </w:r>
          </w:p>
        </w:tc>
        <w:tc>
          <w:tcPr>
            <w:tcW w:type="dxa" w:w="5329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Validator 通过后，对高影响建议生成的授权请求</w:t>
            </w:r>
          </w:p>
        </w:tc>
        <w:tc>
          <w:tcPr>
            <w:tcW w:type="dxa" w:w="3969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pending / approved / rejected / cancelled</w:t>
            </w:r>
          </w:p>
        </w:tc>
        <w:tc>
          <w:tcPr>
            <w:tcW w:type="dxa" w:w="340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是，关联既有 Case；但不代表已经执行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855"/>
            <w:shd w:fill="EEF4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6B87"/>
                <w:sz w:val="20"/>
              </w:rPr>
              <w:t>队列统计：</w:t>
            </w:r>
            <w:r>
              <w:rPr>
                <w:rFonts w:ascii="Arial Unicode MS" w:hAnsi="Arial Unicode MS" w:eastAsia="Arial Unicode MS"/>
                <w:b w:val="0"/>
                <w:color w:val="1D2730"/>
                <w:sz w:val="20"/>
              </w:rPr>
              <w:t>unfinished = pending + retry + processing；queued 表示等待 Worker，inflight 表示已经占用 Worker、正在执行 Agent/LLM 分析。分析完成并成功提交事务后，工作项才转为 completed。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100"/>
        <w:ind w:left="0"/>
        <w:pBdr>
          <w:bottom w:val="single" w:sz="12" w:space="3" w:color="176B87"/>
        </w:pBdr>
      </w:pPr>
      <w:r>
        <w:rPr>
          <w:rFonts w:ascii="Arial Unicode MS" w:hAnsi="Arial Unicode MS" w:eastAsia="Arial Unicode MS"/>
          <w:b/>
          <w:color w:val="17324D"/>
          <w:sz w:val="32"/>
        </w:rPr>
        <w:t>二、Alert 到研判摘要的端到端架构图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288000" cy="4934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-analysi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49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color w:val="5F6B76"/>
          <w:sz w:val="17"/>
        </w:rPr>
        <w:t>图 1  安全系统告警从接入、排队、证据标准化、上下文装配、Gateway 分析到处置台展示的完整链路</w:t>
      </w:r>
    </w:p>
    <w:p>
      <w:pPr>
        <w:spacing w:after="0"/>
        <w:jc w:val="center"/>
      </w:pPr>
      <w:r>
        <w:rPr>
          <w:rFonts w:ascii="Arial Unicode MS" w:hAnsi="Arial Unicode MS" w:eastAsia="Arial Unicode MS"/>
          <w:b w:val="0"/>
          <w:color w:val="17324D"/>
          <w:sz w:val="17"/>
        </w:rPr>
        <w:t>A4 横向固定布局  |  异常路径独立展示  |  图中文字不依赖 Word 文本框</w:t>
      </w:r>
    </w:p>
    <w:p>
      <w:r>
        <w:br w:type="page"/>
      </w:r>
    </w:p>
    <w:p>
      <w:pPr>
        <w:keepNext/>
        <w:spacing w:before="160" w:after="100"/>
        <w:ind w:left="0"/>
        <w:pBdr>
          <w:bottom w:val="single" w:sz="12" w:space="3" w:color="176B87"/>
        </w:pBdr>
      </w:pPr>
      <w:r>
        <w:rPr>
          <w:rFonts w:ascii="Arial Unicode MS" w:hAnsi="Arial Unicode MS" w:eastAsia="Arial Unicode MS"/>
          <w:b/>
          <w:color w:val="17324D"/>
          <w:sz w:val="32"/>
        </w:rPr>
        <w:t>三、中间环节参与分析的数据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103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核心数据</w:t>
            </w:r>
          </w:p>
        </w:tc>
        <w:tc>
          <w:tcPr>
            <w:tcW w:type="dxa" w:w="36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主要来源</w:t>
            </w:r>
          </w:p>
        </w:tc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如何影响研判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告警接入</w:t>
            </w:r>
          </w:p>
        </w:tc>
        <w:tc>
          <w:tcPr>
            <w:tcW w:type="dxa" w:w="51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alert_id、source、product、event_type、severity、timestamp、payload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HTTP / Syslog / Mapping Profile</w:t>
            </w:r>
          </w:p>
        </w:tc>
        <w:tc>
          <w:tcPr>
            <w:tcW w:type="dxa" w:w="453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确定幂等键、产品 Agent、初始严重度和原始事实</w:t>
            </w:r>
          </w:p>
        </w:tc>
      </w:tr>
      <w:tr>
        <w:trPr>
          <w:cantSplit/>
        </w:trPr>
        <w:tc>
          <w:tcPr>
            <w:tcW w:type="dxa" w:w="1814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实体提取</w:t>
            </w:r>
          </w:p>
        </w:tc>
        <w:tc>
          <w:tcPr>
            <w:tcW w:type="dxa" w:w="5103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host、user、src/dst IP、URL、process、rule、app、method、action</w:t>
            </w:r>
          </w:p>
        </w:tc>
        <w:tc>
          <w:tcPr>
            <w:tcW w:type="dxa" w:w="3628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脱敏后的告警 payload</w:t>
            </w:r>
          </w:p>
        </w:tc>
        <w:tc>
          <w:tcPr>
            <w:tcW w:type="dxa" w:w="4536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用于 Case 聚合、资产画像、跨产品关联和 Memory 特征匹配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结构化证据</w:t>
            </w:r>
          </w:p>
        </w:tc>
        <w:tc>
          <w:tcPr>
            <w:tcW w:type="dxa" w:w="51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规则、进程链、命令行、调用栈、URI、命中参数、网络指纹、产品动作等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EventNormalizer</w:t>
            </w:r>
          </w:p>
        </w:tc>
        <w:tc>
          <w:tcPr>
            <w:tcW w:type="dxa" w:w="453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作为 LLM 与 Validator 的事实基础；证据引用带哈希且不可覆盖</w:t>
            </w:r>
          </w:p>
        </w:tc>
      </w:tr>
      <w:tr>
        <w:trPr>
          <w:cantSplit/>
        </w:trPr>
        <w:tc>
          <w:tcPr>
            <w:tcW w:type="dxa" w:w="1814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Case 上下文</w:t>
            </w:r>
          </w:p>
        </w:tc>
        <w:tc>
          <w:tcPr>
            <w:tcW w:type="dxa" w:w="5103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同产品、同资产/来源、同规则/事件类型</w:t>
            </w:r>
          </w:p>
        </w:tc>
        <w:tc>
          <w:tcPr>
            <w:tcW w:type="dxa" w:w="3628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一小时 Case 关联窗口</w:t>
            </w:r>
          </w:p>
        </w:tc>
        <w:tc>
          <w:tcPr>
            <w:tcW w:type="dxa" w:w="4536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把重复告警归并为连续事件，避免每条告警孤立分析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跨产品上下文</w:t>
            </w:r>
          </w:p>
        </w:tc>
        <w:tc>
          <w:tcPr>
            <w:tcW w:type="dxa" w:w="51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15 分钟内共享主机、IP、账号、应用的其他产品事件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normalized_events</w:t>
            </w:r>
          </w:p>
        </w:tc>
        <w:tc>
          <w:tcPr>
            <w:tcW w:type="dxa" w:w="453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补充攻击链线索；当前是上下文增强，不等同完整攻击图谱</w:t>
            </w:r>
          </w:p>
        </w:tc>
      </w:tr>
      <w:tr>
        <w:trPr>
          <w:cantSplit/>
        </w:trPr>
        <w:tc>
          <w:tcPr>
            <w:tcW w:type="dxa" w:w="1814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多层 Memory</w:t>
            </w:r>
          </w:p>
        </w:tc>
        <w:tc>
          <w:tcPr>
            <w:tcW w:type="dxa" w:w="5103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Case 短期、产品长期、资产画像、组织知识、证据引用</w:t>
            </w:r>
          </w:p>
        </w:tc>
        <w:tc>
          <w:tcPr>
            <w:tcW w:type="dxa" w:w="3628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memory_entries + normalized evidence</w:t>
            </w:r>
          </w:p>
        </w:tc>
        <w:tc>
          <w:tcPr>
            <w:tcW w:type="dxa" w:w="4536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补充历史经验、业务基线、处置规范和可追溯证据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Agent 约束</w:t>
            </w:r>
          </w:p>
        </w:tc>
        <w:tc>
          <w:tcPr>
            <w:tcW w:type="dxa" w:w="51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产品分析重点、报告结构、Skill、只读工具边界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Agent / Skill Registry</w:t>
            </w:r>
          </w:p>
        </w:tc>
        <w:tc>
          <w:tcPr>
            <w:tcW w:type="dxa" w:w="453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确保 WAF、RASP、HIPS、NDR、SIEM 使用不同分析视角</w:t>
            </w:r>
          </w:p>
        </w:tc>
      </w:tr>
      <w:tr>
        <w:trPr>
          <w:cantSplit/>
        </w:trPr>
        <w:tc>
          <w:tcPr>
            <w:tcW w:type="dxa" w:w="1814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模型与门禁</w:t>
            </w:r>
          </w:p>
        </w:tc>
        <w:tc>
          <w:tcPr>
            <w:tcW w:type="dxa" w:w="5103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LLM JSON、匹配评分、Validator findings、审批请求</w:t>
            </w:r>
          </w:p>
        </w:tc>
        <w:tc>
          <w:tcPr>
            <w:tcW w:type="dxa" w:w="3628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Gateway + MemoryMatcher + Validator</w:t>
            </w:r>
          </w:p>
        </w:tc>
        <w:tc>
          <w:tcPr>
            <w:tcW w:type="dxa" w:w="4536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形成最终分类、置信度、摘要、证据缺口和受控处置建议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00" w:after="100"/>
      </w:pPr>
      <w:r>
        <w:rPr>
          <w:rFonts w:ascii="Arial Unicode MS" w:hAnsi="Arial Unicode MS" w:eastAsia="Arial Unicode MS"/>
          <w:b/>
          <w:color w:val="176B87"/>
          <w:sz w:val="24"/>
        </w:rPr>
        <w:t>3.1 研判摘要的形成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855"/>
            <w:shd w:fill="EEF4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6B87"/>
                <w:sz w:val="20"/>
              </w:rPr>
              <w:t>摘要公式：</w:t>
            </w:r>
            <w:r>
              <w:rPr>
                <w:rFonts w:ascii="Arial Unicode MS" w:hAnsi="Arial Unicode MS" w:eastAsia="Arial Unicode MS"/>
                <w:b w:val="0"/>
                <w:color w:val="1D2730"/>
                <w:sz w:val="20"/>
              </w:rPr>
              <w:t>研判结论 + 产品/事件类型 + classification/confidence + 关键实体 + 核心证据 + 业务影响。最终字段写入 cases.summary；完整 reason、分析维度、证据缺口和建议动作保存在 agent_runs。</w:t>
            </w:r>
          </w:p>
        </w:tc>
      </w:tr>
    </w:tbl>
    <w:p>
      <w:pPr>
        <w:spacing w:after="0"/>
      </w:pP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Gateway 失败：切换 LocalHeuristicLLM，并在摘要前增加“LLM 降级为本地启发式”标记。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命中批准的长期误报记忆：摘要可增加“误报记忆关联”标记，并保留匹配得分与命中特征。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Validator 为 review/blocked：结果仍可见，但不生成审批请求，也不写入可供后续消费的新 Memory。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可信 Demo 样本：服务端标记的 expected_verdict 可覆盖模型分类并留下 ground_truth_override；真实外部告警不会接受该字段。</w:t>
      </w:r>
    </w:p>
    <w:p>
      <w:pPr>
        <w:keepNext/>
        <w:spacing w:before="100" w:after="100"/>
      </w:pPr>
      <w:r>
        <w:rPr>
          <w:rFonts w:ascii="Arial Unicode MS" w:hAnsi="Arial Unicode MS" w:eastAsia="Arial Unicode MS"/>
          <w:b/>
          <w:color w:val="176B87"/>
          <w:sz w:val="24"/>
        </w:rPr>
        <w:t>3.2 处置台关键字段来自哪里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340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处置台字段</w:t>
            </w:r>
          </w:p>
        </w:tc>
        <w:tc>
          <w:tcPr>
            <w:tcW w:type="dxa" w:w="5273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生成位置</w:t>
            </w:r>
          </w:p>
        </w:tc>
        <w:tc>
          <w:tcPr>
            <w:tcW w:type="dxa" w:w="992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研判摘要 summary</w:t>
            </w:r>
          </w:p>
        </w:tc>
        <w:tc>
          <w:tcPr>
            <w:tcW w:type="dxa" w:w="527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SecurityAgent._summary + MemoryMatcher</w:t>
            </w:r>
          </w:p>
        </w:tc>
        <w:tc>
          <w:tcPr>
            <w:tcW w:type="dxa" w:w="992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面向列表扫描的短摘要；可能带降级或记忆关联标记</w:t>
            </w:r>
          </w:p>
        </w:tc>
      </w:tr>
      <w:tr>
        <w:trPr>
          <w:cantSplit/>
        </w:trPr>
        <w:tc>
          <w:tcPr>
            <w:tcW w:type="dxa" w:w="340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研判结论 verdict</w:t>
            </w:r>
          </w:p>
        </w:tc>
        <w:tc>
          <w:tcPr>
            <w:tcW w:type="dxa" w:w="5273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LLM JSON，经 Agent 归一与证据锚定</w:t>
            </w:r>
          </w:p>
        </w:tc>
        <w:tc>
          <w:tcPr>
            <w:tcW w:type="dxa" w:w="992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限定为真实攻击、误报或需人工复核三类格式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分析维度 dimensions</w:t>
            </w:r>
          </w:p>
        </w:tc>
        <w:tc>
          <w:tcPr>
            <w:tcW w:type="dxa" w:w="527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产品 Agent + LLM；必要时从规范化证据补全</w:t>
            </w:r>
          </w:p>
        </w:tc>
        <w:tc>
          <w:tcPr>
            <w:tcW w:type="dxa" w:w="992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按产品报告结构组织，不重复完整 payload</w:t>
            </w:r>
          </w:p>
        </w:tc>
      </w:tr>
      <w:tr>
        <w:trPr>
          <w:cantSplit/>
        </w:trPr>
        <w:tc>
          <w:tcPr>
            <w:tcW w:type="dxa" w:w="340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建议动作 actions</w:t>
            </w:r>
          </w:p>
        </w:tc>
        <w:tc>
          <w:tcPr>
            <w:tcW w:type="dxa" w:w="5273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Agent + Policy + ResponseAdvisor</w:t>
            </w:r>
          </w:p>
        </w:tc>
        <w:tc>
          <w:tcPr>
            <w:tcW w:type="dxa" w:w="992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只读动作可直接建议；高影响动作只能生成审批请求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验证状态 validation</w:t>
            </w:r>
          </w:p>
        </w:tc>
        <w:tc>
          <w:tcPr>
            <w:tcW w:type="dxa" w:w="527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非 LLM Validator</w:t>
            </w:r>
          </w:p>
        </w:tc>
        <w:tc>
          <w:tcPr>
            <w:tcW w:type="dxa" w:w="992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检查证据一致性、敏感输出、提示注入、动作策略和 Skill 边界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100"/>
        <w:ind w:left="0"/>
        <w:pBdr>
          <w:bottom w:val="single" w:sz="12" w:space="3" w:color="176B87"/>
        </w:pBdr>
      </w:pPr>
      <w:r>
        <w:rPr>
          <w:rFonts w:ascii="Arial Unicode MS" w:hAnsi="Arial Unicode MS" w:eastAsia="Arial Unicode MS"/>
          <w:b/>
          <w:color w:val="17324D"/>
          <w:sz w:val="32"/>
        </w:rPr>
        <w:t>四、多层 Memory 读取、写入与治理架构图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288000" cy="522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layer-memory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52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color w:val="5F6B76"/>
          <w:sz w:val="17"/>
        </w:rPr>
        <w:t>图 2  四层记忆加一层只读证据在推理、后置校正、人工反馈、晋升与治理中的工作流</w:t>
      </w:r>
    </w:p>
    <w:p>
      <w:pPr>
        <w:spacing w:after="0"/>
        <w:jc w:val="center"/>
      </w:pPr>
      <w:r>
        <w:rPr>
          <w:rFonts w:ascii="Arial Unicode MS" w:hAnsi="Arial Unicode MS" w:eastAsia="Arial Unicode MS"/>
          <w:b w:val="0"/>
          <w:color w:val="17324D"/>
          <w:sz w:val="17"/>
        </w:rPr>
        <w:t>读取链路与写入链路分离  |  攻击证据可否决误报记忆  |  批准经验才允许回流</w:t>
      </w:r>
    </w:p>
    <w:p>
      <w:r>
        <w:br w:type="page"/>
      </w:r>
    </w:p>
    <w:p>
      <w:pPr>
        <w:keepNext/>
        <w:spacing w:before="160" w:after="100"/>
        <w:ind w:left="0"/>
        <w:pBdr>
          <w:bottom w:val="single" w:sz="12" w:space="3" w:color="176B87"/>
        </w:pBdr>
      </w:pPr>
      <w:r>
        <w:rPr>
          <w:rFonts w:ascii="Arial Unicode MS" w:hAnsi="Arial Unicode MS" w:eastAsia="Arial Unicode MS"/>
          <w:b/>
          <w:color w:val="17324D"/>
          <w:sz w:val="32"/>
        </w:rPr>
        <w:t>五、各层 Memory 的角色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3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855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主要角色</w:t>
            </w:r>
          </w:p>
        </w:tc>
        <w:tc>
          <w:tcPr>
            <w:tcW w:type="dxa" w:w="26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检索范围</w:t>
            </w:r>
          </w:p>
        </w:tc>
        <w:tc>
          <w:tcPr>
            <w:tcW w:type="dxa" w:w="4139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信任与生命周期</w:t>
            </w:r>
          </w:p>
        </w:tc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对准确性的贡献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case_short_term</w:t>
            </w:r>
          </w:p>
        </w:tc>
        <w:tc>
          <w:tcPr>
            <w:tcW w:type="dxa" w:w="385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保存当前 Case 最近一次结论、证据缺口和解释</w:t>
            </w:r>
          </w:p>
        </w:tc>
        <w:tc>
          <w:tcPr>
            <w:tcW w:type="dxa" w:w="260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case/{case_id}</w:t>
            </w:r>
          </w:p>
        </w:tc>
        <w:tc>
          <w:tcPr>
            <w:tcW w:type="dxa" w:w="4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low；active；24h TTL；Case 关闭后归档</w:t>
            </w:r>
          </w:p>
        </w:tc>
        <w:tc>
          <w:tcPr>
            <w:tcW w:type="dxa" w:w="453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保持多告警 Case 的分析连续性，减少重复推理</w:t>
            </w:r>
          </w:p>
        </w:tc>
      </w:tr>
      <w:tr>
        <w:trPr>
          <w:cantSplit/>
        </w:trPr>
        <w:tc>
          <w:tcPr>
            <w:tcW w:type="dxa" w:w="2324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product_long_term</w:t>
            </w:r>
          </w:p>
        </w:tc>
        <w:tc>
          <w:tcPr>
            <w:tcW w:type="dxa" w:w="3855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保存可复用的产品经验，当前重点是人工确认的误报模式</w:t>
            </w:r>
          </w:p>
        </w:tc>
        <w:tc>
          <w:tcPr>
            <w:tcW w:type="dxa" w:w="2608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product/{product}</w:t>
            </w:r>
          </w:p>
        </w:tc>
        <w:tc>
          <w:tcPr>
            <w:tcW w:type="dxa" w:w="4139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pending 候选不生效；批准后 medium/high；必须设置范围与有效期</w:t>
            </w:r>
          </w:p>
        </w:tc>
        <w:tc>
          <w:tcPr>
            <w:tcW w:type="dxa" w:w="4536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降低同规则、同路径、同客户端等重复业务误报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asset_profile</w:t>
            </w:r>
          </w:p>
        </w:tc>
        <w:tc>
          <w:tcPr>
            <w:tcW w:type="dxa" w:w="385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保存主机、应用或来源 IP 的近期行为和最近结论</w:t>
            </w:r>
          </w:p>
        </w:tc>
        <w:tc>
          <w:tcPr>
            <w:tcW w:type="dxa" w:w="260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asset/{asset_id}</w:t>
            </w:r>
          </w:p>
        </w:tc>
        <w:tc>
          <w:tcPr>
            <w:tcW w:type="dxa" w:w="4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low；季度复核；当前主要由事件派生</w:t>
            </w:r>
          </w:p>
        </w:tc>
        <w:tc>
          <w:tcPr>
            <w:tcW w:type="dxa" w:w="453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为模型提供同资产历史背景，但不直接覆盖当前证据</w:t>
            </w:r>
          </w:p>
        </w:tc>
      </w:tr>
      <w:tr>
        <w:trPr>
          <w:cantSplit/>
        </w:trPr>
        <w:tc>
          <w:tcPr>
            <w:tcW w:type="dxa" w:w="2324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org_knowledge</w:t>
            </w:r>
          </w:p>
        </w:tc>
        <w:tc>
          <w:tcPr>
            <w:tcW w:type="dxa" w:w="3855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事件分级、Playbook、审批链和沟通规范</w:t>
            </w:r>
          </w:p>
        </w:tc>
        <w:tc>
          <w:tcPr>
            <w:tcW w:type="dxa" w:w="2608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org/{scope}</w:t>
            </w:r>
          </w:p>
        </w:tc>
        <w:tc>
          <w:tcPr>
            <w:tcW w:type="dxa" w:w="4139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high；由安全治理团队维护；Agent 不得自动改写</w:t>
            </w:r>
          </w:p>
        </w:tc>
        <w:tc>
          <w:tcPr>
            <w:tcW w:type="dxa" w:w="4536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统一不同 Agent 的判断尺度和处置边界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6"/>
              </w:rPr>
              <w:t>evidence_refs</w:t>
            </w:r>
          </w:p>
        </w:tc>
        <w:tc>
          <w:tcPr>
            <w:tcW w:type="dxa" w:w="385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不可变、脱敏的证据引用与摘要</w:t>
            </w:r>
          </w:p>
        </w:tc>
        <w:tc>
          <w:tcPr>
            <w:tcW w:type="dxa" w:w="260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Case 关联证据</w:t>
            </w:r>
          </w:p>
        </w:tc>
        <w:tc>
          <w:tcPr>
            <w:tcW w:type="dxa" w:w="413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只读；带 evidence_hash；Agent 无写权限</w:t>
            </w:r>
          </w:p>
        </w:tc>
        <w:tc>
          <w:tcPr>
            <w:tcW w:type="dxa" w:w="453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6"/>
              </w:rPr>
              <w:t>保证结论能够回到事实来源，防止 Memory 或模型自证</w:t>
            </w:r>
          </w:p>
        </w:tc>
      </w:tr>
    </w:tbl>
    <w:p>
      <w:pPr>
        <w:spacing w:after="0"/>
      </w:pPr>
    </w:p>
    <w:p>
      <w:pPr>
        <w:keepNext/>
        <w:spacing w:before="100" w:after="100"/>
      </w:pPr>
      <w:r>
        <w:rPr>
          <w:rFonts w:ascii="Arial Unicode MS" w:hAnsi="Arial Unicode MS" w:eastAsia="Arial Unicode MS"/>
          <w:b/>
          <w:color w:val="176B87"/>
          <w:sz w:val="24"/>
        </w:rPr>
        <w:t>5.1 产品长期记忆的混合匹配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855"/>
            <w:shd w:fill="EEF4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6B87"/>
                <w:sz w:val="20"/>
              </w:rPr>
              <w:t>默认评分：</w:t>
            </w:r>
            <w:r>
              <w:rPr>
                <w:rFonts w:ascii="Arial Unicode MS" w:hAnsi="Arial Unicode MS" w:eastAsia="Arial Unicode MS"/>
                <w:b w:val="0"/>
                <w:color w:val="1D2730"/>
                <w:sz w:val="20"/>
              </w:rPr>
              <w:t>overall = 0.68 × structured + 0.22 × semantic_vector + 0.10 × retrieval_key。默认 review_threshold=0.58，apply_threshold=0.78。规则 ID 或事件类型冲突会额外扣分。</w:t>
            </w:r>
          </w:p>
        </w:tc>
      </w:tr>
    </w:tbl>
    <w:p>
      <w:pPr>
        <w:spacing w:after="0"/>
      </w:pP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候选必须同时满足 active、medium/high trust、approved_by 非空、未过期、敏感性检查通过、产品命名空间和 scope 匹配。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0.58 至 0.78：只作为复核上下文，不确定性仍交给模型和分析师。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达到应用阈值：可以强化 benign，或把 malicious/suspicious 降为 benign；但当前告警存在可核验攻击载荷或命令执行证据时，攻击证据拥有否决权。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所有候选的结构化分、语义分、检索键分、排名、命中特征和最终影响均写入 memory_matches。</w:t>
      </w:r>
    </w:p>
    <w:p>
      <w:r>
        <w:br w:type="page"/>
      </w:r>
    </w:p>
    <w:p>
      <w:pPr>
        <w:keepNext/>
        <w:spacing w:before="160" w:after="100"/>
        <w:ind w:left="0"/>
        <w:pBdr>
          <w:bottom w:val="single" w:sz="12" w:space="3" w:color="176B87"/>
        </w:pBdr>
      </w:pPr>
      <w:r>
        <w:rPr>
          <w:rFonts w:ascii="Arial Unicode MS" w:hAnsi="Arial Unicode MS" w:eastAsia="Arial Unicode MS"/>
          <w:b/>
          <w:color w:val="17324D"/>
          <w:sz w:val="32"/>
        </w:rPr>
        <w:t>六、Memory 如何持续提升分析准确性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闭环步骤</w:t>
            </w:r>
          </w:p>
        </w:tc>
        <w:tc>
          <w:tcPr>
            <w:tcW w:type="dxa" w:w="7541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7541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控制点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1. 形成分析结果</w:t>
            </w:r>
          </w:p>
        </w:tc>
        <w:tc>
          <w:tcPr>
            <w:tcW w:type="dxa" w:w="75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当前证据 + 多层上下文经 Agent/Gateway 生成结构化结论</w:t>
            </w:r>
          </w:p>
        </w:tc>
        <w:tc>
          <w:tcPr>
            <w:tcW w:type="dxa" w:w="75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结果必须通过输出契约和证据锚定</w:t>
            </w:r>
          </w:p>
        </w:tc>
      </w:tr>
      <w:tr>
        <w:trPr>
          <w:cantSplit/>
        </w:trPr>
        <w:tc>
          <w:tcPr>
            <w:tcW w:type="dxa" w:w="238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2. 写入候选</w:t>
            </w:r>
          </w:p>
        </w:tc>
        <w:tc>
          <w:tcPr>
            <w:tcW w:type="dxa" w:w="754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Validator passed 后写入 Case 短期记忆、长期候选和资产画像</w:t>
            </w:r>
          </w:p>
        </w:tc>
        <w:tc>
          <w:tcPr>
            <w:tcW w:type="dxa" w:w="754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review/blocked 不允许污染可消费记忆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3. 人工反馈</w:t>
            </w:r>
          </w:p>
        </w:tc>
        <w:tc>
          <w:tcPr>
            <w:tcW w:type="dxa" w:w="75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分析师可逐告警确认业务误报，系统提取稳定匹配特征</w:t>
            </w:r>
          </w:p>
        </w:tc>
        <w:tc>
          <w:tcPr>
            <w:tcW w:type="dxa" w:w="75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记录操作人、理由、Case、Alert 和证据引用</w:t>
            </w:r>
          </w:p>
        </w:tc>
      </w:tr>
      <w:tr>
        <w:trPr>
          <w:cantSplit/>
        </w:trPr>
        <w:tc>
          <w:tcPr>
            <w:tcW w:type="dxa" w:w="238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4. 五项晋升</w:t>
            </w:r>
          </w:p>
        </w:tc>
        <w:tc>
          <w:tcPr>
            <w:tcW w:type="dxa" w:w="754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证据可追溯、人工批准、范围明确、设置有效期、无敏感泄露</w:t>
            </w:r>
          </w:p>
        </w:tc>
        <w:tc>
          <w:tcPr>
            <w:tcW w:type="dxa" w:w="754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任一门禁失败则保持不生效或被拒绝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5. 后续召回</w:t>
            </w:r>
          </w:p>
        </w:tc>
        <w:tc>
          <w:tcPr>
            <w:tcW w:type="dxa" w:w="75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新告警到达时对批准记忆混合评分，只注入 Top-K</w:t>
            </w:r>
          </w:p>
        </w:tc>
        <w:tc>
          <w:tcPr>
            <w:tcW w:type="dxa" w:w="75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过期、撤销、隔离、低信任记忆不会参与</w:t>
            </w:r>
          </w:p>
        </w:tc>
      </w:tr>
      <w:tr>
        <w:trPr>
          <w:cantSplit/>
        </w:trPr>
        <w:tc>
          <w:tcPr>
            <w:tcW w:type="dxa" w:w="238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6. 确定性校正</w:t>
            </w:r>
          </w:p>
        </w:tc>
        <w:tc>
          <w:tcPr>
            <w:tcW w:type="dxa" w:w="754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高分误报记忆参与降噪，当前攻击证据可否决</w:t>
            </w:r>
          </w:p>
        </w:tc>
        <w:tc>
          <w:tcPr>
            <w:tcW w:type="dxa" w:w="754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Memory 不得无条件覆盖当前证据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8"/>
              </w:rPr>
              <w:t>7. 审计与回归</w:t>
            </w:r>
          </w:p>
        </w:tc>
        <w:tc>
          <w:tcPr>
            <w:tcW w:type="dxa" w:w="75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memory_matches、memory_events 和 Harness 保留可复核轨迹</w:t>
            </w:r>
          </w:p>
        </w:tc>
        <w:tc>
          <w:tcPr>
            <w:tcW w:type="dxa" w:w="75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8"/>
              </w:rPr>
              <w:t>便于离线调整 Prompt、权重和阈值</w:t>
            </w:r>
          </w:p>
        </w:tc>
      </w:tr>
    </w:tbl>
    <w:p>
      <w:pPr>
        <w:spacing w:after="0"/>
      </w:pPr>
    </w:p>
    <w:p>
      <w:pPr>
        <w:keepNext/>
        <w:spacing w:before="100" w:after="100"/>
      </w:pPr>
      <w:r>
        <w:rPr>
          <w:rFonts w:ascii="Arial Unicode MS" w:hAnsi="Arial Unicode MS" w:eastAsia="Arial Unicode MS"/>
          <w:b/>
          <w:color w:val="176B87"/>
          <w:sz w:val="24"/>
        </w:rPr>
        <w:t>6.0 准确性提升的真实边界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当前闭环首先提升重复误报识别和解释一致性，而不是让模型在线更新权重。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Memory 只有在范围、有效期和当前证据同时成立时才允许影响分类；模型或历史记忆都不能单独证明结论。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准确率是否真正提升，应由带分析师标签的离线样本集和 Harness 回归验证，而不能只看 Demo 最终分类。</w:t>
      </w:r>
    </w:p>
    <w:p>
      <w:r>
        <w:br w:type="page"/>
      </w:r>
    </w:p>
    <w:p>
      <w:pPr>
        <w:keepNext/>
        <w:spacing w:before="100" w:after="100"/>
      </w:pPr>
      <w:r>
        <w:rPr>
          <w:rFonts w:ascii="Arial Unicode MS" w:hAnsi="Arial Unicode MS" w:eastAsia="Arial Unicode MS"/>
          <w:b/>
          <w:color w:val="176B87"/>
          <w:sz w:val="24"/>
        </w:rPr>
        <w:t>6.1 当前能力与后续增强必须区分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257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 Demo</w:t>
            </w:r>
          </w:p>
        </w:tc>
        <w:tc>
          <w:tcPr>
            <w:tcW w:type="dxa" w:w="78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生产化增强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已经实现</w:t>
            </w:r>
          </w:p>
        </w:tc>
        <w:tc>
          <w:tcPr>
            <w:tcW w:type="dxa" w:w="725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人工误报反馈、五项晋升门禁、到期/隔离/撤销/恢复、混合匹配、攻击证据否决、全链路审计</w:t>
            </w:r>
          </w:p>
        </w:tc>
        <w:tc>
          <w:tcPr>
            <w:tcW w:type="dxa" w:w="78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扩大样本覆盖并进行业务阈值校准</w:t>
            </w:r>
          </w:p>
        </w:tc>
      </w:tr>
      <w:tr>
        <w:trPr>
          <w:cantSplit/>
        </w:trPr>
        <w:tc>
          <w:tcPr>
            <w:tcW w:type="dxa" w:w="238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主要收益</w:t>
            </w:r>
          </w:p>
        </w:tc>
        <w:tc>
          <w:tcPr>
            <w:tcW w:type="dxa" w:w="7257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减少重复业务误报和重复人工研判；增强解释一致性</w:t>
            </w:r>
          </w:p>
        </w:tc>
        <w:tc>
          <w:tcPr>
            <w:tcW w:type="dxa" w:w="7824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进一步覆盖真实攻击确认、漏报反馈和跨产品攻击链学习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尚未实现</w:t>
            </w:r>
          </w:p>
        </w:tc>
        <w:tc>
          <w:tcPr>
            <w:tcW w:type="dxa" w:w="725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不会在线更新模型权重，也不会自动把所有分析结果当作长期事实</w:t>
            </w:r>
          </w:p>
        </w:tc>
        <w:tc>
          <w:tcPr>
            <w:tcW w:type="dxa" w:w="78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建设分析师标签体系、Golden Set、定期离线评估和受控发布流程</w:t>
            </w:r>
          </w:p>
        </w:tc>
      </w:tr>
      <w:tr>
        <w:trPr>
          <w:cantSplit/>
        </w:trPr>
        <w:tc>
          <w:tcPr>
            <w:tcW w:type="dxa" w:w="2381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生产数据源</w:t>
            </w:r>
          </w:p>
        </w:tc>
        <w:tc>
          <w:tcPr>
            <w:tcW w:type="dxa" w:w="7257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资产画像主要由告警事件派生；组织知识为治理种子</w:t>
            </w:r>
          </w:p>
        </w:tc>
        <w:tc>
          <w:tcPr>
            <w:tcW w:type="dxa" w:w="7824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接入 CMDB/IAM/工单/企业知识库及 Embedding/向量库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855"/>
            <w:shd w:fill="FFF7E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B36B00"/>
                <w:sz w:val="20"/>
              </w:rPr>
              <w:t>产品原则：</w:t>
            </w:r>
            <w:r>
              <w:rPr>
                <w:rFonts w:ascii="Arial Unicode MS" w:hAnsi="Arial Unicode MS" w:eastAsia="Arial Unicode MS"/>
                <w:b w:val="0"/>
                <w:color w:val="1D2730"/>
                <w:sz w:val="20"/>
              </w:rPr>
              <w:t>持续提升不等于自动自学习。正确路线是“人确认 → 受控晋升 → 可解释检索 → 确定性校正 → 离线评估 → 受控发布”，避免错误结论、过期经验或提示注入进入长期记忆后被持续放大。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100"/>
        <w:ind w:left="0"/>
        <w:pBdr>
          <w:bottom w:val="single" w:sz="12" w:space="3" w:color="176B87"/>
        </w:pBdr>
      </w:pPr>
      <w:r>
        <w:rPr>
          <w:rFonts w:ascii="Arial Unicode MS" w:hAnsi="Arial Unicode MS" w:eastAsia="Arial Unicode MS"/>
          <w:b/>
          <w:color w:val="17324D"/>
          <w:sz w:val="32"/>
        </w:rPr>
        <w:t>七、数据落库与处置台展示映射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340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存储对象</w:t>
            </w:r>
          </w:p>
        </w:tc>
        <w:tc>
          <w:tcPr>
            <w:tcW w:type="dxa" w:w="720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686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处置台用途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alert_inbox</w:t>
            </w:r>
          </w:p>
        </w:tc>
        <w:tc>
          <w:tcPr>
            <w:tcW w:type="dxa" w:w="72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告警处理状态、尝试次数、下一次重试时间、错误信息</w:t>
            </w:r>
          </w:p>
        </w:tc>
        <w:tc>
          <w:tcPr>
            <w:tcW w:type="dxa" w:w="686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待处理、分析中、失败和 Dead Letter 统计</w:t>
            </w:r>
          </w:p>
        </w:tc>
      </w:tr>
      <w:tr>
        <w:trPr>
          <w:cantSplit/>
        </w:trPr>
        <w:tc>
          <w:tcPr>
            <w:tcW w:type="dxa" w:w="340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raw_alerts</w:t>
            </w:r>
          </w:p>
        </w:tc>
        <w:tc>
          <w:tcPr>
            <w:tcW w:type="dxa" w:w="720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首次接收的原始告警</w:t>
            </w:r>
          </w:p>
        </w:tc>
        <w:tc>
          <w:tcPr>
            <w:tcW w:type="dxa" w:w="686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原始日志查看和重放依据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normalized_events</w:t>
            </w:r>
          </w:p>
        </w:tc>
        <w:tc>
          <w:tcPr>
            <w:tcW w:type="dxa" w:w="72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实体、结构化证据、敏感标签、evidence_hash</w:t>
            </w:r>
          </w:p>
        </w:tc>
        <w:tc>
          <w:tcPr>
            <w:tcW w:type="dxa" w:w="686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证据列表、实体信息和可追溯性</w:t>
            </w:r>
          </w:p>
        </w:tc>
      </w:tr>
      <w:tr>
        <w:trPr>
          <w:cantSplit/>
        </w:trPr>
        <w:tc>
          <w:tcPr>
            <w:tcW w:type="dxa" w:w="340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cases</w:t>
            </w:r>
          </w:p>
        </w:tc>
        <w:tc>
          <w:tcPr>
            <w:tcW w:type="dxa" w:w="720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classification、confidence、severity、status、summary</w:t>
            </w:r>
          </w:p>
        </w:tc>
        <w:tc>
          <w:tcPr>
            <w:tcW w:type="dxa" w:w="686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Case 列表和“研判摘要”主字段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agent_runs</w:t>
            </w:r>
          </w:p>
        </w:tc>
        <w:tc>
          <w:tcPr>
            <w:tcW w:type="dxa" w:w="72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完整 AgentResult、模型输出、维度、建议动作、模型运行元数据</w:t>
            </w:r>
          </w:p>
        </w:tc>
        <w:tc>
          <w:tcPr>
            <w:tcW w:type="dxa" w:w="686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Case 详情、研判结论、分析报告和建议</w:t>
            </w:r>
          </w:p>
        </w:tc>
      </w:tr>
      <w:tr>
        <w:trPr>
          <w:cantSplit/>
        </w:trPr>
        <w:tc>
          <w:tcPr>
            <w:tcW w:type="dxa" w:w="340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validation_runs</w:t>
            </w:r>
          </w:p>
        </w:tc>
        <w:tc>
          <w:tcPr>
            <w:tcW w:type="dxa" w:w="720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Validator checks、findings、passed/review/blocked</w:t>
            </w:r>
          </w:p>
        </w:tc>
        <w:tc>
          <w:tcPr>
            <w:tcW w:type="dxa" w:w="686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验证门禁状态与阻断原因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memory_entries / events</w:t>
            </w:r>
          </w:p>
        </w:tc>
        <w:tc>
          <w:tcPr>
            <w:tcW w:type="dxa" w:w="72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多层记忆内容、信任、状态、范围、有效期和生命周期事件</w:t>
            </w:r>
          </w:p>
        </w:tc>
        <w:tc>
          <w:tcPr>
            <w:tcW w:type="dxa" w:w="686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Memory 治理工作台</w:t>
            </w:r>
          </w:p>
        </w:tc>
      </w:tr>
      <w:tr>
        <w:trPr>
          <w:cantSplit/>
        </w:trPr>
        <w:tc>
          <w:tcPr>
            <w:tcW w:type="dxa" w:w="340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memory_matches</w:t>
            </w:r>
          </w:p>
        </w:tc>
        <w:tc>
          <w:tcPr>
            <w:tcW w:type="dxa" w:w="720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候选得分、排名、命中特征、决策和最终影响</w:t>
            </w:r>
          </w:p>
        </w:tc>
        <w:tc>
          <w:tcPr>
            <w:tcW w:type="dxa" w:w="686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解释为什么某条历史经验影响了当前判断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action_approvals</w:t>
            </w:r>
          </w:p>
        </w:tc>
        <w:tc>
          <w:tcPr>
            <w:tcW w:type="dxa" w:w="72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建议动作、理由、回滚、票数和审批状态</w:t>
            </w:r>
          </w:p>
        </w:tc>
        <w:tc>
          <w:tcPr>
            <w:tcW w:type="dxa" w:w="686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受控审批；execution_status 固定为 not_executed</w:t>
            </w:r>
          </w:p>
        </w:tc>
      </w:tr>
      <w:tr>
        <w:trPr>
          <w:cantSplit/>
        </w:trPr>
        <w:tc>
          <w:tcPr>
            <w:tcW w:type="dxa" w:w="3402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D2730"/>
                <w:sz w:val="17"/>
              </w:rPr>
              <w:t>audit_log</w:t>
            </w:r>
          </w:p>
        </w:tc>
        <w:tc>
          <w:tcPr>
            <w:tcW w:type="dxa" w:w="720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接收、分析、验证、关联、审批和治理操作</w:t>
            </w:r>
          </w:p>
        </w:tc>
        <w:tc>
          <w:tcPr>
            <w:tcW w:type="dxa" w:w="6860"/>
            <w:shd w:fill="F3F6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D2730"/>
                <w:sz w:val="17"/>
              </w:rPr>
              <w:t>事件追踪、合规审计和问题复盘</w:t>
            </w:r>
          </w:p>
        </w:tc>
      </w:tr>
    </w:tbl>
    <w:p>
      <w:pPr>
        <w:spacing w:after="0"/>
      </w:pPr>
    </w:p>
    <w:p>
      <w:pPr>
        <w:keepNext/>
        <w:spacing w:before="100" w:after="100"/>
      </w:pPr>
      <w:r>
        <w:rPr>
          <w:rFonts w:ascii="Arial Unicode MS" w:hAnsi="Arial Unicode MS" w:eastAsia="Arial Unicode MS"/>
          <w:b/>
          <w:color w:val="176B87"/>
          <w:sz w:val="24"/>
        </w:rPr>
        <w:t>7.1 阅读处置台结果时的建议顺序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先看研判结论、classification、confidence 和 Validator 状态，确认结果是否可用于后续流转。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再看结构化证据、分析维度和 missing_evidence，判断结论是否由当前告警事实支撑。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如 Memory 影响结果，查看 memory_matches 的得分、命中特征、scope、有效期和 attack_signal_veto。</w:t>
      </w:r>
    </w:p>
    <w:p>
      <w:pPr>
        <w:pStyle w:val="ListBullet"/>
        <w:spacing w:after="60" w:line="269" w:lineRule="auto"/>
        <w:ind w:left="312" w:hanging="142"/>
      </w:pPr>
      <w:r>
        <w:rPr>
          <w:rFonts w:ascii="Arial Unicode MS" w:hAnsi="Arial Unicode MS" w:eastAsia="Arial Unicode MS"/>
          <w:b w:val="0"/>
          <w:color w:val="1D2730"/>
          <w:sz w:val="20"/>
        </w:rPr>
        <w:t>最后审查建议动作和审批记录；approved 仅表示授权，不代表本项目已经执行生产动作。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765" w:bottom="709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5F6B7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 w:val="0"/>
        <w:color w:val="5F6B76"/>
        <w:sz w:val="17"/>
      </w:rPr>
      <w:t>银行业防御 AI 代理网关  |  工作流说明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