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Neo</w:t>
      </w:r>
    </w:p>
    <w:p>
      <w:pPr>
        <w:pStyle w:val="Abstract"/>
      </w:pPr>
      <w:r>
        <w:t xml:space="preserve">things</w:t>
      </w:r>
      <w:r>
        <w:t xml:space="preserve"> </w:t>
      </w:r>
      <w:r>
        <w:t xml:space="preserve">to</w:t>
      </w:r>
      <w:r>
        <w:t xml:space="preserve"> </w:t>
      </w:r>
      <w:r>
        <w:t xml:space="preserve">put</w:t>
      </w:r>
      <w:r>
        <w:t xml:space="preserve"> </w:t>
      </w:r>
      <w:r>
        <w:t xml:space="preserve">in</w:t>
      </w:r>
      <w:r>
        <w:t xml:space="preserve"> </w:t>
      </w:r>
      <w:r>
        <w:t xml:space="preserve">abstract</w:t>
      </w:r>
    </w:p>
    <w:bookmarkStart w:id="20" w:name="intorduction"/>
    <w:p>
      <w:pPr>
        <w:pStyle w:val="Heading1"/>
      </w:pPr>
      <w:r>
        <w:t xml:space="preserve">Intorduction</w:t>
      </w:r>
    </w:p>
    <w:p>
      <w:pPr>
        <w:pStyle w:val="FirstParagraph"/>
      </w:pPr>
      <w:r>
        <w:t xml:space="preserve">Why Invest</w:t>
      </w:r>
    </w:p>
    <w:p>
      <w:pPr>
        <w:pStyle w:val="BodyText"/>
      </w:pPr>
      <w:r>
        <w:t xml:space="preserve">How do most of peopele invest</w:t>
      </w:r>
    </w:p>
    <w:p>
      <w:pPr>
        <w:pStyle w:val="BodyText"/>
      </w:pPr>
      <w:r>
        <w:t xml:space="preserve">Fundamental analysis</w:t>
      </w:r>
    </w:p>
    <w:p>
      <w:pPr>
        <w:pStyle w:val="BodyText"/>
      </w:pPr>
      <w:r>
        <w:t xml:space="preserve">Technical analysis</w:t>
      </w:r>
    </w:p>
    <w:p>
      <w:pPr>
        <w:pStyle w:val="BodyText"/>
      </w:pPr>
      <w:r>
        <w:t xml:space="preserve">Why technical indicators</w:t>
      </w:r>
    </w:p>
    <w:p>
      <w:pPr>
        <w:pStyle w:val="BodyText"/>
      </w:pPr>
      <w:r>
        <w:t xml:space="preserve">How to optimize the parameters of technical indicators</w:t>
      </w:r>
    </w:p>
    <w:p>
      <w:pPr>
        <w:pStyle w:val="BodyText"/>
      </w:pPr>
      <w:r>
        <w:t xml:space="preserve">Breifly summerize our method</w:t>
      </w:r>
    </w:p>
    <w:bookmarkEnd w:id="20"/>
    <w:bookmarkStart w:id="21" w:name="related-work"/>
    <w:p>
      <w:pPr>
        <w:pStyle w:val="Heading1"/>
      </w:pPr>
      <w:r>
        <w:t xml:space="preserve">Related Work</w:t>
      </w:r>
    </w:p>
    <w:p>
      <w:pPr>
        <w:pStyle w:val="FirstParagraph"/>
      </w:pPr>
      <w:r>
        <w:t xml:space="preserve">Related Work</w:t>
      </w:r>
    </w:p>
    <w:bookmarkEnd w:id="21"/>
    <w:bookmarkStart w:id="22" w:name="background"/>
    <w:p>
      <w:pPr>
        <w:pStyle w:val="Heading1"/>
      </w:pPr>
      <w:r>
        <w:t xml:space="preserve">Background</w:t>
      </w:r>
    </w:p>
    <w:p>
      <w:pPr>
        <w:pStyle w:val="FirstParagraph"/>
      </w:pPr>
      <w:r>
        <w:t xml:space="preserve">not sure what to write</w:t>
      </w:r>
    </w:p>
    <w:bookmarkEnd w:id="22"/>
    <w:bookmarkStart w:id="33" w:name="proposed-method"/>
    <w:p>
      <w:pPr>
        <w:pStyle w:val="Heading1"/>
      </w:pPr>
      <w:r>
        <w:t xml:space="preserve">Proposed Method</w:t>
      </w:r>
    </w:p>
    <w:bookmarkStart w:id="25" w:name="Xb532175c91cfe4db4007ec87168559b5badb825"/>
    <w:p>
      <w:pPr>
        <w:pStyle w:val="Heading2"/>
      </w:pPr>
      <w:r>
        <w:t xml:space="preserve">Global-best guided Quantum-inspired Tabu Search Algorithm with Not-gate (GNQTS)</w:t>
      </w:r>
    </w:p>
    <w:p>
      <w:pPr>
        <w:pStyle w:val="FirstParagraph"/>
      </w:pPr>
      <w:r>
        <w:rPr>
          <w:bCs/>
          <w:b/>
        </w:rPr>
        <w:t xml:space="preserve">What is GNQTS and its evolution</w:t>
      </w:r>
    </w:p>
    <w:p>
      <w:pPr>
        <w:pStyle w:val="BodyText"/>
      </w:pPr>
      <w:r>
        <w:rPr>
          <w:bCs/>
          <w:b/>
        </w:rPr>
        <w:t xml:space="preserve">Flow chart of GNQTS</w:t>
      </w:r>
    </w:p>
    <w:p>
      <w:pPr>
        <w:pStyle w:val="CaptionedFigure"/>
      </w:pPr>
      <w:bookmarkStart w:id="24" w:name="flow"/>
      <w:r>
        <w:drawing>
          <wp:inline>
            <wp:extent cx="5334000" cy="1350168"/>
            <wp:effectExtent b="0" l="0" r="0" t="0"/>
            <wp:docPr descr="The flowchart of GNQTS" title="" id="1" name="Picture"/>
            <a:graphic>
              <a:graphicData uri="http://schemas.openxmlformats.org/drawingml/2006/picture">
                <pic:pic>
                  <pic:nvPicPr>
                    <pic:cNvPr descr="figure/flowChart.png" id="0" name="Picture"/>
                    <pic:cNvPicPr>
                      <a:picLocks noChangeArrowheads="1" noChangeAspect="1"/>
                    </pic:cNvPicPr>
                  </pic:nvPicPr>
                  <pic:blipFill>
                    <a:blip r:embed="rId23"/>
                    <a:stretch>
                      <a:fillRect/>
                    </a:stretch>
                  </pic:blipFill>
                  <pic:spPr bwMode="auto">
                    <a:xfrm>
                      <a:off x="0" y="0"/>
                      <a:ext cx="5334000" cy="1350168"/>
                    </a:xfrm>
                    <a:prstGeom prst="rect">
                      <a:avLst/>
                    </a:prstGeom>
                    <a:noFill/>
                    <a:ln w="9525">
                      <a:noFill/>
                      <a:headEnd/>
                      <a:tailEnd/>
                    </a:ln>
                  </pic:spPr>
                </pic:pic>
              </a:graphicData>
            </a:graphic>
          </wp:inline>
        </w:drawing>
      </w:r>
      <w:bookmarkEnd w:id="24"/>
    </w:p>
    <w:p>
      <w:pPr>
        <w:pStyle w:val="ImageCaption"/>
      </w:pPr>
      <w:r>
        <w:t xml:space="preserve">The flowchart of GNQTS</w:t>
      </w:r>
    </w:p>
    <w:p>
      <w:pPr>
        <w:pStyle w:val="BodyText"/>
      </w:pPr>
      <w:r>
        <w:rPr>
          <w:bCs/>
          <w:b/>
        </w:rPr>
        <w:t xml:space="preserve">Pseudo code of GNQTS</w:t>
      </w:r>
    </w:p>
    <w:p>
      <w:pPr>
        <w:pStyle w:val="BodyText"/>
      </w:pPr>
      <m:oMath>
        <m:r>
          <m:t>i</m:t>
        </m:r>
        <m:r>
          <m:rPr>
            <m:sty m:val="p"/>
          </m:rPr>
          <m:t>←</m:t>
        </m:r>
        <m:r>
          <m:t>0</m:t>
        </m:r>
      </m:oMath>
      <w:r>
        <w:t xml:space="preserve"> </w:t>
      </w:r>
      <w:r>
        <w:t xml:space="preserve">Initialize quantum population</w:t>
      </w:r>
      <w:r>
        <w:t xml:space="preserve"> </w:t>
      </w:r>
      <m:oMath>
        <m:r>
          <m:t>Q</m:t>
        </m:r>
        <m:d>
          <m:dPr>
            <m:begChr m:val="("/>
            <m:endChr m:val=")"/>
            <m:grow/>
          </m:dPr>
          <m:e>
            <m:r>
              <m:t>0</m:t>
            </m:r>
          </m:e>
        </m:d>
      </m:oMath>
      <w:r>
        <w:t xml:space="preserve"> </w:t>
      </w:r>
      <w:r>
        <w:t xml:space="preserve">Initialize best solution</w:t>
      </w:r>
      <w:r>
        <w:t xml:space="preserve"> </w:t>
      </w:r>
      <m:oMath>
        <m:r>
          <m:t>b</m:t>
        </m:r>
      </m:oMath>
      <w:r>
        <w:t xml:space="preserve"> </w:t>
      </w:r>
      <w:r>
        <w:t xml:space="preserve">Produce neighborhood set N by measure</w:t>
      </w:r>
      <w:r>
        <w:t xml:space="preserve"> </w:t>
      </w:r>
      <m:oMath>
        <m:r>
          <m:t>Q</m:t>
        </m:r>
        <m:d>
          <m:dPr>
            <m:begChr m:val="("/>
            <m:endChr m:val=")"/>
            <m:grow/>
          </m:dPr>
          <m:e>
            <m:r>
              <m:t>i</m:t>
            </m:r>
            <m:r>
              <m:rPr>
                <m:sty m:val="p"/>
              </m:rPr>
              <m:t>−</m:t>
            </m:r>
            <m:r>
              <m:t>1</m:t>
            </m:r>
          </m:e>
        </m:d>
      </m:oMath>
      <w:r>
        <w:t xml:space="preserve"> </w:t>
      </w:r>
      <w:r>
        <w:t xml:space="preserve">Evaluate</w:t>
      </w:r>
      <w:r>
        <w:t xml:space="preserve"> </w:t>
      </w:r>
      <m:oMath>
        <m:r>
          <m:t>f</m:t>
        </m:r>
        <m:d>
          <m:dPr>
            <m:begChr m:val="("/>
            <m:endChr m:val=")"/>
            <m:grow/>
          </m:dPr>
          <m:e>
            <m:r>
              <m:t>s</m:t>
            </m:r>
          </m:e>
        </m:d>
      </m:oMath>
      <w:r>
        <w:t xml:space="preserve"> </w:t>
      </w:r>
      <w:r>
        <w:t xml:space="preserve">Find the best solution</w:t>
      </w:r>
      <w:r>
        <w:t xml:space="preserve"> </w:t>
      </w:r>
      <m:oMath>
        <m:sSup>
          <m:e>
            <m:r>
              <m:t>s</m:t>
            </m:r>
          </m:e>
          <m:sup>
            <m:r>
              <m:t>b</m:t>
            </m:r>
          </m:sup>
        </m:sSup>
      </m:oMath>
      <w:r>
        <w:t xml:space="preserve"> </w:t>
      </w:r>
      <w:r>
        <w:t xml:space="preserve">and the worst solution</w:t>
      </w:r>
      <w:r>
        <w:t xml:space="preserve"> </w:t>
      </w:r>
      <m:oMath>
        <m:sSup>
          <m:e>
            <m:r>
              <m:t>s</m:t>
            </m:r>
          </m:e>
          <m:sup>
            <m:r>
              <m:t>w</m:t>
            </m:r>
          </m:sup>
        </m:sSup>
      </m:oMath>
      <w:r>
        <w:t xml:space="preserve"> </w:t>
      </w:r>
      <w:r>
        <w:t xml:space="preserve">Update</w:t>
      </w:r>
      <w:r>
        <w:t xml:space="preserve"> </w:t>
      </w:r>
      <m:oMath>
        <m:r>
          <m:t>b</m:t>
        </m:r>
      </m:oMath>
      <w:r>
        <w:t xml:space="preserve"> </w:t>
      </w:r>
      <w:r>
        <w:t xml:space="preserve">Detect whether GNQTS is stuck in local optimal</w:t>
      </w:r>
      <w:r>
        <w:t xml:space="preserve"> </w:t>
      </w:r>
      <w:r>
        <w:t xml:space="preserve">Do Quantum Not Gate</w:t>
      </w:r>
      <w:r>
        <w:t xml:space="preserve"> </w:t>
      </w:r>
      <w:r>
        <w:t xml:space="preserve">Update</w:t>
      </w:r>
      <w:r>
        <w:t xml:space="preserve"> </w:t>
      </w:r>
      <m:oMath>
        <m:r>
          <m:t>Q</m:t>
        </m:r>
        <m:d>
          <m:dPr>
            <m:begChr m:val="("/>
            <m:endChr m:val=")"/>
            <m:grow/>
          </m:dPr>
          <m:e>
            <m:r>
              <m:t>i</m:t>
            </m:r>
          </m:e>
        </m:d>
      </m:oMath>
    </w:p>
    <w:p>
      <w:pPr>
        <w:pStyle w:val="BodyText"/>
      </w:pPr>
      <w:r>
        <w:rPr>
          <w:bCs/>
          <w:b/>
        </w:rPr>
        <w:t xml:space="preserve">Explain each step of GNQTS</w:t>
      </w:r>
    </w:p>
    <w:bookmarkEnd w:id="25"/>
    <w:bookmarkStart w:id="26" w:name="sliding-windows"/>
    <w:p>
      <w:pPr>
        <w:pStyle w:val="Heading2"/>
      </w:pPr>
      <w:r>
        <w:t xml:space="preserve">Sliding Windows</w:t>
      </w:r>
    </w:p>
    <w:p>
      <w:pPr>
        <w:pStyle w:val="FirstParagraph"/>
      </w:pPr>
      <w:r>
        <w:rPr>
          <w:bCs/>
          <w:b/>
        </w:rPr>
        <w:t xml:space="preserve">What are sliding windows</w:t>
      </w:r>
    </w:p>
    <w:p>
      <w:pPr>
        <w:pStyle w:val="BodyText"/>
      </w:pPr>
      <w:r>
        <w:rPr>
          <w:bCs/>
          <w:b/>
        </w:rPr>
        <w:t xml:space="preserve">Old sliding sindows</w:t>
      </w:r>
    </w:p>
    <w:p>
      <w:pPr>
        <w:pStyle w:val="BodyText"/>
      </w:pPr>
      <w:r>
        <w:rPr>
          <w:bCs/>
          <w:b/>
        </w:rPr>
        <w:t xml:space="preserve">New sliding windows</w:t>
      </w:r>
    </w:p>
    <w:p>
      <w:pPr>
        <w:pStyle w:val="BodyText"/>
      </w:pPr>
      <w:r>
        <w:rPr>
          <w:bCs/>
          <w:b/>
        </w:rPr>
        <w:t xml:space="preserve">What can new sliding windows achieve</w:t>
      </w:r>
    </w:p>
    <w:bookmarkEnd w:id="26"/>
    <w:bookmarkStart w:id="31" w:name="technical-indicators"/>
    <w:p>
      <w:pPr>
        <w:pStyle w:val="Heading2"/>
      </w:pPr>
      <w:r>
        <w:t xml:space="preserve">Technical Indicators</w:t>
      </w:r>
    </w:p>
    <w:p>
      <w:pPr>
        <w:pStyle w:val="FirstParagraph"/>
      </w:pPr>
      <w:r>
        <w:t xml:space="preserve">Technical indicators are the rule of thumb or pattern-based signals produced mathematically by the stock price or volume. The fundatioin of technical indicators is the historical prices of the stocks. It is belived that the history will repeated itself as the time extends. In other words, patterns of the market behavior continously appears throughout the history of the stock market. By analyzing the historical data, technical analysis use indicators to determine the timing to buy or sell stocks.</w:t>
      </w:r>
    </w:p>
    <w:bookmarkStart w:id="29" w:name="simple-moving-average-sma"/>
    <w:p>
      <w:pPr>
        <w:pStyle w:val="Heading3"/>
      </w:pPr>
      <w:r>
        <w:t xml:space="preserve">Simple Moving Average (SMA)</w:t>
      </w:r>
    </w:p>
    <w:p>
      <w:pPr>
        <w:pStyle w:val="FirstParagraph"/>
      </w:pPr>
      <w:r>
        <w:t xml:space="preserve">A Moving Average is an indicator that shows the trend of stock price of a company. If the moving average was decreasing, it indecates that the price is falling recently. If the moving average was increasing, it indecates that the price is rising recently. There are several different types of moving averages. The most polpular one is the simple moving average (SMA). The major difference between moving averages is the weight applies to the stock price when calculating the indecator.</w:t>
      </w:r>
    </w:p>
    <w:p>
      <w:pPr>
        <w:pStyle w:val="BodyText"/>
      </w:pPr>
      <w:r>
        <w:t xml:space="preserve">SMA is a indicator which can be easily calculated compare to the other moving averages because the weight that applies to stocks price when calculate SMA is equally weighted. SMA is the average closed price of a certain period of time (e.g., 5 days). The period of days that is been used to calculate the averge price is called look-back period. The formula of SMA is shown in</w:t>
      </w:r>
      <w:r>
        <w:t xml:space="preserve"> </w:t>
      </w:r>
      <w:hyperlink w:anchor="SMA">
        <w:r>
          <w:rPr>
            <w:rStyle w:val="Hyperlink"/>
          </w:rPr>
          <w:t xml:space="preserve">[SMA]</w:t>
        </w:r>
      </w:hyperlink>
      <w:r>
        <w:t xml:space="preserve">, where</w:t>
      </w:r>
      <w:r>
        <w:t xml:space="preserve"> </w:t>
      </w:r>
      <m:oMath>
        <m:r>
          <m:t>n</m:t>
        </m:r>
      </m:oMath>
      <w:r>
        <w:t xml:space="preserve"> </w:t>
      </w:r>
      <w:r>
        <w:t xml:space="preserve">is the look-back period and</w:t>
      </w:r>
      <w:r>
        <w:t xml:space="preserve"> </w:t>
      </w:r>
      <m:oMath>
        <m:r>
          <m:t>t</m:t>
        </m:r>
      </m:oMath>
      <w:r>
        <w:t xml:space="preserve"> </w:t>
      </w:r>
      <w:r>
        <w:t xml:space="preserve">is the date of today.</w:t>
      </w:r>
    </w:p>
    <w:p>
      <w:pPr>
        <w:pStyle w:val="BodyText"/>
      </w:pPr>
      <w:r>
        <w:t xml:space="preserve">$$\label{SMA}\scalebox{1}
    {$SMA_{n} = \dfrac{price_{t-n}+price_{t-n+1}+price_{t-n+2}+...+price_{t-2}+price_{t-1}}{n}$}$$</w:t>
      </w:r>
    </w:p>
    <w:p>
      <w:pPr>
        <w:pStyle w:val="FirstParagraph"/>
      </w:pPr>
      <w:r>
        <w:t xml:space="preserve">The most common method of using SMA is to compare the relationship between two trends of SMA, which is called crossover. The way to define a crossover is that when plotting two different SMA values, the line of the first SMA passes through the line of the second SMA from below. This is also called a golden crossover. On the other hand, a death crossover is that when the line of first SMA passes through the line of second SMA from above. We can simplify the trading strategy of using these two SMA into SMA(</w:t>
      </w:r>
      <m:oMath>
        <m:sSub>
          <m:e>
            <m:r>
              <m:t>1</m:t>
            </m:r>
          </m:e>
          <m:sub>
            <m:r>
              <m:t>s</m:t>
            </m:r>
            <m:r>
              <m:t>t</m:t>
            </m:r>
          </m:sub>
        </m:sSub>
      </m:oMath>
      <w:r>
        <w:t xml:space="preserve"> </w:t>
      </w:r>
      <w:r>
        <w:t xml:space="preserve">SMA,</w:t>
      </w:r>
      <w:r>
        <w:t xml:space="preserve"> </w:t>
      </w:r>
      <m:oMath>
        <m:sSub>
          <m:e>
            <m:r>
              <m:t>2</m:t>
            </m:r>
          </m:e>
          <m:sub>
            <m:r>
              <m:t>n</m:t>
            </m:r>
            <m:r>
              <m:t>d</m:t>
            </m:r>
          </m:sub>
        </m:sSub>
      </m:oMath>
      <w:r>
        <w:t xml:space="preserve"> </w:t>
      </w:r>
      <w:r>
        <w:t xml:space="preserve">SMA). Figure</w:t>
      </w:r>
      <w:r>
        <w:t xml:space="preserve"> </w:t>
      </w:r>
      <w:hyperlink w:anchor="cross_demo">
        <w:r>
          <w:rPr>
            <w:rStyle w:val="Hyperlink"/>
          </w:rPr>
          <w:t xml:space="preserve">2</w:t>
        </w:r>
      </w:hyperlink>
      <w:r>
        <w:t xml:space="preserve"> </w:t>
      </w:r>
      <w:r>
        <w:t xml:space="preserve">demostrate the timimg of golden cross and death cross when using SMA(5, 20). These two types of crossover are the important signal of determining the timing of buying or selling the stocks. A buy signal is triggered when a golden cross appears. A selling signal is triggered when a death cross appears.</w:t>
      </w:r>
    </w:p>
    <w:p>
      <w:pPr>
        <w:pStyle w:val="CaptionedFigure"/>
      </w:pPr>
      <w:bookmarkStart w:id="28" w:name="cross_demo"/>
      <w:r>
        <w:drawing>
          <wp:inline>
            <wp:extent cx="5334000" cy="3603948"/>
            <wp:effectExtent b="0" l="0" r="0" t="0"/>
            <wp:docPr descr="Demostration of using strategy SMA(5, 20)" title="" id="1" name="Picture"/>
            <a:graphic>
              <a:graphicData uri="http://schemas.openxmlformats.org/drawingml/2006/picture">
                <pic:pic>
                  <pic:nvPicPr>
                    <pic:cNvPr descr="figure/cross1.png" id="0" name="Picture"/>
                    <pic:cNvPicPr>
                      <a:picLocks noChangeArrowheads="1" noChangeAspect="1"/>
                    </pic:cNvPicPr>
                  </pic:nvPicPr>
                  <pic:blipFill>
                    <a:blip r:embed="rId27"/>
                    <a:stretch>
                      <a:fillRect/>
                    </a:stretch>
                  </pic:blipFill>
                  <pic:spPr bwMode="auto">
                    <a:xfrm>
                      <a:off x="0" y="0"/>
                      <a:ext cx="5334000" cy="3603948"/>
                    </a:xfrm>
                    <a:prstGeom prst="rect">
                      <a:avLst/>
                    </a:prstGeom>
                    <a:noFill/>
                    <a:ln w="9525">
                      <a:noFill/>
                      <a:headEnd/>
                      <a:tailEnd/>
                    </a:ln>
                  </pic:spPr>
                </pic:pic>
              </a:graphicData>
            </a:graphic>
          </wp:inline>
        </w:drawing>
      </w:r>
      <w:bookmarkEnd w:id="28"/>
    </w:p>
    <w:p>
      <w:pPr>
        <w:pStyle w:val="ImageCaption"/>
      </w:pPr>
      <w:r>
        <w:t xml:space="preserve">Demostration of using strategy SMA(5, 20)</w:t>
      </w:r>
    </w:p>
    <w:bookmarkEnd w:id="29"/>
    <w:bookmarkStart w:id="30" w:name="relative-strength-index-rsi"/>
    <w:p>
      <w:pPr>
        <w:pStyle w:val="Heading3"/>
      </w:pPr>
      <w:r>
        <w:t xml:space="preserve">Relative Strength Index (RSI)</w:t>
      </w:r>
    </w:p>
    <w:p>
      <w:pPr>
        <w:pStyle w:val="FirstParagraph"/>
      </w:pPr>
      <w:r>
        <w:rPr>
          <w:bCs/>
          <w:b/>
        </w:rPr>
        <w:t xml:space="preserve">What is RSI</w:t>
      </w:r>
    </w:p>
    <w:p>
      <w:pPr>
        <w:pStyle w:val="BodyText"/>
      </w:pPr>
      <w:r>
        <w:rPr>
          <w:bCs/>
          <w:b/>
        </w:rPr>
        <w:t xml:space="preserve">How to use RSI</w:t>
      </w:r>
    </w:p>
    <w:p>
      <w:pPr>
        <w:pStyle w:val="BodyText"/>
      </w:pPr>
      <w:r>
        <w:rPr>
          <w:bCs/>
          <w:b/>
        </w:rPr>
        <w:t xml:space="preserve">Characteristics of RSI</w:t>
      </w:r>
    </w:p>
    <w:p>
      <w:pPr>
        <w:pStyle w:val="BodyText"/>
      </w:pPr>
      <w:r>
        <w:rPr>
          <w:bCs/>
          <w:b/>
        </w:rPr>
        <w:t xml:space="preserve">RSI formula</w:t>
      </w:r>
    </w:p>
    <w:p>
      <w:pPr>
        <w:pStyle w:val="BodyText"/>
      </w:pPr>
      <w:r>
        <w:t xml:space="preserve">Relative Strength Index (RSI) was developed by J. Welles Wilder, Jr. [3] in 1978. This index is a widely used technical indicator of the financial market for measuring the magnitude of recent price changes. RSI regards a rising stock price as strength from buyers, a falling price as strength from sellers, and the closing price is the outcome of the relative strength of buyers and sellers. Here are the formulae for calculating RSI. The calculating process can be divided into two steps. For step one (as shown in formulae</w:t>
      </w:r>
      <w:r>
        <w:t xml:space="preserve"> </w:t>
      </w:r>
      <w:hyperlink w:anchor="step_1">
        <w:r>
          <w:rPr>
            <w:rStyle w:val="Hyperlink"/>
          </w:rPr>
          <w:t xml:space="preserve">[step_1]</w:t>
        </w:r>
      </w:hyperlink>
      <w:r>
        <w:t xml:space="preserve">), the average gain and loss is the average of rice and drop respectively during the look-back period. As for step two, with the RSI in step one, we can recursively calculate the next RSI using formula 2, where</w:t>
      </w:r>
      <w:r>
        <w:t xml:space="preserve"> </w:t>
      </w:r>
      <m:oMath>
        <m:r>
          <m:t>N</m:t>
        </m:r>
      </m:oMath>
      <w:r>
        <w:t xml:space="preserve"> </w:t>
      </w:r>
      <w:r>
        <w:t xml:space="preserve">is a parameter, representing a look-back period. The formulae for calculating RSI are as follows.</w:t>
      </w:r>
    </w:p>
    <w:p>
      <w:pPr>
        <w:pStyle w:val="BodyText"/>
      </w:pPr>
      <w:r>
        <w:t xml:space="preserve">$$\label{step_1}\scalebox{1}
    {$RSI_{step\ one}=100-\left[\dfrac{100}{1+\dfrac{Average\ gain}{Average\ loss}}\right]$}
    \vspace{1em}$$</w:t>
      </w:r>
    </w:p>
    <w:p>
      <w:pPr>
        <w:pStyle w:val="FirstParagraph"/>
      </w:pPr>
      <w:r>
        <w:t xml:space="preserve">$$\label{step_2}\scalebox{1}
    {$RSI_{step\ two}=100-\left[\dfrac{100}{1+\dfrac{Previous\ Average\ Gain\times(N-1)+Current\ Gain}{-(Previous\ Average\ Loss)\times(N-1)+Current\ Loss}}\right]$}
    \vspace{1em}$$</w:t>
      </w:r>
    </w:p>
    <w:bookmarkEnd w:id="30"/>
    <w:bookmarkEnd w:id="31"/>
    <w:bookmarkStart w:id="32" w:name="normalize-internal-rate-of-return"/>
    <w:p>
      <w:pPr>
        <w:pStyle w:val="Heading2"/>
      </w:pPr>
      <w:r>
        <w:t xml:space="preserve">Normalize Internal Rate of Return</w:t>
      </w:r>
    </w:p>
    <w:p>
      <w:pPr>
        <w:pStyle w:val="FirstParagraph"/>
      </w:pPr>
      <w:r>
        <w:t xml:space="preserve">How to evaluate the performance of our method</w:t>
      </w:r>
    </w:p>
    <w:bookmarkEnd w:id="32"/>
    <w:bookmarkEnd w:id="33"/>
    <w:bookmarkStart w:id="47" w:name="experiment-result"/>
    <w:p>
      <w:pPr>
        <w:pStyle w:val="Heading1"/>
      </w:pPr>
      <w:r>
        <w:t xml:space="preserve">Experiment Result</w:t>
      </w:r>
    </w:p>
    <w:bookmarkStart w:id="34" w:name="experimental-enviroment"/>
    <w:p>
      <w:pPr>
        <w:pStyle w:val="Heading2"/>
      </w:pPr>
      <w:r>
        <w:t xml:space="preserve">Experimental Enviroment</w:t>
      </w:r>
    </w:p>
    <w:p>
      <w:pPr>
        <w:pStyle w:val="FirstParagraph"/>
      </w:pPr>
      <w:r>
        <w:t xml:space="preserve">Computer spec</w:t>
      </w:r>
    </w:p>
    <w:bookmarkEnd w:id="34"/>
    <w:bookmarkStart w:id="35" w:name="parameters-of-gnqts"/>
    <w:p>
      <w:pPr>
        <w:pStyle w:val="Heading2"/>
      </w:pPr>
      <w:r>
        <w:t xml:space="preserve">Parameters of GNQTS</w:t>
      </w:r>
    </w:p>
    <w:p>
      <w:pPr>
        <w:pStyle w:val="FirstParagraph"/>
      </w:pPr>
      <w:r>
        <w:t xml:space="preserve">Initial funds</w:t>
      </w:r>
    </w:p>
    <w:p>
      <w:pPr>
        <w:pStyle w:val="BodyText"/>
      </w:pPr>
      <w:r>
        <w:t xml:space="preserve">Test period</w:t>
      </w:r>
    </w:p>
    <w:p>
      <w:pPr>
        <w:pStyle w:val="BodyText"/>
      </w:pPr>
      <w:r>
        <w:t xml:space="preserve">Delta</w:t>
      </w:r>
    </w:p>
    <w:p>
      <w:pPr>
        <w:pStyle w:val="BodyText"/>
      </w:pPr>
      <w:r>
        <w:t xml:space="preserve">Particle amount</w:t>
      </w:r>
    </w:p>
    <w:p>
      <w:pPr>
        <w:pStyle w:val="BodyText"/>
      </w:pPr>
      <w:r>
        <w:t xml:space="preserve">Experiment number</w:t>
      </w:r>
    </w:p>
    <w:p>
      <w:pPr>
        <w:pStyle w:val="BodyText"/>
      </w:pPr>
      <w:r>
        <w:t xml:space="preserve">Iteration number</w:t>
      </w:r>
    </w:p>
    <w:bookmarkEnd w:id="35"/>
    <w:bookmarkStart w:id="40" w:name="training-period"/>
    <w:p>
      <w:pPr>
        <w:pStyle w:val="Heading2"/>
      </w:pPr>
      <w:r>
        <w:t xml:space="preserve">Training Period</w:t>
      </w:r>
    </w:p>
    <w:bookmarkStart w:id="36" w:name="sma"/>
    <w:p>
      <w:pPr>
        <w:pStyle w:val="Heading3"/>
      </w:pPr>
      <w:r>
        <w:t xml:space="preserve">SMA</w:t>
      </w:r>
    </w:p>
    <w:bookmarkEnd w:id="36"/>
    <w:bookmarkStart w:id="37" w:name="rsi"/>
    <w:p>
      <w:pPr>
        <w:pStyle w:val="Heading3"/>
      </w:pPr>
      <w:r>
        <w:t xml:space="preserve">RSI</w:t>
      </w:r>
    </w:p>
    <w:bookmarkEnd w:id="37"/>
    <w:bookmarkStart w:id="38" w:name="sma-combine-rsi"/>
    <w:p>
      <w:pPr>
        <w:pStyle w:val="Heading3"/>
      </w:pPr>
      <w:r>
        <w:t xml:space="preserve">SMA combine RSI</w:t>
      </w:r>
    </w:p>
    <w:bookmarkEnd w:id="38"/>
    <w:bookmarkStart w:id="39" w:name="result-of-training-period"/>
    <w:p>
      <w:pPr>
        <w:pStyle w:val="Heading3"/>
      </w:pPr>
      <w:r>
        <w:t xml:space="preserve">Result of Training Period</w:t>
      </w:r>
    </w:p>
    <w:bookmarkEnd w:id="39"/>
    <w:bookmarkEnd w:id="40"/>
    <w:bookmarkStart w:id="45" w:name="test-period"/>
    <w:p>
      <w:pPr>
        <w:pStyle w:val="Heading2"/>
      </w:pPr>
      <w:r>
        <w:t xml:space="preserve">Test Period</w:t>
      </w:r>
    </w:p>
    <w:bookmarkStart w:id="41" w:name="sma-1"/>
    <w:p>
      <w:pPr>
        <w:pStyle w:val="Heading3"/>
      </w:pPr>
      <w:r>
        <w:t xml:space="preserve">SMA</w:t>
      </w:r>
    </w:p>
    <w:bookmarkEnd w:id="41"/>
    <w:bookmarkStart w:id="42" w:name="rsi-1"/>
    <w:p>
      <w:pPr>
        <w:pStyle w:val="Heading3"/>
      </w:pPr>
      <w:r>
        <w:t xml:space="preserve">RSI</w:t>
      </w:r>
    </w:p>
    <w:bookmarkEnd w:id="42"/>
    <w:bookmarkStart w:id="43" w:name="sma-combine-rsi-1"/>
    <w:p>
      <w:pPr>
        <w:pStyle w:val="Heading3"/>
      </w:pPr>
      <w:r>
        <w:t xml:space="preserve">SMA combine RSI</w:t>
      </w:r>
    </w:p>
    <w:bookmarkEnd w:id="43"/>
    <w:bookmarkStart w:id="44" w:name="result-of-test-period"/>
    <w:p>
      <w:pPr>
        <w:pStyle w:val="Heading3"/>
      </w:pPr>
      <w:r>
        <w:t xml:space="preserve">Result of Test Period</w:t>
      </w:r>
    </w:p>
    <w:bookmarkEnd w:id="44"/>
    <w:bookmarkEnd w:id="45"/>
    <w:bookmarkStart w:id="46" w:name="self-analysis"/>
    <w:p>
      <w:pPr>
        <w:pStyle w:val="Heading2"/>
      </w:pPr>
      <w:r>
        <w:t xml:space="preserve">Self-Analysis</w:t>
      </w:r>
    </w:p>
    <w:p>
      <w:pPr>
        <w:pStyle w:val="FirstParagraph"/>
      </w:pPr>
      <w:r>
        <w:t xml:space="preserve">not sure what to write</w:t>
      </w:r>
    </w:p>
    <w:bookmarkEnd w:id="46"/>
    <w:bookmarkEnd w:id="47"/>
    <w:bookmarkStart w:id="48" w:name="conclution"/>
    <w:p>
      <w:pPr>
        <w:pStyle w:val="Heading1"/>
      </w:pPr>
      <w:r>
        <w:t xml:space="preserve">Conclution</w:t>
      </w:r>
    </w:p>
    <w:p>
      <w:pPr>
        <w:pStyle w:val="FirstParagraph"/>
      </w:pPr>
      <w:r>
        <w:t xml:space="preserve">Conclution</w:t>
      </w:r>
    </w:p>
    <w:bookmarkEnd w:id="48"/>
    <w:bookmarkStart w:id="49" w:name="reference"/>
    <w:p>
      <w:pPr>
        <w:pStyle w:val="Heading1"/>
      </w:pPr>
      <w:r>
        <w:t xml:space="preserve">Reference</w:t>
      </w:r>
    </w:p>
    <w:p>
      <w:pPr>
        <w:pStyle w:val="FirstParagraph"/>
      </w:pPr>
      <w:r>
        <w:t xml:space="preserve">Referrence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Neo</dc:creator>
  <cp:keywords/>
  <dcterms:created xsi:type="dcterms:W3CDTF">2022-06-15T12:36:20Z</dcterms:created>
  <dcterms:modified xsi:type="dcterms:W3CDTF">2022-06-15T12:36:20Z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things to put in abstract</vt:lpwstr>
  </property>
  <property fmtid="{D5CDD505-2E9C-101B-9397-08002B2CF9AE}" pid="3" name="date">
    <vt:lpwstr/>
  </property>
</Properties>
</file>