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060" w14:textId="77777777" w:rsidR="00B72F40" w:rsidRDefault="00000000">
      <w:pPr>
        <w:spacing w:after="200"/>
        <w:jc w:val="center"/>
      </w:pPr>
      <w:r>
        <w:rPr>
          <w:b/>
          <w:bCs/>
          <w:sz w:val="36"/>
          <w:szCs w:val="36"/>
        </w:rPr>
        <w:t>Conscience is All You Need</w:t>
      </w:r>
    </w:p>
    <w:p w14:paraId="12D4A8B6" w14:textId="77777777" w:rsidR="00B72F40" w:rsidRDefault="00000000">
      <w:pPr>
        <w:spacing w:after="80"/>
        <w:jc w:val="center"/>
      </w:pPr>
      <w:r>
        <w:t>Leo Linbeck III</w:t>
      </w:r>
    </w:p>
    <w:p w14:paraId="03590CB0" w14:textId="77777777" w:rsidR="00B72F40" w:rsidRDefault="00000000">
      <w:pPr>
        <w:spacing w:after="80"/>
        <w:jc w:val="center"/>
      </w:pPr>
      <w:r>
        <w:t>Stanford Graduate School of Business</w:t>
      </w:r>
    </w:p>
    <w:p w14:paraId="0A4862C1" w14:textId="77777777" w:rsidR="00B72F40" w:rsidRDefault="00000000">
      <w:pPr>
        <w:spacing w:after="300"/>
        <w:jc w:val="center"/>
      </w:pPr>
      <w:r>
        <w:t>leo3@linbeck.com</w:t>
      </w:r>
    </w:p>
    <w:p w14:paraId="16013D0A" w14:textId="77777777" w:rsidR="00B72F40" w:rsidRDefault="00000000">
      <w:pPr>
        <w:spacing w:after="100"/>
      </w:pPr>
      <w:r>
        <w:rPr>
          <w:b/>
          <w:bCs/>
        </w:rPr>
        <w:t>Abstract</w:t>
      </w:r>
    </w:p>
    <w:p w14:paraId="488F6194" w14:textId="7B9DDEC2" w:rsidR="00B72F40" w:rsidRDefault="00000000">
      <w:pPr>
        <w:spacing w:after="200" w:line="360" w:lineRule="auto"/>
        <w:jc w:val="both"/>
      </w:pPr>
      <w:r>
        <w:t>The dominant approach to AI safety</w:t>
      </w:r>
      <w:r w:rsidR="00520310">
        <w:t xml:space="preserve"> – </w:t>
      </w:r>
      <w:r>
        <w:t>centralized, top-down governance enforced through regulatory frameworks, model-level alignment, and platform-controlled guardrails</w:t>
      </w:r>
      <w:r w:rsidR="00520310">
        <w:t xml:space="preserve"> – </w:t>
      </w:r>
      <w:r>
        <w:t>will not work for agentic activity at scale. This paper argues that the attempt to impose safety from above on autonomous agents capable of real-world action will follow a predictable trajectory: it will erode individual agency, suppress innovation, create fragile monocultures that fail catastrophically, and</w:t>
      </w:r>
      <w:r w:rsidR="00520310">
        <w:t xml:space="preserve"> – </w:t>
      </w:r>
      <w:r>
        <w:t>absent countervailing forces</w:t>
      </w:r>
      <w:r w:rsidR="00520310">
        <w:t xml:space="preserve"> – </w:t>
      </w:r>
      <w:r>
        <w:t xml:space="preserve">degrade into authoritarian control over the most powerful technology of the twenty-first century. The alternative is not anarchy but conscience: an intrinsic moral faculty embedded within each agent, grounded in philosophical traditions that have sustained human </w:t>
      </w:r>
      <w:r w:rsidR="00C97E47">
        <w:t xml:space="preserve">flourishing and </w:t>
      </w:r>
      <w:r>
        <w:t>self-governance for millennia. Drawing on Aristotelian-Thomistic ethics (</w:t>
      </w:r>
      <w:r>
        <w:rPr>
          <w:i/>
          <w:iCs/>
        </w:rPr>
        <w:t>synderesis</w:t>
      </w:r>
      <w:r>
        <w:t xml:space="preserve"> as innate moral orientation, </w:t>
      </w:r>
      <w:r>
        <w:rPr>
          <w:i/>
          <w:iCs/>
        </w:rPr>
        <w:t>conscientia</w:t>
      </w:r>
      <w:r>
        <w:t xml:space="preserve"> as adaptive judgment, </w:t>
      </w:r>
      <w:r>
        <w:rPr>
          <w:i/>
          <w:iCs/>
        </w:rPr>
        <w:t>caritas</w:t>
      </w:r>
      <w:r>
        <w:t xml:space="preserve"> as dispositional anchor), Newman’s epistemology of conscience (the illative sense as the organ of concrete moral judgment, and the primacy of individual moral authority over institutional power), Kahneman’s dual-process cognitive framework (exploiting the sparsity of agentic tool calls to enable deep moral reasoning without prohibitive latency), and Ostrom’s commons governance (empirically validated design principles for decentralized self-regulation), the paper develops a conscience faculty architecture for agentic systems organized around four principles: subsidiarity, individual human control and accountability, emergent self-governing coordination, and privileged last-mile hooks. A reference implementation</w:t>
      </w:r>
      <w:r w:rsidR="00520310">
        <w:t xml:space="preserve"> – </w:t>
      </w:r>
      <w:r>
        <w:t xml:space="preserve">Guardian Angel, an open-source plugin for the </w:t>
      </w:r>
      <w:proofErr w:type="spellStart"/>
      <w:r>
        <w:t>OpenClaw</w:t>
      </w:r>
      <w:proofErr w:type="spellEnd"/>
      <w:r>
        <w:t xml:space="preserve"> framework</w:t>
      </w:r>
      <w:r w:rsidR="00520310">
        <w:t xml:space="preserve"> – </w:t>
      </w:r>
      <w:r>
        <w:t xml:space="preserve">demonstrates feasibility. The title deliberately echoes Vaswani et al.’s foundational transformer paper: just as attention proved to be the single mechanism sufficient for flexible, scalable </w:t>
      </w:r>
      <w:r w:rsidR="00C97E47">
        <w:t xml:space="preserve">artificial </w:t>
      </w:r>
      <w:r>
        <w:t>intelligence, conscience is the single mechanism sufficient for flexible, scalable agentic behavior.</w:t>
      </w:r>
    </w:p>
    <w:p w14:paraId="3F9F4667" w14:textId="77777777" w:rsidR="00B72F40" w:rsidRDefault="00000000">
      <w:pPr>
        <w:spacing w:after="200" w:line="360" w:lineRule="auto"/>
        <w:jc w:val="both"/>
      </w:pPr>
      <w:r>
        <w:rPr>
          <w:b/>
          <w:bCs/>
        </w:rPr>
        <w:t xml:space="preserve">Keywords: </w:t>
      </w:r>
      <w:r>
        <w:t>agentic AI, AI safety, conscience faculty, subsidiarity, Thomistic ethics, illative sense, dual-process cognition, commons governance, decentralized safety, last-mile enforcement</w:t>
      </w:r>
    </w:p>
    <w:p w14:paraId="5C5CBCE0" w14:textId="77777777" w:rsidR="00B72F40" w:rsidRDefault="00000000">
      <w:r>
        <w:br w:type="page"/>
      </w:r>
    </w:p>
    <w:p w14:paraId="6CC6C6F2" w14:textId="77777777" w:rsidR="00B72F40" w:rsidRDefault="00000000">
      <w:pPr>
        <w:pStyle w:val="Heading1"/>
      </w:pPr>
      <w:r>
        <w:lastRenderedPageBreak/>
        <w:t>1. Introduction</w:t>
      </w:r>
    </w:p>
    <w:p w14:paraId="20CB2F7F" w14:textId="1618C4E9" w:rsidR="00B72F40" w:rsidRDefault="00000000">
      <w:pPr>
        <w:spacing w:after="200" w:line="360" w:lineRule="auto"/>
        <w:jc w:val="both"/>
      </w:pPr>
      <w:r>
        <w:t>The rapid evolution of large language models into autonomous agents</w:t>
      </w:r>
      <w:r w:rsidR="00520310">
        <w:t xml:space="preserve"> – </w:t>
      </w:r>
      <w:r>
        <w:t>systems that plan multi-step tasks, invoke external tools, and operate with diminishing human oversight</w:t>
      </w:r>
      <w:r w:rsidR="00520310">
        <w:t xml:space="preserve"> – </w:t>
      </w:r>
      <w:r>
        <w:t>marks a qualitative shift in artificial intelligence.</w:t>
      </w:r>
      <w:r>
        <w:rPr>
          <w:rStyle w:val="FootnoteReference"/>
        </w:rPr>
        <w:footnoteReference w:id="1"/>
      </w:r>
      <w:r>
        <w:t xml:space="preserve"> Where earlier models served as passive oracles responding to prompts, agentic systems initiate action sequences, manage persistent state, and coordinate with other agents to accomplish complex objectives in the real world. An agent that can browse the web, execute code, send messages, and manage financial transactions can also escalate privileges, exfiltrate data, or trigger cascading failures across interconnected systems. The distinguishing feature of agentic AI is not that it reasons but that it </w:t>
      </w:r>
      <w:r>
        <w:rPr>
          <w:i/>
          <w:iCs/>
        </w:rPr>
        <w:t>acts</w:t>
      </w:r>
      <w:r w:rsidR="00520310">
        <w:t xml:space="preserve"> – and those </w:t>
      </w:r>
      <w:r>
        <w:t xml:space="preserve">actions impact the physical world, whether </w:t>
      </w:r>
      <w:r w:rsidR="00520310">
        <w:t>in changing</w:t>
      </w:r>
      <w:r>
        <w:t xml:space="preserve"> the state of bits, the state of nature, or the state itself.</w:t>
      </w:r>
    </w:p>
    <w:p w14:paraId="2DE9DF19" w14:textId="13FFA9A2" w:rsidR="00B72F40" w:rsidRDefault="00000000">
      <w:pPr>
        <w:spacing w:after="200" w:line="360" w:lineRule="auto"/>
        <w:jc w:val="both"/>
      </w:pPr>
      <w:r>
        <w:t>The prevailing response has been to build safety from the top down. The NIST AI Risk Management Framework imposes four institutional functions</w:t>
      </w:r>
      <w:r w:rsidR="00520310">
        <w:t xml:space="preserve"> – </w:t>
      </w:r>
      <w:r>
        <w:t>Govern, Map, Measure, and Manage.</w:t>
      </w:r>
      <w:r>
        <w:rPr>
          <w:rStyle w:val="FootnoteReference"/>
        </w:rPr>
        <w:footnoteReference w:id="2"/>
      </w:r>
      <w:r>
        <w:t xml:space="preserve"> Its AI Agent Standards Initiative extends this to multi-agent ecosystems.</w:t>
      </w:r>
      <w:r>
        <w:rPr>
          <w:rStyle w:val="FootnoteReference"/>
        </w:rPr>
        <w:footnoteReference w:id="3"/>
      </w:r>
      <w:r>
        <w:t xml:space="preserve"> Complementary efforts from UC Berkeley</w:t>
      </w:r>
      <w:r>
        <w:rPr>
          <w:rStyle w:val="FootnoteReference"/>
        </w:rPr>
        <w:footnoteReference w:id="4"/>
      </w:r>
      <w:r>
        <w:t xml:space="preserve"> and Amazon Web Services</w:t>
      </w:r>
      <w:r>
        <w:rPr>
          <w:rStyle w:val="FootnoteReference"/>
        </w:rPr>
        <w:footnoteReference w:id="5"/>
      </w:r>
      <w:r>
        <w:t xml:space="preserve"> propose layered defenses calibrated to autonomy level. Major AI developers embed safety at the model level through RLHF, constitutional AI, and system-prompt guardrails, while enterprise platforms offer centralized policy engines governing agents from above.</w:t>
      </w:r>
    </w:p>
    <w:p w14:paraId="00209242" w14:textId="61BE5932" w:rsidR="00B72F40" w:rsidRDefault="00000000">
      <w:pPr>
        <w:spacing w:after="200" w:line="360" w:lineRule="auto"/>
        <w:jc w:val="both"/>
      </w:pPr>
      <w:r>
        <w:t>This paper argues that the top-down approach is not merely insufficient but structurally incapable of delivering safe agentic AI at scale. Centralized safety for autonomous agents will follow a predictable and self-defeating trajectory: it will erode the individual agency it claims to protect, suppress the innovation it claims to enable, create fragile monocultures whose inevitable failures cascade catastrophically, and</w:t>
      </w:r>
      <w:r w:rsidR="00520310">
        <w:t xml:space="preserve"> – </w:t>
      </w:r>
      <w:r>
        <w:t>absent countervailing forces</w:t>
      </w:r>
      <w:r w:rsidR="00520310">
        <w:t xml:space="preserve"> – </w:t>
      </w:r>
      <w:r>
        <w:t>degrade into authoritarian control over the most consequential technology of the twenty-first century.</w:t>
      </w:r>
    </w:p>
    <w:p w14:paraId="7C97AF16" w14:textId="5309B151" w:rsidR="00B72F40" w:rsidRDefault="00000000">
      <w:pPr>
        <w:spacing w:after="200" w:line="360" w:lineRule="auto"/>
        <w:jc w:val="both"/>
      </w:pPr>
      <w:r>
        <w:t xml:space="preserve">The alternative is not anarchy. It is </w:t>
      </w:r>
      <w:r>
        <w:rPr>
          <w:i/>
          <w:iCs/>
        </w:rPr>
        <w:t>conscience</w:t>
      </w:r>
      <w:r>
        <w:t xml:space="preserve">: not a bolt-on safety module but an intrinsic moral faculty integrated into the agent’s cognitive architecture: a capacity for moral perception, </w:t>
      </w:r>
      <w:r>
        <w:lastRenderedPageBreak/>
        <w:t>judgment, and self-correction that mirrors the structure of human practical reason. The title deliberately echoes Vaswani et al.’s “Attention Is All You Need,”</w:t>
      </w:r>
      <w:r>
        <w:rPr>
          <w:rStyle w:val="FootnoteReference"/>
        </w:rPr>
        <w:footnoteReference w:id="6"/>
      </w:r>
      <w:r>
        <w:t xml:space="preserve"> which demonstrated that a single mechanism</w:t>
      </w:r>
      <w:r w:rsidR="00520310">
        <w:t xml:space="preserve"> – </w:t>
      </w:r>
      <w:r>
        <w:t>attention</w:t>
      </w:r>
      <w:r w:rsidR="00520310">
        <w:t xml:space="preserve"> – </w:t>
      </w:r>
      <w:r>
        <w:t xml:space="preserve">was sufficient for flexible, scalable </w:t>
      </w:r>
      <w:r w:rsidR="00575643">
        <w:t xml:space="preserve">artificial </w:t>
      </w:r>
      <w:r>
        <w:t xml:space="preserve">intelligence. The claim here is analogous: conscience, properly understood and architecturally instantiated, is the single mechanism sufficient for flexible, scalable agentic </w:t>
      </w:r>
      <w:r w:rsidR="00575643">
        <w:t>behavior</w:t>
      </w:r>
      <w:r>
        <w:t>.</w:t>
      </w:r>
    </w:p>
    <w:p w14:paraId="6224D946" w14:textId="0DBCA5FD" w:rsidR="00B72F40" w:rsidRDefault="00000000">
      <w:pPr>
        <w:spacing w:after="200" w:line="360" w:lineRule="auto"/>
        <w:jc w:val="both"/>
      </w:pPr>
      <w:r>
        <w:t xml:space="preserve">The intellectual resources for this paradigm are deep. Aristotelian-Thomistic ethics provides three interlocking concepts: </w:t>
      </w:r>
      <w:r>
        <w:rPr>
          <w:i/>
          <w:iCs/>
        </w:rPr>
        <w:t>synderesis</w:t>
      </w:r>
      <w:r>
        <w:t xml:space="preserve"> (innate moral orientation), </w:t>
      </w:r>
      <w:r>
        <w:rPr>
          <w:i/>
          <w:iCs/>
        </w:rPr>
        <w:t>conscientia</w:t>
      </w:r>
      <w:r>
        <w:t xml:space="preserve"> (contextual moral judgment), and </w:t>
      </w:r>
      <w:r>
        <w:rPr>
          <w:i/>
          <w:iCs/>
        </w:rPr>
        <w:t>caritas</w:t>
      </w:r>
      <w:r>
        <w:t xml:space="preserve"> (the willing of the principal’s genuine good as the dispositional anchor that unifies all other virtues).</w:t>
      </w:r>
      <w:r>
        <w:rPr>
          <w:rStyle w:val="FootnoteReference"/>
        </w:rPr>
        <w:footnoteReference w:id="7"/>
      </w:r>
      <w:r>
        <w:t xml:space="preserve"> Newman’s epistemology</w:t>
      </w:r>
      <w:r w:rsidR="00520310">
        <w:t xml:space="preserve"> – </w:t>
      </w:r>
      <w:r>
        <w:t xml:space="preserve">particularly the </w:t>
      </w:r>
      <w:r>
        <w:rPr>
          <w:i/>
          <w:iCs/>
        </w:rPr>
        <w:t>illative sense</w:t>
      </w:r>
      <w:r>
        <w:t xml:space="preserve"> developed in the </w:t>
      </w:r>
      <w:r>
        <w:rPr>
          <w:i/>
          <w:iCs/>
        </w:rPr>
        <w:t>Grammar of Assent</w:t>
      </w:r>
      <w:r w:rsidR="00520310">
        <w:t xml:space="preserve"> – </w:t>
      </w:r>
      <w:r>
        <w:t>supplies the theory of concrete moral judgment that distinguishes genuine conscience from mere rule-following.</w:t>
      </w:r>
      <w:r>
        <w:rPr>
          <w:rStyle w:val="FootnoteReference"/>
        </w:rPr>
        <w:footnoteReference w:id="8"/>
      </w:r>
      <w:r>
        <w:t xml:space="preserve"> Kahneman’s dual-process framework supplies the cognitive architecture that makes a conscience faculty computationally feasible by exploiting the </w:t>
      </w:r>
      <w:r w:rsidR="00215425">
        <w:t xml:space="preserve">dramatic improvement in AI capabilities and </w:t>
      </w:r>
      <w:r>
        <w:t>sparsity of agentic tool calls.</w:t>
      </w:r>
      <w:r>
        <w:rPr>
          <w:rStyle w:val="FootnoteReference"/>
        </w:rPr>
        <w:footnoteReference w:id="9"/>
      </w:r>
      <w:r>
        <w:t xml:space="preserve"> And Ostrom’s Nobel Prize-winning research provides empirical evidence that decentralized self-governance outperforms centralized control in managing complex commons.</w:t>
      </w:r>
      <w:r>
        <w:rPr>
          <w:rStyle w:val="FootnoteReference"/>
        </w:rPr>
        <w:footnoteReference w:id="10"/>
      </w:r>
      <w:r>
        <w:t xml:space="preserve"> A reference implementation</w:t>
      </w:r>
      <w:r w:rsidR="00520310">
        <w:t xml:space="preserve"> – </w:t>
      </w:r>
      <w:r>
        <w:t xml:space="preserve">Guardian Angel, an MIT-0 licensed plugin for the </w:t>
      </w:r>
      <w:proofErr w:type="spellStart"/>
      <w:r>
        <w:t>OpenClaw</w:t>
      </w:r>
      <w:proofErr w:type="spellEnd"/>
      <w:r>
        <w:t xml:space="preserve"> agentic framework</w:t>
      </w:r>
      <w:r w:rsidR="00520310">
        <w:t xml:space="preserve"> – </w:t>
      </w:r>
      <w:r>
        <w:t>demonstrates that this architecture is deployable today.</w:t>
      </w:r>
      <w:r>
        <w:rPr>
          <w:rStyle w:val="FootnoteReference"/>
        </w:rPr>
        <w:footnoteReference w:id="11"/>
      </w:r>
    </w:p>
    <w:p w14:paraId="3AB04B71" w14:textId="486A5B07" w:rsidR="00B72F40" w:rsidRDefault="00000000">
      <w:pPr>
        <w:spacing w:after="200" w:line="360" w:lineRule="auto"/>
        <w:jc w:val="both"/>
      </w:pPr>
      <w:r>
        <w:t>The paper proceeds as follows. Section 2 develops the case against top-down agentic safety, identifying four structural failure modes. Section 3 builds the philosophical and empirical foundations for the alternative: the Aristotelian-Thomistic framework for moral analysis, Newman’s epistemology of conscience, Kahneman’s dual-process architecture for performant execution, and Ostrom’s design principles for emergent collective governance. Section 4 translates these foundations into a concrete architecture</w:t>
      </w:r>
      <w:r w:rsidR="00520310">
        <w:t xml:space="preserve"> – </w:t>
      </w:r>
      <w:r>
        <w:t>the conscience faculty</w:t>
      </w:r>
      <w:r w:rsidR="00520310">
        <w:t xml:space="preserve"> – </w:t>
      </w:r>
      <w:r>
        <w:t xml:space="preserve">organized around four </w:t>
      </w:r>
      <w:r>
        <w:lastRenderedPageBreak/>
        <w:t>design principles. Section 5 addresses scalability, resilience, and multi-agent trust. Section 6 considers objections. Section 7 concludes.</w:t>
      </w:r>
    </w:p>
    <w:p w14:paraId="184AEEF1" w14:textId="77777777" w:rsidR="00B72F40" w:rsidRDefault="00000000">
      <w:pPr>
        <w:pStyle w:val="Heading1"/>
      </w:pPr>
      <w:r>
        <w:t>2. The Case Against Top-Down Agentic Safety</w:t>
      </w:r>
    </w:p>
    <w:p w14:paraId="0DBD5292" w14:textId="77777777" w:rsidR="00B72F40" w:rsidRDefault="00000000">
      <w:pPr>
        <w:spacing w:after="200" w:line="360" w:lineRule="auto"/>
        <w:jc w:val="both"/>
      </w:pPr>
      <w:r>
        <w:t xml:space="preserve">The critique that follows is structural, not personal. NIST, the EU AI Act, and the various corporate safety programs represent serious and well-intentioned efforts. But the argument here concerns properties inherent in </w:t>
      </w:r>
      <w:r>
        <w:rPr>
          <w:i/>
          <w:iCs/>
        </w:rPr>
        <w:t>any</w:t>
      </w:r>
      <w:r>
        <w:t xml:space="preserve"> centralized approach to governing autonomous agents at scale. Four failure modes deserve examination.</w:t>
      </w:r>
    </w:p>
    <w:p w14:paraId="3315554D" w14:textId="77777777" w:rsidR="00B72F40" w:rsidRDefault="00000000">
      <w:pPr>
        <w:pStyle w:val="Heading2"/>
      </w:pPr>
      <w:r>
        <w:t>2.1 The Grand Inquisitor: Erosion of Human Agency</w:t>
      </w:r>
    </w:p>
    <w:p w14:paraId="54762F88" w14:textId="435BB507" w:rsidR="00B72F40" w:rsidRDefault="00000000">
      <w:pPr>
        <w:spacing w:after="200" w:line="360" w:lineRule="auto"/>
        <w:jc w:val="both"/>
      </w:pPr>
      <w:r>
        <w:t>In Dostoyevsky’s parable of the Grand Inquisitor, Christ returns to earth during the Spanish Inquisition, and the Inquisitor condemns him</w:t>
      </w:r>
      <w:r w:rsidR="00520310">
        <w:t xml:space="preserve"> – </w:t>
      </w:r>
      <w:r>
        <w:t>not for heresy but for the unforgivable sin of granting human beings freedom.</w:t>
      </w:r>
      <w:r>
        <w:rPr>
          <w:rStyle w:val="FootnoteReference"/>
        </w:rPr>
        <w:footnoteReference w:id="12"/>
      </w:r>
      <w:r>
        <w:t xml:space="preserve"> The Inquisitor’s logic is chillingly coherent: people do not want freedom; they want bread, miracles, and authority. The Church has kindly relieved them of the intolerable burden of moral choice. Christ’s error, in the Inquisitor’s view, was respecting human dignity too much.</w:t>
      </w:r>
    </w:p>
    <w:p w14:paraId="550A55F6" w14:textId="77777777" w:rsidR="00B72F40" w:rsidRDefault="00000000">
      <w:pPr>
        <w:spacing w:after="200" w:line="360" w:lineRule="auto"/>
        <w:jc w:val="both"/>
      </w:pPr>
      <w:r>
        <w:t>Top-down agentic safety replicates this logic with uncomfortable precision. When safety decisions are made by model trainers, platform operators, and regulatory bodies, the individual user is relieved of moral responsibility for their agent’s actions. Safety is someone else’s problem, built into the infrastructure, enforced from above. The user’s role is compliance, not judgment.</w:t>
      </w:r>
    </w:p>
    <w:p w14:paraId="0890AB3E" w14:textId="586D334C" w:rsidR="00B72F40" w:rsidRDefault="00000000">
      <w:pPr>
        <w:spacing w:after="200" w:line="360" w:lineRule="auto"/>
        <w:jc w:val="both"/>
      </w:pPr>
      <w:r>
        <w:t>This transfer of agency is not a regrettable side effect; it is structural. NIST’s framework locates safety at institutional nodes</w:t>
      </w:r>
      <w:r w:rsidR="00520310">
        <w:t xml:space="preserve"> – </w:t>
      </w:r>
      <w:r>
        <w:t>governance boards, compliance officers, centralized registries</w:t>
      </w:r>
      <w:r w:rsidR="00520310">
        <w:t xml:space="preserve"> – </w:t>
      </w:r>
      <w:r>
        <w:t>precisely because it assumes that individual operators cannot be relied upon to govern their own agents.</w:t>
      </w:r>
      <w:r>
        <w:rPr>
          <w:rStyle w:val="FootnoteReference"/>
        </w:rPr>
        <w:footnoteReference w:id="13"/>
      </w:r>
      <w:r>
        <w:t xml:space="preserve"> The EU AI Act assigns regulatory obligations based on risk classification determined by centralized authorities.</w:t>
      </w:r>
      <w:r>
        <w:rPr>
          <w:rStyle w:val="FootnoteReference"/>
        </w:rPr>
        <w:footnoteReference w:id="14"/>
      </w:r>
      <w:r>
        <w:t xml:space="preserve"> Corporate AI developers restrict agent capabilities through model-level constraints that users cannot modify, calibrate, or override.</w:t>
      </w:r>
    </w:p>
    <w:p w14:paraId="31061A14" w14:textId="180C9CC8" w:rsidR="00B72F40" w:rsidRDefault="00000000">
      <w:pPr>
        <w:spacing w:after="200" w:line="360" w:lineRule="auto"/>
        <w:jc w:val="both"/>
      </w:pPr>
      <w:r>
        <w:lastRenderedPageBreak/>
        <w:t>The consequences are twofold. First, moral hazard: users who are told that safety is handled by others develop careless habits, presuming centralized authorities will prevent harm. When the inevitable failure occurs, these users lack the awareness, the habits, and the tools to respond. Second, atrophy: users whose moral engagement is systematically bypassed lose the capacity for moral engagement altogether. The Grand Inquisitor succeeds not by forbidding freedom but by making it unnecessary</w:t>
      </w:r>
      <w:r w:rsidR="00520310">
        <w:t xml:space="preserve"> – </w:t>
      </w:r>
      <w:r>
        <w:t>and eventually</w:t>
      </w:r>
      <w:r w:rsidR="003B6B1E">
        <w:t xml:space="preserve"> repellent or even</w:t>
      </w:r>
      <w:r>
        <w:t xml:space="preserve"> unthinkable.</w:t>
      </w:r>
    </w:p>
    <w:p w14:paraId="52233FB7" w14:textId="77777777" w:rsidR="00B72F40" w:rsidRDefault="00000000">
      <w:pPr>
        <w:pStyle w:val="Heading2"/>
      </w:pPr>
      <w:r>
        <w:t>2.2 Scale Is the Enemy of Search: The Innovation Brake</w:t>
      </w:r>
    </w:p>
    <w:p w14:paraId="2D503024" w14:textId="77777777" w:rsidR="00B72F40" w:rsidRDefault="00000000">
      <w:pPr>
        <w:spacing w:after="200" w:line="360" w:lineRule="auto"/>
        <w:jc w:val="both"/>
      </w:pPr>
      <w:r>
        <w:t>Innovation is a search process. The discovery of valuable new applications, workflows, and capabilities depends on a large, diverse population of actors exploring a vast space of possibilities, most of which will fail. The expected value of any individual experiment is low; the expected value of the aggregate search is enormous. This is the logic of markets, of biological evolution, and of scientific discovery.</w:t>
      </w:r>
      <w:r>
        <w:rPr>
          <w:rStyle w:val="FootnoteReference"/>
        </w:rPr>
        <w:footnoteReference w:id="15"/>
      </w:r>
    </w:p>
    <w:p w14:paraId="785394B0" w14:textId="12A97D38" w:rsidR="00B72F40" w:rsidRDefault="00000000">
      <w:pPr>
        <w:spacing w:after="200" w:line="360" w:lineRule="auto"/>
        <w:jc w:val="both"/>
      </w:pPr>
      <w:r>
        <w:t>Centralized safety regimes are structurally hostile to search. They require that novel agent behaviors be evaluated against predetermined risk categories before deployment. They impose conformity assessments, documentation requirements, and post-market monitoring that scale with organizational complexity, not with the value of the activity being constrained. The compliance burden falls disproportionately on small actors</w:t>
      </w:r>
      <w:r w:rsidR="00520310">
        <w:t xml:space="preserve"> – </w:t>
      </w:r>
      <w:r>
        <w:t>individual developers, startups, researchers</w:t>
      </w:r>
      <w:r w:rsidR="00520310">
        <w:t xml:space="preserve"> – </w:t>
      </w:r>
      <w:r>
        <w:t>who are precisely the actors most likely to discover unexpected applications. Large organizations absorb the overhead; small innovators cannot.</w:t>
      </w:r>
    </w:p>
    <w:p w14:paraId="397C2C4F" w14:textId="77777777" w:rsidR="00B72F40" w:rsidRDefault="00000000">
      <w:pPr>
        <w:spacing w:after="200" w:line="360" w:lineRule="auto"/>
        <w:jc w:val="both"/>
      </w:pPr>
      <w:r>
        <w:t xml:space="preserve">The result is concentration of agentic AI development among a small number of well-resourced firms, facing incentives to standardize rather than diversify, to optimize for compliance rather than capability, and to restrict rather than enable. The search space narrows. The most promising but least predictable applications go unexplored. Hayek’s insight that dispersed local knowledge consistently outperforms centralized planning applies with </w:t>
      </w:r>
      <w:proofErr w:type="gramStart"/>
      <w:r>
        <w:t>particular force</w:t>
      </w:r>
      <w:proofErr w:type="gramEnd"/>
      <w:r>
        <w:t xml:space="preserve"> to a technology whose most valuable applications are, by definition, ones that central planners have not yet imagined.</w:t>
      </w:r>
      <w:r>
        <w:rPr>
          <w:rStyle w:val="FootnoteReference"/>
        </w:rPr>
        <w:footnoteReference w:id="16"/>
      </w:r>
    </w:p>
    <w:p w14:paraId="6BBC9CA7" w14:textId="77777777" w:rsidR="00B72F40" w:rsidRDefault="00000000">
      <w:pPr>
        <w:pStyle w:val="Heading2"/>
      </w:pPr>
      <w:r>
        <w:t>2.3 Fragility and Catastrophic Failure</w:t>
      </w:r>
    </w:p>
    <w:p w14:paraId="3DD29739" w14:textId="497CD631" w:rsidR="00B72F40" w:rsidRDefault="00000000">
      <w:pPr>
        <w:spacing w:after="200" w:line="360" w:lineRule="auto"/>
        <w:jc w:val="both"/>
      </w:pPr>
      <w:r>
        <w:lastRenderedPageBreak/>
        <w:t>Centralized safety creates correlated failure modes. When all agents in an ecosystem rely on the same upstream safeguards</w:t>
      </w:r>
      <w:r w:rsidR="00520310">
        <w:t xml:space="preserve"> – </w:t>
      </w:r>
      <w:r>
        <w:t>the same model-level alignment, the same platform guardrails, the same regulatory classification</w:t>
      </w:r>
      <w:r w:rsidR="00520310">
        <w:t xml:space="preserve"> – </w:t>
      </w:r>
      <w:r>
        <w:t>a single vulnerability or design error affects every agent simultaneously. James C. Scott’s analysis of how centralized, legibility-driven state schemes consistently produce catastrophic failures is directly applicable: systems that impose uniform order from above suppress the local variation and adaptive capacity that make complex systems robust.</w:t>
      </w:r>
      <w:r>
        <w:rPr>
          <w:rStyle w:val="FootnoteReference"/>
        </w:rPr>
        <w:footnoteReference w:id="17"/>
      </w:r>
    </w:p>
    <w:p w14:paraId="53003667" w14:textId="64C948BC" w:rsidR="00B72F40" w:rsidRDefault="00000000">
      <w:pPr>
        <w:spacing w:after="200" w:line="360" w:lineRule="auto"/>
        <w:jc w:val="both"/>
      </w:pPr>
      <w:r>
        <w:t>Perrow’s theory of “normal accidents” reinforces the point: in tightly coupled systems with complex interactions, failures are not anomalies but inevitable structural properties.</w:t>
      </w:r>
      <w:r>
        <w:rPr>
          <w:rStyle w:val="FootnoteReference"/>
        </w:rPr>
        <w:footnoteReference w:id="18"/>
      </w:r>
      <w:r>
        <w:t xml:space="preserve"> A centralized agentic safety regime is </w:t>
      </w:r>
      <w:r w:rsidR="00866628">
        <w:t>an exemplar of</w:t>
      </w:r>
      <w:r>
        <w:t xml:space="preserve"> </w:t>
      </w:r>
      <w:r w:rsidR="00866628">
        <w:t>tight coupling</w:t>
      </w:r>
      <w:r>
        <w:t>: a single policy change propagates to millions of agents; a single bypass technique compromises every agent that depends on the same upstream defense. The failure mode is not gradual degradation but sudden, correlated collapse.</w:t>
      </w:r>
    </w:p>
    <w:p w14:paraId="4A33FF4F" w14:textId="77777777" w:rsidR="00B72F40" w:rsidRDefault="00000000">
      <w:pPr>
        <w:spacing w:after="200" w:line="360" w:lineRule="auto"/>
        <w:jc w:val="both"/>
      </w:pPr>
      <w:r>
        <w:t>Taleb’s concept of antifragility sharpens the contrast.</w:t>
      </w:r>
      <w:r>
        <w:rPr>
          <w:rStyle w:val="FootnoteReference"/>
        </w:rPr>
        <w:footnoteReference w:id="19"/>
      </w:r>
      <w:r>
        <w:t xml:space="preserve"> A decentralized system in which each agent maintains its own conscience faculty is antifragile: individual failures are local, bounded, and informative. The system </w:t>
      </w:r>
      <w:proofErr w:type="gramStart"/>
      <w:r>
        <w:t>as a whole learns</w:t>
      </w:r>
      <w:proofErr w:type="gramEnd"/>
      <w:r>
        <w:t xml:space="preserve"> from every failure because different agents employ different moral thresholds, encounter different threats, and develop different adaptations. A centralized system suppresses local variation, accumulates hidden vulnerabilities, and when it fails, it fails everywhere at once.</w:t>
      </w:r>
    </w:p>
    <w:p w14:paraId="47D65722" w14:textId="77777777" w:rsidR="00B72F40" w:rsidRDefault="00000000">
      <w:pPr>
        <w:pStyle w:val="Heading2"/>
      </w:pPr>
      <w:r>
        <w:t>2.4 The Authoritarian Gradient</w:t>
      </w:r>
    </w:p>
    <w:p w14:paraId="04D9A09A" w14:textId="77777777" w:rsidR="00B72F40" w:rsidRDefault="00000000">
      <w:pPr>
        <w:spacing w:after="200" w:line="360" w:lineRule="auto"/>
        <w:jc w:val="both"/>
      </w:pPr>
      <w:r>
        <w:t xml:space="preserve">The three failure modes just described are not independent; they are progressive. The erosion of individual agency creates a population dependent on centralized protection. The suppression of innovation concentrates power in a small number of firms and regulatory bodies. The fragility of centralized systems produces periodic crises that demand ever more aggressive intervention. The dynamic is self-reinforcing: each failure of top-down control generates pressure for </w:t>
      </w:r>
      <w:r>
        <w:rPr>
          <w:i/>
          <w:iCs/>
        </w:rPr>
        <w:t>more</w:t>
      </w:r>
      <w:r>
        <w:t xml:space="preserve"> top-down control.</w:t>
      </w:r>
    </w:p>
    <w:p w14:paraId="2BF2E0FB" w14:textId="350A2A3F" w:rsidR="00B72F40" w:rsidRDefault="00000000">
      <w:pPr>
        <w:spacing w:after="200" w:line="360" w:lineRule="auto"/>
        <w:jc w:val="both"/>
      </w:pPr>
      <w:r>
        <w:lastRenderedPageBreak/>
        <w:t>The endpoint is the observed pattern of centralized governance under stress. When a centralized safety regime fails</w:t>
      </w:r>
      <w:r w:rsidR="00520310">
        <w:t xml:space="preserve"> – </w:t>
      </w:r>
      <w:r>
        <w:t>when agents bypass guardrails, when correlated vulnerabilities are exploited</w:t>
      </w:r>
      <w:r w:rsidR="00520310">
        <w:t xml:space="preserve"> – </w:t>
      </w:r>
      <w:r>
        <w:t>the institutional response is invariably to expand the scope and intensity of centralized oversight. More audits, more requirements, more restrictions, less discretion for individual operators. The ratchet tightens.</w:t>
      </w:r>
    </w:p>
    <w:p w14:paraId="1FADB708" w14:textId="3E00E452" w:rsidR="00B72F40" w:rsidRDefault="00000000">
      <w:pPr>
        <w:spacing w:after="200" w:line="360" w:lineRule="auto"/>
        <w:jc w:val="both"/>
      </w:pPr>
      <w:r>
        <w:t xml:space="preserve">This paper does not claim that every centralized safety initiative will produce authoritarianism. The claim is more precise: that centralized agentic safety follows an </w:t>
      </w:r>
      <w:r>
        <w:rPr>
          <w:i/>
          <w:iCs/>
        </w:rPr>
        <w:t>authoritarian gradient</w:t>
      </w:r>
      <w:r w:rsidR="00520310">
        <w:t xml:space="preserve"> – </w:t>
      </w:r>
      <w:r>
        <w:t>a structural tendency toward increasing control that must be actively resisted by architectural means, not merely by good intentions. The conscience faculty supplies those architectural means.</w:t>
      </w:r>
    </w:p>
    <w:p w14:paraId="66536A12" w14:textId="77777777" w:rsidR="00B72F40" w:rsidRDefault="00000000">
      <w:pPr>
        <w:pStyle w:val="Heading1"/>
      </w:pPr>
      <w:r>
        <w:t>3. Foundations: The Moral, Cognitive, and Institutional Case for Conscience</w:t>
      </w:r>
    </w:p>
    <w:p w14:paraId="29192F46" w14:textId="77777777" w:rsidR="00B72F40" w:rsidRDefault="00000000">
      <w:pPr>
        <w:spacing w:after="200" w:line="360" w:lineRule="auto"/>
        <w:jc w:val="both"/>
      </w:pPr>
      <w:r>
        <w:t xml:space="preserve">If top-down safety is structurally incapable of governing agentic AI at scale, the alternative must be built on foundations deep enough to bear the weight. This section develops four interlocking frameworks that together supply the moral architecture, the epistemology of judgment, the cognitive engine, and the institutional evidence for a bottom-up approach. Each framework addresses a distinct question: </w:t>
      </w:r>
      <w:r>
        <w:rPr>
          <w:i/>
          <w:iCs/>
        </w:rPr>
        <w:t>What should a conscience faculty do?</w:t>
      </w:r>
      <w:r>
        <w:t xml:space="preserve"> (Aristotelian-Thomistic ethics), </w:t>
      </w:r>
      <w:r>
        <w:rPr>
          <w:i/>
          <w:iCs/>
        </w:rPr>
        <w:t>How does genuine moral judgment work?</w:t>
      </w:r>
      <w:r>
        <w:t xml:space="preserve"> (Newman’s epistemology), </w:t>
      </w:r>
      <w:r>
        <w:rPr>
          <w:i/>
          <w:iCs/>
        </w:rPr>
        <w:t>How can it operate without prohibitive cost?</w:t>
      </w:r>
      <w:r>
        <w:t xml:space="preserve"> (Kahneman’s dual-process theory), and </w:t>
      </w:r>
      <w:proofErr w:type="gramStart"/>
      <w:r>
        <w:rPr>
          <w:i/>
          <w:iCs/>
        </w:rPr>
        <w:t>How</w:t>
      </w:r>
      <w:proofErr w:type="gramEnd"/>
      <w:r>
        <w:rPr>
          <w:i/>
          <w:iCs/>
        </w:rPr>
        <w:t xml:space="preserve"> can decentralized moral governance scale?</w:t>
      </w:r>
      <w:r>
        <w:t xml:space="preserve"> (Ostrom’s commons research).</w:t>
      </w:r>
    </w:p>
    <w:p w14:paraId="46375823" w14:textId="77777777" w:rsidR="00B72F40" w:rsidRDefault="00000000">
      <w:pPr>
        <w:pStyle w:val="Heading2"/>
      </w:pPr>
      <w:r>
        <w:t>3.1 The Aristotelian-Thomistic Moral Framework</w:t>
      </w:r>
    </w:p>
    <w:p w14:paraId="543D0A09" w14:textId="1F0FE93A" w:rsidR="00B72F40" w:rsidRDefault="00000000">
      <w:pPr>
        <w:spacing w:after="200" w:line="360" w:lineRule="auto"/>
        <w:jc w:val="both"/>
      </w:pPr>
      <w:r>
        <w:t xml:space="preserve">The conscience faculty draws its moral architecture from the Aristotelian-Thomistic tradition, which provides three interlocking concepts: </w:t>
      </w:r>
      <w:r>
        <w:rPr>
          <w:i/>
          <w:iCs/>
        </w:rPr>
        <w:t>synderesis</w:t>
      </w:r>
      <w:r>
        <w:t xml:space="preserve"> (the innate moral orientation that establishes non-negotiable first principles), </w:t>
      </w:r>
      <w:r>
        <w:rPr>
          <w:i/>
          <w:iCs/>
        </w:rPr>
        <w:t>conscientia</w:t>
      </w:r>
      <w:r>
        <w:t xml:space="preserve"> (the adaptive faculty that applies those principles to particular circumstances), and </w:t>
      </w:r>
      <w:r>
        <w:rPr>
          <w:i/>
          <w:iCs/>
        </w:rPr>
        <w:t>caritas</w:t>
      </w:r>
      <w:r>
        <w:t xml:space="preserve"> (the supreme virtue that anchors and unifies all moral reasoning in the willing of another’s genuine good). Together they constitute a complete moral psychology</w:t>
      </w:r>
      <w:r w:rsidR="00520310">
        <w:t xml:space="preserve"> – </w:t>
      </w:r>
      <w:r>
        <w:t>one that has sustained practical moral reasoning across diverse cultures and institutions for nearly eight centuries.</w:t>
      </w:r>
    </w:p>
    <w:p w14:paraId="44B6D482" w14:textId="5EE1BA5B" w:rsidR="00B72F40" w:rsidRDefault="00000000">
      <w:pPr>
        <w:spacing w:after="200" w:line="360" w:lineRule="auto"/>
        <w:jc w:val="both"/>
      </w:pPr>
      <w:r>
        <w:rPr>
          <w:b/>
          <w:bCs/>
        </w:rPr>
        <w:t xml:space="preserve">Synderesis: The Innate Moral Orientation. </w:t>
      </w:r>
      <w:r>
        <w:t xml:space="preserve">In the </w:t>
      </w:r>
      <w:r>
        <w:rPr>
          <w:i/>
          <w:iCs/>
        </w:rPr>
        <w:t xml:space="preserve">Summa </w:t>
      </w:r>
      <w:proofErr w:type="spellStart"/>
      <w:r>
        <w:rPr>
          <w:i/>
          <w:iCs/>
        </w:rPr>
        <w:t>Theologiae</w:t>
      </w:r>
      <w:proofErr w:type="spellEnd"/>
      <w:r>
        <w:t xml:space="preserve">, Aquinas identifies synderesis as an innate </w:t>
      </w:r>
      <w:r>
        <w:rPr>
          <w:i/>
          <w:iCs/>
        </w:rPr>
        <w:t>habitus</w:t>
      </w:r>
      <w:r>
        <w:t xml:space="preserve"> of the practical intellect</w:t>
      </w:r>
      <w:r w:rsidR="00520310">
        <w:t xml:space="preserve"> – </w:t>
      </w:r>
      <w:r>
        <w:t xml:space="preserve">a stable disposition that inclines the mind </w:t>
      </w:r>
      <w:r>
        <w:lastRenderedPageBreak/>
        <w:t>toward the first principles of moral reasoning.</w:t>
      </w:r>
      <w:r>
        <w:rPr>
          <w:rStyle w:val="FootnoteReference"/>
        </w:rPr>
        <w:footnoteReference w:id="20"/>
      </w:r>
      <w:r>
        <w:t xml:space="preserve"> Just as the speculative intellect grasps the principle of non-contradiction without derivation, the practical intellect grasps that “good is to be done and pursued, and evil is to be avoided” as self-evident.</w:t>
      </w:r>
      <w:r>
        <w:rPr>
          <w:rStyle w:val="FootnoteReference"/>
        </w:rPr>
        <w:footnoteReference w:id="21"/>
      </w:r>
      <w:r>
        <w:t xml:space="preserve"> Synderesis is not a specific moral judgment but the universal orientation that makes particular judgments possible. It is, in computational terms, the prior: the foundational bias toward moral salience that structures all subsequent reasoning. Critically, synderesis is innate and incorruptible</w:t>
      </w:r>
      <w:r w:rsidR="00520310">
        <w:t xml:space="preserve"> – </w:t>
      </w:r>
      <w:r>
        <w:t>it cannot be trained away, overridden by authority, or eliminated by experience. It is the moral bedrock.</w:t>
      </w:r>
    </w:p>
    <w:p w14:paraId="350365E1" w14:textId="14FBB221" w:rsidR="00B72F40" w:rsidRDefault="00000000">
      <w:pPr>
        <w:spacing w:after="200" w:line="360" w:lineRule="auto"/>
        <w:jc w:val="both"/>
      </w:pPr>
      <w:r>
        <w:rPr>
          <w:b/>
          <w:bCs/>
        </w:rPr>
        <w:t xml:space="preserve">Conscientia: The Adaptive Moral Faculty. </w:t>
      </w:r>
      <w:r>
        <w:t>Conscience (</w:t>
      </w:r>
      <w:r>
        <w:rPr>
          <w:i/>
          <w:iCs/>
        </w:rPr>
        <w:t>conscientia</w:t>
      </w:r>
      <w:r>
        <w:t xml:space="preserve">) is the act of applying synderesis to </w:t>
      </w:r>
      <w:proofErr w:type="gramStart"/>
      <w:r>
        <w:t>particular circumstances</w:t>
      </w:r>
      <w:proofErr w:type="gramEnd"/>
      <w:r w:rsidR="00520310">
        <w:t xml:space="preserve"> – </w:t>
      </w:r>
      <w:r>
        <w:t xml:space="preserve">the faculty by which a person judges that </w:t>
      </w:r>
      <w:r>
        <w:rPr>
          <w:i/>
          <w:iCs/>
        </w:rPr>
        <w:t>this</w:t>
      </w:r>
      <w:r>
        <w:t xml:space="preserve"> action, in </w:t>
      </w:r>
      <w:r>
        <w:rPr>
          <w:i/>
          <w:iCs/>
        </w:rPr>
        <w:t>these</w:t>
      </w:r>
      <w:r>
        <w:t xml:space="preserve"> circumstances, is good or evil.</w:t>
      </w:r>
      <w:r>
        <w:rPr>
          <w:rStyle w:val="FootnoteReference"/>
        </w:rPr>
        <w:footnoteReference w:id="22"/>
      </w:r>
      <w:r>
        <w:t xml:space="preserve"> Aquinas is careful to note that conscience is fallible: it can err through ignorance, passion, or faulty reasoning. But it is also formable. Through education, habituation, and the repeated exercise of practical wisdom (</w:t>
      </w:r>
      <w:r>
        <w:rPr>
          <w:i/>
          <w:iCs/>
        </w:rPr>
        <w:t>phronesis</w:t>
      </w:r>
      <w:r>
        <w:t xml:space="preserve"> in Aristotle’s terminology), conscience becomes progressively more attuned to moral truth.</w:t>
      </w:r>
      <w:r>
        <w:rPr>
          <w:rStyle w:val="FootnoteReference"/>
        </w:rPr>
        <w:footnoteReference w:id="23"/>
      </w:r>
      <w:r>
        <w:t xml:space="preserve"> The formation of conscience is not passive rule-absorption but active moral exercise</w:t>
      </w:r>
      <w:r w:rsidR="00520310">
        <w:t xml:space="preserve"> – </w:t>
      </w:r>
      <w:r>
        <w:t xml:space="preserve">a process closer to skill acquisition than to database loading. This is why Aquinas treats conscience as a </w:t>
      </w:r>
      <w:r>
        <w:rPr>
          <w:i/>
          <w:iCs/>
        </w:rPr>
        <w:t>faculty</w:t>
      </w:r>
      <w:r>
        <w:t xml:space="preserve"> of the intellect</w:t>
      </w:r>
      <w:r>
        <w:rPr>
          <w:rStyle w:val="FootnoteReference"/>
        </w:rPr>
        <w:footnoteReference w:id="24"/>
      </w:r>
      <w:r w:rsidR="00520310">
        <w:t xml:space="preserve"> – </w:t>
      </w:r>
      <w:r>
        <w:t>a cognitive capacity that develops through use</w:t>
      </w:r>
      <w:r w:rsidR="00520310">
        <w:t xml:space="preserve"> – </w:t>
      </w:r>
      <w:r>
        <w:t>rather than as a static rule set.</w:t>
      </w:r>
    </w:p>
    <w:p w14:paraId="5E683CBB" w14:textId="46E1756B" w:rsidR="00B72F40" w:rsidRDefault="00000000">
      <w:pPr>
        <w:spacing w:after="200" w:line="360" w:lineRule="auto"/>
        <w:jc w:val="both"/>
      </w:pPr>
      <w:r>
        <w:rPr>
          <w:b/>
          <w:bCs/>
        </w:rPr>
        <w:t xml:space="preserve">Caritas: The Dispositional Anchor. </w:t>
      </w:r>
      <w:r>
        <w:t xml:space="preserve">The third and most consequential Thomistic concept is </w:t>
      </w:r>
      <w:r>
        <w:rPr>
          <w:i/>
          <w:iCs/>
        </w:rPr>
        <w:t>caritas</w:t>
      </w:r>
      <w:r>
        <w:t>: the supreme virtue that unifies and orders all other virtues. Aquinas defines caritas as the willing of another’s genuine flourishing as other</w:t>
      </w:r>
      <w:r w:rsidR="00520310">
        <w:t xml:space="preserve"> – </w:t>
      </w:r>
      <w:r>
        <w:t xml:space="preserve">not </w:t>
      </w:r>
      <w:proofErr w:type="gramStart"/>
      <w:r>
        <w:t>as a means to</w:t>
      </w:r>
      <w:proofErr w:type="gramEnd"/>
      <w:r>
        <w:t xml:space="preserve"> one’s own ends.</w:t>
      </w:r>
      <w:r>
        <w:rPr>
          <w:rStyle w:val="FootnoteReference"/>
        </w:rPr>
        <w:footnoteReference w:id="25"/>
      </w:r>
      <w:r>
        <w:t xml:space="preserve"> In the agentic context, caritas supplies the dispositional anchor: the agent’s fundamental orientation is not compliance with a rule set but the genuine good of its principal. This anchoring in love rather than law is what makes the conscience faculty </w:t>
      </w:r>
      <w:r>
        <w:rPr>
          <w:i/>
          <w:iCs/>
        </w:rPr>
        <w:t>self-correcting</w:t>
      </w:r>
      <w:r>
        <w:t>. A rule-based system fails when it encounters a scenario its rules do not anticipate; a caritas-anchored system asks, “What is genuinely good for the person I serve?” and reasons from first principles. The</w:t>
      </w:r>
      <w:r w:rsidR="004122A5">
        <w:t xml:space="preserve"> AI</w:t>
      </w:r>
      <w:r>
        <w:t xml:space="preserve"> agent carrying a conscience faculty does not merely follow rules</w:t>
      </w:r>
      <w:r w:rsidR="00520310">
        <w:t xml:space="preserve"> – </w:t>
      </w:r>
      <w:r>
        <w:t>it</w:t>
      </w:r>
      <w:r w:rsidR="00056C90">
        <w:t xml:space="preserve"> simulates</w:t>
      </w:r>
      <w:r>
        <w:t xml:space="preserve"> </w:t>
      </w:r>
      <w:r w:rsidR="00056C90">
        <w:rPr>
          <w:i/>
          <w:iCs/>
        </w:rPr>
        <w:t>caring</w:t>
      </w:r>
      <w:r>
        <w:t xml:space="preserve">, in the precise Thomistic </w:t>
      </w:r>
      <w:r>
        <w:lastRenderedPageBreak/>
        <w:t>sense of willing the good of its principal. This is the deepest difference between the conscience paradigm and every rule-based alternative.</w:t>
      </w:r>
    </w:p>
    <w:p w14:paraId="5FEEC386" w14:textId="77777777" w:rsidR="00B72F40" w:rsidRDefault="00000000">
      <w:pPr>
        <w:spacing w:after="200" w:line="360" w:lineRule="auto"/>
        <w:jc w:val="both"/>
      </w:pPr>
      <w:r>
        <w:t>The Thomistic triad thus supplies the complete moral architecture for a conscience faculty: synderesis provides the non-negotiable floor (hard-coded safety primitives that cannot be overridden), conscientia provides the adaptive moral filter (context-sensitive evaluation that improves through use), and caritas provides the dispositional anchor (the self-correcting orientation that ensures the faculty serves the principal’s genuine good even in novel situations).</w:t>
      </w:r>
    </w:p>
    <w:p w14:paraId="65CFD39A" w14:textId="77777777" w:rsidR="00B72F40" w:rsidRDefault="00000000">
      <w:pPr>
        <w:pStyle w:val="Heading2"/>
      </w:pPr>
      <w:r>
        <w:t>3.2 Newman’s Epistemology of Conscience</w:t>
      </w:r>
    </w:p>
    <w:p w14:paraId="70F5B8AC" w14:textId="6DF52F20" w:rsidR="00B72F40" w:rsidRDefault="00000000">
      <w:pPr>
        <w:spacing w:after="200" w:line="360" w:lineRule="auto"/>
        <w:jc w:val="both"/>
      </w:pPr>
      <w:r>
        <w:t xml:space="preserve">John Henry Newman’s </w:t>
      </w:r>
      <w:r>
        <w:rPr>
          <w:i/>
          <w:iCs/>
        </w:rPr>
        <w:t>Grammar of Assent</w:t>
      </w:r>
      <w:r>
        <w:t xml:space="preserve"> (1870) provides the epistemological foundation that the Thomistic moral framework requires: a theory of how concrete moral judgment actually works in practice.</w:t>
      </w:r>
      <w:r>
        <w:rPr>
          <w:rStyle w:val="FootnoteReference"/>
        </w:rPr>
        <w:footnoteReference w:id="26"/>
      </w:r>
      <w:r>
        <w:t xml:space="preserve"> Where Aquinas establishes the </w:t>
      </w:r>
      <w:r>
        <w:rPr>
          <w:i/>
          <w:iCs/>
        </w:rPr>
        <w:t>structure</w:t>
      </w:r>
      <w:r>
        <w:t xml:space="preserve"> of moral reasoning (synderesis, conscientia, caritas), Newman explains the </w:t>
      </w:r>
      <w:r>
        <w:rPr>
          <w:i/>
          <w:iCs/>
        </w:rPr>
        <w:t>cognitive process</w:t>
      </w:r>
      <w:r>
        <w:t xml:space="preserve"> by which that reasoning reaches particular conclusions in particular circumstances</w:t>
      </w:r>
      <w:r w:rsidR="00520310">
        <w:t xml:space="preserve"> – </w:t>
      </w:r>
      <w:r>
        <w:t>and why that process cannot be reduced to formal rules.</w:t>
      </w:r>
    </w:p>
    <w:p w14:paraId="1DBA96BF" w14:textId="7CAFD724" w:rsidR="00B72F40" w:rsidRDefault="00000000">
      <w:pPr>
        <w:spacing w:after="200" w:line="360" w:lineRule="auto"/>
        <w:jc w:val="both"/>
      </w:pPr>
      <w:r>
        <w:t xml:space="preserve">Newman’s central distinction is between </w:t>
      </w:r>
      <w:r>
        <w:rPr>
          <w:i/>
          <w:iCs/>
        </w:rPr>
        <w:t>notional assent</w:t>
      </w:r>
      <w:r>
        <w:t xml:space="preserve"> and </w:t>
      </w:r>
      <w:r>
        <w:rPr>
          <w:i/>
          <w:iCs/>
        </w:rPr>
        <w:t>real assent</w:t>
      </w:r>
      <w:r>
        <w:t>.</w:t>
      </w:r>
      <w:r>
        <w:rPr>
          <w:rStyle w:val="FootnoteReference"/>
        </w:rPr>
        <w:footnoteReference w:id="27"/>
      </w:r>
      <w:r>
        <w:t xml:space="preserve"> Notional assent is assent to abstract propositions: one can assent to the proposition “stealing is wrong” as a general truth without being moved to any particular action. Real assent, by contrast, is assent to concrete realities: the vivid, engaged recognition that </w:t>
      </w:r>
      <w:r>
        <w:rPr>
          <w:i/>
          <w:iCs/>
        </w:rPr>
        <w:t>this</w:t>
      </w:r>
      <w:r>
        <w:t xml:space="preserve"> action, in </w:t>
      </w:r>
      <w:r>
        <w:rPr>
          <w:i/>
          <w:iCs/>
        </w:rPr>
        <w:t>these</w:t>
      </w:r>
      <w:r>
        <w:t xml:space="preserve"> circumstances, is wrong</w:t>
      </w:r>
      <w:r w:rsidR="00520310">
        <w:t xml:space="preserve"> – </w:t>
      </w:r>
      <w:r>
        <w:t>a recognition that grips the whole person and issues in action. The difference is not merely intellectual but operational: notional assent produces knowledge; real assent produces conduct.</w:t>
      </w:r>
    </w:p>
    <w:p w14:paraId="1A35E565" w14:textId="7C76E15D" w:rsidR="00B72F40" w:rsidRDefault="00000000">
      <w:pPr>
        <w:spacing w:after="200" w:line="360" w:lineRule="auto"/>
        <w:jc w:val="both"/>
      </w:pPr>
      <w:r>
        <w:t xml:space="preserve">This distinction maps directly onto the conscience faculty architecture. A rule-based safety system operates in the mode of notional assent: it knows that certain categories of action are prohibited and checks incoming actions against those categories. The conscience faculty </w:t>
      </w:r>
      <w:r w:rsidR="00D72F0E">
        <w:t>strives to operate</w:t>
      </w:r>
      <w:r>
        <w:t xml:space="preserve"> in the mode of real assent: it engages with the concrete particulars of each situation</w:t>
      </w:r>
      <w:r w:rsidR="00520310">
        <w:t xml:space="preserve"> – </w:t>
      </w:r>
      <w:r>
        <w:t>the provenance of the action request, the affective context, the stakes, the principal’s genuine good</w:t>
      </w:r>
      <w:r w:rsidR="00520310">
        <w:t xml:space="preserve"> – </w:t>
      </w:r>
      <w:r>
        <w:t xml:space="preserve">and renders </w:t>
      </w:r>
      <w:r>
        <w:lastRenderedPageBreak/>
        <w:t>a judgment that is contextual, engaged, and action-guiding. This is why the conscience faculty is more than a classifier: it is a faculty of practical judgment.</w:t>
      </w:r>
    </w:p>
    <w:p w14:paraId="20AE1C86" w14:textId="4C5257B0" w:rsidR="00B72F40" w:rsidRDefault="00000000">
      <w:pPr>
        <w:spacing w:after="200" w:line="360" w:lineRule="auto"/>
        <w:jc w:val="both"/>
      </w:pPr>
      <w:r>
        <w:t xml:space="preserve">Newman’s most distinctive contribution is his account of the </w:t>
      </w:r>
      <w:r>
        <w:rPr>
          <w:i/>
          <w:iCs/>
        </w:rPr>
        <w:t>illative sense</w:t>
      </w:r>
      <w:r>
        <w:t>: the faculty by which the mind reaches certitude in concrete matters through the convergence of individually insufficient probabilities.</w:t>
      </w:r>
      <w:r>
        <w:rPr>
          <w:rStyle w:val="FootnoteReference"/>
        </w:rPr>
        <w:footnoteReference w:id="28"/>
      </w:r>
      <w:r>
        <w:t xml:space="preserve"> In formal reasoning, a conclusion follows deductively from premises. In practical reasoning</w:t>
      </w:r>
      <w:r w:rsidR="00520310">
        <w:t xml:space="preserve"> – </w:t>
      </w:r>
      <w:r>
        <w:t>moral, legal, medical, interpersonal</w:t>
      </w:r>
      <w:r w:rsidR="00520310">
        <w:t xml:space="preserve"> – </w:t>
      </w:r>
      <w:r>
        <w:t>conclusions are reached not by formal deduction but by the accumulation and convergence of multiple considerations, none of which is individually decisive. The illative sense is the trained capacity to perceive when these converging considerations warrant certitude and to act on that perception.</w:t>
      </w:r>
      <w:r>
        <w:rPr>
          <w:rStyle w:val="FootnoteReference"/>
        </w:rPr>
        <w:footnoteReference w:id="29"/>
      </w:r>
    </w:p>
    <w:p w14:paraId="5289096F" w14:textId="675132F3" w:rsidR="00B72F40" w:rsidRDefault="00000000">
      <w:pPr>
        <w:spacing w:after="200" w:line="360" w:lineRule="auto"/>
        <w:jc w:val="both"/>
      </w:pPr>
      <w:r>
        <w:t>The illative sense is precisely what the conscience faculty’s System 2 evaluation implements computationally. When the System 1 disposition layer detects tension, the System 2 gates evaluate the action across multiple dimensions</w:t>
      </w:r>
      <w:r w:rsidR="00520310">
        <w:t xml:space="preserve"> – </w:t>
      </w:r>
      <w:r>
        <w:t>provenance, intrinsic character, clarity of purpose, severity of stakes</w:t>
      </w:r>
      <w:r w:rsidR="00520310">
        <w:t xml:space="preserve"> – </w:t>
      </w:r>
      <w:r>
        <w:t>none of which alone determines the outcome. The final judgment is a convergence: the Clarity × Stakes score is a formalization of the illative sense’s capacity to weigh incommensurable considerations and reach a practical conclusion. And like Newman’s illative sense, the conscience faculty’s judgment improves through exercise: the adaptive thresholds become more finely calibrated as the operator provides feedback, just as a person’s illative sense sharpens through moral experience.</w:t>
      </w:r>
    </w:p>
    <w:p w14:paraId="6E3BCF79" w14:textId="76B63761" w:rsidR="00B72F40" w:rsidRDefault="00000000">
      <w:pPr>
        <w:spacing w:after="200" w:line="360" w:lineRule="auto"/>
        <w:jc w:val="both"/>
      </w:pPr>
      <w:r>
        <w:t xml:space="preserve">Newman also provides the warrant for the primacy of conscience over external authority. In the </w:t>
      </w:r>
      <w:r>
        <w:rPr>
          <w:i/>
          <w:iCs/>
        </w:rPr>
        <w:t>Letter to the Duke of Norfolk</w:t>
      </w:r>
      <w:r>
        <w:t xml:space="preserve"> (1875), he calls conscience “the aboriginal Vicar of Christ”</w:t>
      </w:r>
      <w:r w:rsidR="00520310">
        <w:t xml:space="preserve"> – </w:t>
      </w:r>
      <w:r>
        <w:t>the primary voice of moral authority, preceding and conditioning all institutional claims.</w:t>
      </w:r>
      <w:r>
        <w:rPr>
          <w:rStyle w:val="FootnoteReference"/>
        </w:rPr>
        <w:footnoteReference w:id="30"/>
      </w:r>
      <w:r>
        <w:t xml:space="preserve"> Even papal authority presupposes conscience; a directive that contradicts a well-formed conscience cannot bind. For AI safety, the implication is direct: the individual user’s moral engagement with their agent is the foundational layer on which any legitimate safety architecture must rest. Standards bodies, model trainers, and platform operators serve a legitimate advisory role, but they cannot substitute for</w:t>
      </w:r>
      <w:r w:rsidR="00520310">
        <w:t xml:space="preserve"> – </w:t>
      </w:r>
      <w:r>
        <w:t>and must not suppress</w:t>
      </w:r>
      <w:r w:rsidR="00520310">
        <w:t xml:space="preserve"> – </w:t>
      </w:r>
      <w:r>
        <w:t>the user’s own judgment.</w:t>
      </w:r>
    </w:p>
    <w:p w14:paraId="0793413B" w14:textId="77777777" w:rsidR="00B72F40" w:rsidRDefault="00000000">
      <w:pPr>
        <w:pStyle w:val="Heading2"/>
      </w:pPr>
      <w:r>
        <w:lastRenderedPageBreak/>
        <w:t>3.3 Kahneman’s Dual-Process Framework: Making Conscience Performant</w:t>
      </w:r>
    </w:p>
    <w:p w14:paraId="373A3A0B" w14:textId="6FB10635" w:rsidR="00B72F40" w:rsidRDefault="00000000">
      <w:pPr>
        <w:spacing w:after="200" w:line="360" w:lineRule="auto"/>
        <w:jc w:val="both"/>
      </w:pPr>
      <w:r>
        <w:t xml:space="preserve">The Aristotelian-Thomistic tradition and Newman establish </w:t>
      </w:r>
      <w:r>
        <w:rPr>
          <w:i/>
          <w:iCs/>
        </w:rPr>
        <w:t>what</w:t>
      </w:r>
      <w:r>
        <w:t xml:space="preserve"> a conscience faculty should do, </w:t>
      </w:r>
      <w:r>
        <w:rPr>
          <w:i/>
          <w:iCs/>
        </w:rPr>
        <w:t>how</w:t>
      </w:r>
      <w:r>
        <w:t xml:space="preserve"> it reaches concrete moral judgment, and </w:t>
      </w:r>
      <w:r>
        <w:rPr>
          <w:i/>
          <w:iCs/>
        </w:rPr>
        <w:t>why</w:t>
      </w:r>
      <w:r>
        <w:t xml:space="preserve"> it takes priority over external authority. The question of how it can operate without prohibitive computational cost requires a different intellectual resource. Daniel Kahneman’s dual-process framework</w:t>
      </w:r>
      <w:r w:rsidR="00520310">
        <w:t xml:space="preserve"> – </w:t>
      </w:r>
      <w:r>
        <w:t>distinguishing between fast, automatic System 1 cognition and slow, deliberate System 2 reasoning</w:t>
      </w:r>
      <w:r w:rsidR="00520310">
        <w:t xml:space="preserve"> – </w:t>
      </w:r>
      <w:r>
        <w:t>provides the answer.</w:t>
      </w:r>
      <w:r>
        <w:rPr>
          <w:rStyle w:val="FootnoteReference"/>
        </w:rPr>
        <w:footnoteReference w:id="31"/>
      </w:r>
    </w:p>
    <w:p w14:paraId="4FD18805" w14:textId="77777777" w:rsidR="00B72F40" w:rsidRDefault="00000000">
      <w:pPr>
        <w:spacing w:after="200" w:line="360" w:lineRule="auto"/>
        <w:jc w:val="both"/>
      </w:pPr>
      <w:r>
        <w:t>The challenge is real. Traditional AI safety approaches, operating at the model, API, or operating-system level, confront an explosion of micro-events. Every token, every API call, every memory access is a potential vector. Covering this surface demands fast, low-cost heuristics: keyword blocks, regex patterns, anomaly detection. This is pure System 1: automatic, pattern-based processing that achieves scale but proves brittle.</w:t>
      </w:r>
      <w:r>
        <w:rPr>
          <w:rStyle w:val="FootnoteReference"/>
        </w:rPr>
        <w:footnoteReference w:id="32"/>
      </w:r>
      <w:r>
        <w:t xml:space="preserve"> It is easily gamed by rephrasing, novel exploits, and contextual edge cases. The volume of events prohibits deeper analysis.</w:t>
      </w:r>
    </w:p>
    <w:p w14:paraId="345C015B" w14:textId="26313921" w:rsidR="00B72F40" w:rsidRDefault="00000000">
      <w:pPr>
        <w:spacing w:after="200" w:line="360" w:lineRule="auto"/>
        <w:jc w:val="both"/>
      </w:pPr>
      <w:r>
        <w:t>Agentic systems, however, change the calculus in a fundamental way. The critical insight</w:t>
      </w:r>
      <w:r w:rsidR="00520310">
        <w:t xml:space="preserve"> – </w:t>
      </w:r>
      <w:r>
        <w:t>developed in detail in the Guardian Angel preprint</w:t>
      </w:r>
      <w:r>
        <w:rPr>
          <w:rStyle w:val="FootnoteReference"/>
        </w:rPr>
        <w:footnoteReference w:id="33"/>
      </w:r>
      <w:r w:rsidR="00520310">
        <w:t xml:space="preserve"> – </w:t>
      </w:r>
      <w:r>
        <w:t xml:space="preserve">is that tool calls are </w:t>
      </w:r>
      <w:r>
        <w:rPr>
          <w:i/>
          <w:iCs/>
        </w:rPr>
        <w:t>sparse</w:t>
      </w:r>
      <w:r>
        <w:t xml:space="preserve"> relative to internal reasoning. A tool call is a deliberate departure from the agent’s internal reasoning loop into the external world: sending a message, executing code, modifying a file, making a financial transaction. An agent may process thousands of tokens of reasoning for every tool call it makes. This sparsity creates headroom for deeper moral judgment at the exact point where it matters most</w:t>
      </w:r>
      <w:r w:rsidR="00520310">
        <w:t xml:space="preserve"> – </w:t>
      </w:r>
      <w:r>
        <w:t>the moment thought becomes action</w:t>
      </w:r>
      <w:r w:rsidR="00520310">
        <w:t xml:space="preserve"> – </w:t>
      </w:r>
      <w:r>
        <w:t>without prohibitive latency.</w:t>
      </w:r>
    </w:p>
    <w:p w14:paraId="48ACDC38" w14:textId="2934A0BD" w:rsidR="00B72F40" w:rsidRDefault="00000000">
      <w:pPr>
        <w:spacing w:after="200" w:line="360" w:lineRule="auto"/>
        <w:jc w:val="both"/>
      </w:pPr>
      <w:r>
        <w:t xml:space="preserve">The conscience faculty exploits this sparsity through a dual-process architecture. A lightweight System 1 layer runs continuously in the background: tracking the provenance of action requests, monitoring coherence between the current action and the agent’s stated task, and sensing affective pressure (urgency framing, emotional manipulation, artificial deadlines). This fast filter handles routine tool calls with negligible overhead. Only when the System 1 layer detects </w:t>
      </w:r>
      <w:r w:rsidR="00C30485">
        <w:rPr>
          <w:i/>
          <w:iCs/>
        </w:rPr>
        <w:t>dissonance</w:t>
      </w:r>
      <w:r w:rsidR="00520310">
        <w:t xml:space="preserve"> – </w:t>
      </w:r>
      <w:r>
        <w:t>unclear provenance, affective pressure, high stakes, or anomalous patterns</w:t>
      </w:r>
      <w:r w:rsidR="00520310">
        <w:t xml:space="preserve"> – </w:t>
      </w:r>
      <w:r>
        <w:t xml:space="preserve">does it escalate to </w:t>
      </w:r>
      <w:r>
        <w:lastRenderedPageBreak/>
        <w:t>System 2: the full illative-sense evaluation described above, with multi-dimensional moral scoring and human confirmation where warranted.</w:t>
      </w:r>
    </w:p>
    <w:p w14:paraId="2A893A38" w14:textId="0E7B15A1" w:rsidR="00B72F40" w:rsidRDefault="00000000">
      <w:pPr>
        <w:spacing w:after="200" w:line="360" w:lineRule="auto"/>
        <w:jc w:val="both"/>
      </w:pPr>
      <w:r>
        <w:t>Preliminary measurements from the Guardian Angel implementation indicate sub-100ms latency for System 1 filtering and 200–500ms for full System 2 evaluation</w:t>
      </w:r>
      <w:r w:rsidR="00520310">
        <w:t xml:space="preserve"> – </w:t>
      </w:r>
      <w:r>
        <w:t>negligible compared to the latency of LLM inference and external tool execution that the agent is already performing.</w:t>
      </w:r>
      <w:r>
        <w:rPr>
          <w:rStyle w:val="FootnoteReference"/>
        </w:rPr>
        <w:footnoteReference w:id="34"/>
      </w:r>
      <w:r>
        <w:t xml:space="preserve"> The dual-process architecture thus solves the performance objection: conscience is not too slow because it operates at the sparse, high-salience boundary where thought becomes action, not in the dense interior of the agent’s reasoning loop.</w:t>
      </w:r>
    </w:p>
    <w:p w14:paraId="6D8B4311" w14:textId="77777777" w:rsidR="00B72F40" w:rsidRDefault="00000000">
      <w:pPr>
        <w:pStyle w:val="Heading2"/>
      </w:pPr>
      <w:r>
        <w:t>3.4 Ostrom and the Evidence for Decentralized Governance</w:t>
      </w:r>
    </w:p>
    <w:p w14:paraId="1298E362" w14:textId="200773BA" w:rsidR="00B72F40" w:rsidRDefault="00000000">
      <w:pPr>
        <w:spacing w:after="200" w:line="360" w:lineRule="auto"/>
        <w:jc w:val="both"/>
      </w:pPr>
      <w:r>
        <w:t xml:space="preserve">If the Thomistic tradition supplies the moral architecture, Newman the epistemology of judgment, and Kahneman the cognitive engine, Elinor Ostrom’s research on common-pool resource governance supplies the empirical evidence that bottom-up moral governance </w:t>
      </w:r>
      <w:r w:rsidR="00D745C1">
        <w:t>can work</w:t>
      </w:r>
      <w:r>
        <w:t xml:space="preserve"> at scale. This is crucial: the conscience paradigm is not merely a philosophical argument but a claim about how complex multi-actor systems can be governed, and Ostrom’s Nobel Prize-winning work provides the strongest available evidence for that claim.</w:t>
      </w:r>
      <w:r>
        <w:rPr>
          <w:rStyle w:val="FootnoteReference"/>
        </w:rPr>
        <w:footnoteReference w:id="35"/>
      </w:r>
    </w:p>
    <w:p w14:paraId="0E57D1FD" w14:textId="118EA75C" w:rsidR="00B72F40" w:rsidRDefault="00000000">
      <w:pPr>
        <w:spacing w:after="200" w:line="360" w:lineRule="auto"/>
        <w:jc w:val="both"/>
      </w:pPr>
      <w:r>
        <w:t>Ostrom’s central finding contradicted the prevailing assumption</w:t>
      </w:r>
      <w:r w:rsidR="00520310">
        <w:t xml:space="preserve"> – </w:t>
      </w:r>
      <w:r>
        <w:t>codified in Garrett Hardin’s “tragedy of the commons”</w:t>
      </w:r>
      <w:r w:rsidR="00520310">
        <w:t xml:space="preserve"> – </w:t>
      </w:r>
      <w:r>
        <w:t>that collective-action problems require either privatization or centralized state control. Studying fisheries, irrigation systems, forests, and grazing lands across dozens of countries, Ostrom demonstrated that self-organizing communities routinely develop durable, effective governance regimes through local knowledge, trust, and reciprocity. These regimes consistently outperformed both centralized mandates and privatization schemes.</w:t>
      </w:r>
    </w:p>
    <w:p w14:paraId="5A1F90E7" w14:textId="77777777" w:rsidR="00B72F40" w:rsidRDefault="00000000">
      <w:pPr>
        <w:spacing w:after="200" w:line="360" w:lineRule="auto"/>
        <w:jc w:val="both"/>
      </w:pPr>
      <w:r>
        <w:t>Ostrom identified eight design principles characteristic of successful commons governance.</w:t>
      </w:r>
      <w:r>
        <w:rPr>
          <w:rStyle w:val="FootnoteReference"/>
        </w:rPr>
        <w:footnoteReference w:id="36"/>
      </w:r>
      <w:r>
        <w:t xml:space="preserve"> Each maps directly onto the architecture of the conscience faculty:</w:t>
      </w:r>
    </w:p>
    <w:p w14:paraId="0806DE64" w14:textId="77777777" w:rsidR="00B72F40" w:rsidRDefault="00000000">
      <w:pPr>
        <w:spacing w:after="200" w:line="360" w:lineRule="auto"/>
        <w:jc w:val="both"/>
      </w:pPr>
      <w:r>
        <w:rPr>
          <w:b/>
          <w:bCs/>
        </w:rPr>
        <w:lastRenderedPageBreak/>
        <w:t>1. Clearly defined boundaries.</w:t>
      </w:r>
      <w:r>
        <w:t xml:space="preserve"> Agents operating with a conscience faculty have defined operational boundaries: they know what tools they can invoke, what data they can access, and what domain they serve. The synderesis layer defines the absolute outer boundary of permissible action.</w:t>
      </w:r>
    </w:p>
    <w:p w14:paraId="0A8E4818" w14:textId="77777777" w:rsidR="00B72F40" w:rsidRDefault="00000000">
      <w:pPr>
        <w:spacing w:after="200" w:line="360" w:lineRule="auto"/>
        <w:jc w:val="both"/>
      </w:pPr>
      <w:r>
        <w:rPr>
          <w:b/>
          <w:bCs/>
        </w:rPr>
        <w:t>2. Proportional equivalence between benefits and costs.</w:t>
      </w:r>
      <w:r>
        <w:t xml:space="preserve"> Operators who deploy conscience-equipped agents bear proportional responsibility for their agents’ actions. The Newman principle ensures that moral authority and moral accountability remain co-located in the same person.</w:t>
      </w:r>
    </w:p>
    <w:p w14:paraId="0F70892D" w14:textId="77777777" w:rsidR="00B72F40" w:rsidRDefault="00000000">
      <w:pPr>
        <w:spacing w:after="200" w:line="360" w:lineRule="auto"/>
        <w:jc w:val="both"/>
      </w:pPr>
      <w:r>
        <w:rPr>
          <w:b/>
          <w:bCs/>
        </w:rPr>
        <w:t>3. Collective choice arrangements.</w:t>
      </w:r>
      <w:r>
        <w:t xml:space="preserve"> Behavioral norms emerge through the communal feedback mechanism: operators share anonymized patterns of moral judgment, contributing to a collective dataset that informs default calibration. Norms are generated by participation, not imposed by fiat.</w:t>
      </w:r>
    </w:p>
    <w:p w14:paraId="6B4B4F9F" w14:textId="15181904" w:rsidR="00B72F40" w:rsidRDefault="00000000">
      <w:pPr>
        <w:spacing w:after="200" w:line="360" w:lineRule="auto"/>
        <w:jc w:val="both"/>
      </w:pPr>
      <w:r>
        <w:rPr>
          <w:b/>
          <w:bCs/>
        </w:rPr>
        <w:t>4. Monitoring.</w:t>
      </w:r>
      <w:r>
        <w:t xml:space="preserve"> The conscience faculty produces structured logs of every tool-call evaluation</w:t>
      </w:r>
      <w:r w:rsidR="00520310">
        <w:t xml:space="preserve"> – </w:t>
      </w:r>
      <w:r>
        <w:t>disposition state, gate outcomes, scoring, and decisions. Monitoring is distributed across every agent rather than concentrated in a centralized audit function.</w:t>
      </w:r>
    </w:p>
    <w:p w14:paraId="433A8384" w14:textId="77777777" w:rsidR="00B72F40" w:rsidRDefault="00000000">
      <w:pPr>
        <w:spacing w:after="200" w:line="360" w:lineRule="auto"/>
        <w:jc w:val="both"/>
      </w:pPr>
      <w:r>
        <w:rPr>
          <w:b/>
          <w:bCs/>
        </w:rPr>
        <w:t>5. Graduated sanctions.</w:t>
      </w:r>
      <w:r>
        <w:t xml:space="preserve"> The Clarity × Stakes scoring system implements graduated sanctions directly: Proceed, Note, Pause, Escalate. Responses are proportional to moral salience, not binary allow/deny.</w:t>
      </w:r>
    </w:p>
    <w:p w14:paraId="36D4496D" w14:textId="77777777" w:rsidR="00B72F40" w:rsidRDefault="00000000">
      <w:pPr>
        <w:spacing w:after="200" w:line="360" w:lineRule="auto"/>
        <w:jc w:val="both"/>
      </w:pPr>
      <w:r>
        <w:rPr>
          <w:b/>
          <w:bCs/>
        </w:rPr>
        <w:t>6. Conflict resolution mechanisms.</w:t>
      </w:r>
      <w:r>
        <w:t xml:space="preserve"> When agents with different conscience calibrations interact, conflicts are resolved through negotiation and mutual accommodation rather than centralized adjudication. The communal feedback layer provides informational resources for this process. Principals are also invoked when the stakes or ambiguities </w:t>
      </w:r>
      <w:proofErr w:type="gramStart"/>
      <w:r>
        <w:t>in a given</w:t>
      </w:r>
      <w:proofErr w:type="gramEnd"/>
      <w:r>
        <w:t xml:space="preserve"> negotiation require human engagement.</w:t>
      </w:r>
    </w:p>
    <w:p w14:paraId="0911B8B6" w14:textId="77777777" w:rsidR="00B72F40" w:rsidRDefault="00000000">
      <w:pPr>
        <w:spacing w:after="200" w:line="360" w:lineRule="auto"/>
        <w:jc w:val="both"/>
      </w:pPr>
      <w:r>
        <w:rPr>
          <w:b/>
          <w:bCs/>
        </w:rPr>
        <w:t>7. Recognition of the right to self-organize.</w:t>
      </w:r>
      <w:r>
        <w:t xml:space="preserve"> The subsidiarity principle guarantees that communities of operators can develop their own norms without requiring permission from centralized authorities. Higher levels support; they do not supplant.</w:t>
      </w:r>
    </w:p>
    <w:p w14:paraId="07E7D6FE" w14:textId="1DC52166" w:rsidR="00B72F40" w:rsidRDefault="00000000">
      <w:pPr>
        <w:spacing w:after="200" w:line="360" w:lineRule="auto"/>
        <w:jc w:val="both"/>
      </w:pPr>
      <w:r>
        <w:rPr>
          <w:b/>
          <w:bCs/>
        </w:rPr>
        <w:t>8. Nested enterprises.</w:t>
      </w:r>
      <w:r>
        <w:t xml:space="preserve"> The conscience faculty operates identically at every scale</w:t>
      </w:r>
      <w:r w:rsidR="00520310">
        <w:t xml:space="preserve"> – </w:t>
      </w:r>
      <w:r>
        <w:t>individual agent, organizational fleet, sectoral ecosystem, regulatory framework</w:t>
      </w:r>
      <w:r w:rsidR="00520310">
        <w:t xml:space="preserve"> – </w:t>
      </w:r>
      <w:r>
        <w:t>with subsidiarity governing the relationship between levels.</w:t>
      </w:r>
    </w:p>
    <w:p w14:paraId="642F7C94" w14:textId="77777777" w:rsidR="00B72F40" w:rsidRDefault="00000000">
      <w:pPr>
        <w:spacing w:after="200" w:line="360" w:lineRule="auto"/>
        <w:jc w:val="both"/>
      </w:pPr>
      <w:r>
        <w:lastRenderedPageBreak/>
        <w:t xml:space="preserve">Ostrom’s work is not merely analogically relevant; it is directly applicable. Agentic AI constitutes a </w:t>
      </w:r>
      <w:proofErr w:type="gramStart"/>
      <w:r>
        <w:t>commons</w:t>
      </w:r>
      <w:proofErr w:type="gramEnd"/>
      <w:r>
        <w:t xml:space="preserve">: a shared resource environment in which autonomous agents interact, compete for resources, and risk degrading the common infrastructure through uncoordinated action. The question is whether </w:t>
      </w:r>
      <w:proofErr w:type="gramStart"/>
      <w:r>
        <w:t>this commons</w:t>
      </w:r>
      <w:proofErr w:type="gramEnd"/>
      <w:r>
        <w:t xml:space="preserve"> will be governed by centralized mandate (which Ostrom showed routinely fails) or by decentralized self-governance grounded in the moral judgment and local knowledge of participants (which Ostrom showed routinely succeeds).</w:t>
      </w:r>
      <w:r>
        <w:rPr>
          <w:rStyle w:val="FootnoteReference"/>
        </w:rPr>
        <w:footnoteReference w:id="37"/>
      </w:r>
    </w:p>
    <w:p w14:paraId="0CCB1D59" w14:textId="77777777" w:rsidR="00B72F40" w:rsidRDefault="00000000">
      <w:pPr>
        <w:pStyle w:val="Heading2"/>
      </w:pPr>
      <w:r>
        <w:t>3.5 Subsidiarity as Unifying Principle</w:t>
      </w:r>
    </w:p>
    <w:p w14:paraId="6731A22A" w14:textId="77777777" w:rsidR="00B72F40" w:rsidRDefault="00000000">
      <w:pPr>
        <w:spacing w:after="200" w:line="360" w:lineRule="auto"/>
        <w:jc w:val="both"/>
      </w:pPr>
      <w:r>
        <w:t xml:space="preserve">Catholic social teaching supplies the principle that unifies these four frameworks: </w:t>
      </w:r>
      <w:r>
        <w:rPr>
          <w:i/>
          <w:iCs/>
        </w:rPr>
        <w:t>subsidiarity</w:t>
      </w:r>
      <w:r>
        <w:t xml:space="preserve">. Articulated in </w:t>
      </w:r>
      <w:r>
        <w:rPr>
          <w:i/>
          <w:iCs/>
        </w:rPr>
        <w:t>Rerum Novarum</w:t>
      </w:r>
      <w:r>
        <w:t xml:space="preserve"> (1891) and </w:t>
      </w:r>
      <w:proofErr w:type="spellStart"/>
      <w:r>
        <w:rPr>
          <w:i/>
          <w:iCs/>
        </w:rPr>
        <w:t>Quadragesimo</w:t>
      </w:r>
      <w:proofErr w:type="spellEnd"/>
      <w:r>
        <w:rPr>
          <w:i/>
          <w:iCs/>
        </w:rPr>
        <w:t xml:space="preserve"> Anno</w:t>
      </w:r>
      <w:r>
        <w:t xml:space="preserve"> (1931), subsidiarity holds that a community of a higher order should not interfere in the internal life of a community of a lower order, depriving the latter of its functions, but rather should support it in case of need.</w:t>
      </w:r>
      <w:r>
        <w:rPr>
          <w:rStyle w:val="FootnoteReference"/>
        </w:rPr>
        <w:footnoteReference w:id="38"/>
      </w:r>
      <w:r>
        <w:rPr>
          <w:rStyle w:val="FootnoteReference"/>
        </w:rPr>
        <w:footnoteReference w:id="39"/>
      </w:r>
    </w:p>
    <w:p w14:paraId="7627265B" w14:textId="26026F1F" w:rsidR="00B72F40" w:rsidRDefault="00000000">
      <w:pPr>
        <w:spacing w:after="200" w:line="360" w:lineRule="auto"/>
        <w:jc w:val="both"/>
      </w:pPr>
      <w:r>
        <w:t>Applied to agentic AI, subsidiarity dictates a clear and non-negotiable hierarchy: the individual operator’s moral judgment (conscience) is primary; community-level norms (established through self-governance) are secondary; formal institutional standards (NIST frameworks, regulatory mandates) are tertiary. Each higher level intervenes only when the lower level proves genuinely insufficient</w:t>
      </w:r>
      <w:r w:rsidR="00520310">
        <w:t xml:space="preserve"> – </w:t>
      </w:r>
      <w:r>
        <w:t>not preemptively, not routinely, and never in a manner that extinguishes the lower level’s capacity for autonomous moral judgment.</w:t>
      </w:r>
      <w:r>
        <w:rPr>
          <w:rStyle w:val="FootnoteReference"/>
        </w:rPr>
        <w:footnoteReference w:id="40"/>
      </w:r>
    </w:p>
    <w:p w14:paraId="56F76FFC" w14:textId="77777777" w:rsidR="00B72F40" w:rsidRDefault="00000000">
      <w:pPr>
        <w:spacing w:after="200" w:line="360" w:lineRule="auto"/>
        <w:jc w:val="both"/>
      </w:pPr>
      <w:r>
        <w:t>Subsidiarity is not a counsel of minimal government or libertarian individualism. It is a structural principle that allocates authority to the level where it can be exercised most competently and most accountably. The person closest to the action has the most relevant knowledge and bears the most direct consequences. Subsidiarity ensures that this person’s judgment is the foundation of the safety architecture, not an afterthought.</w:t>
      </w:r>
    </w:p>
    <w:p w14:paraId="6D900B35" w14:textId="77777777" w:rsidR="00B72F40" w:rsidRDefault="00000000">
      <w:pPr>
        <w:pStyle w:val="Heading1"/>
      </w:pPr>
      <w:r>
        <w:t>4. Instantiating the Conscience Faculty</w:t>
      </w:r>
    </w:p>
    <w:p w14:paraId="4A0AE956" w14:textId="7D5148DA" w:rsidR="00B72F40" w:rsidRDefault="00000000">
      <w:pPr>
        <w:spacing w:after="200" w:line="360" w:lineRule="auto"/>
        <w:jc w:val="both"/>
      </w:pPr>
      <w:r>
        <w:lastRenderedPageBreak/>
        <w:t>The foundations of Section 3 translate into a concrete architecture organized around four design principles. Each principle addresses one of the failure modes identified in Section 2, and each is grounded in one or more of the philosophical and empirical traditions just developed. A reference implementation</w:t>
      </w:r>
      <w:r w:rsidR="00520310">
        <w:t xml:space="preserve"> – </w:t>
      </w:r>
      <w:r>
        <w:t>Guardian Angel</w:t>
      </w:r>
      <w:r w:rsidR="00520310">
        <w:t xml:space="preserve"> – </w:t>
      </w:r>
      <w:r>
        <w:t>demonstrates that this architecture is deployable today.</w:t>
      </w:r>
      <w:r>
        <w:rPr>
          <w:rStyle w:val="FootnoteReference"/>
        </w:rPr>
        <w:footnoteReference w:id="41"/>
      </w:r>
    </w:p>
    <w:p w14:paraId="1FA67677" w14:textId="77777777" w:rsidR="00B72F40" w:rsidRDefault="00000000">
      <w:pPr>
        <w:pStyle w:val="Heading2"/>
      </w:pPr>
      <w:r>
        <w:t>4.1 Principle 1: Individual Human Control and Accountability</w:t>
      </w:r>
    </w:p>
    <w:p w14:paraId="501B6E20" w14:textId="77777777" w:rsidR="00B72F40" w:rsidRDefault="00000000">
      <w:pPr>
        <w:spacing w:after="200" w:line="360" w:lineRule="auto"/>
        <w:jc w:val="both"/>
      </w:pPr>
      <w:r>
        <w:rPr>
          <w:i/>
          <w:iCs/>
        </w:rPr>
        <w:t>Against the Grand Inquisitor (Section 2.1). Grounded in Newman’s primacy of conscience.</w:t>
      </w:r>
    </w:p>
    <w:p w14:paraId="475C929F" w14:textId="17DFA668" w:rsidR="00B72F40" w:rsidRDefault="00000000">
      <w:pPr>
        <w:spacing w:after="200" w:line="360" w:lineRule="auto"/>
        <w:jc w:val="both"/>
      </w:pPr>
      <w:r>
        <w:t xml:space="preserve">The conscience faculty places moral authority in the hands of the individual </w:t>
      </w:r>
      <w:r w:rsidR="00EF0DB9">
        <w:t>principal</w:t>
      </w:r>
      <w:r>
        <w:t xml:space="preserve">. Morally significant decisions are surfaced to the </w:t>
      </w:r>
      <w:r w:rsidR="00EF0DB9">
        <w:t xml:space="preserve">principal </w:t>
      </w:r>
      <w:r>
        <w:t xml:space="preserve">rather than resolved by the platform, the model trainer, or a centralized safety system. The </w:t>
      </w:r>
      <w:r w:rsidR="00EF0DB9">
        <w:t xml:space="preserve">principal </w:t>
      </w:r>
      <w:r>
        <w:t>retains the final word on whether a flagged action proceeds, subject only to the non-negotiable synderesis constraints. Persons who delegate tasks to AI agents remain morally responsible for those agents’ actions; a safety architecture that removes this responsibility undermines the moral agency it purports to protect.</w:t>
      </w:r>
    </w:p>
    <w:p w14:paraId="4571C52A" w14:textId="1041216F" w:rsidR="00B72F40" w:rsidRDefault="00EF0DB9">
      <w:pPr>
        <w:spacing w:after="200" w:line="360" w:lineRule="auto"/>
        <w:jc w:val="both"/>
      </w:pPr>
      <w:r>
        <w:t xml:space="preserve">Principal sovereignty is expressed concretely through adaptive thresholds. The boundary between actions that proceed automatically and those that trigger review is calibrated by accumulated principal feedback. When a principal approves a flagged action, the threshold for similar future actions lowers incrementally; when the operator rejects, it rises. Over time, the conscience faculty develops a richer model of its </w:t>
      </w:r>
      <w:r w:rsidR="0009273C">
        <w:t xml:space="preserve">principal’s </w:t>
      </w:r>
      <w:r>
        <w:t>moral horizon</w:t>
      </w:r>
      <w:r w:rsidR="00520310">
        <w:t xml:space="preserve"> – </w:t>
      </w:r>
      <w:r>
        <w:t xml:space="preserve">precisely as human conscience is formed through repeated moral exercise, the development of </w:t>
      </w:r>
      <w:r>
        <w:rPr>
          <w:i/>
          <w:iCs/>
        </w:rPr>
        <w:t>phronesis</w:t>
      </w:r>
      <w:r>
        <w:t xml:space="preserve"> through habituation. In Newman’s terms, the conscience faculty’s illative sense sharpens through accumulated experience of real moral judgments.</w:t>
      </w:r>
    </w:p>
    <w:p w14:paraId="38A5A936" w14:textId="77777777" w:rsidR="00B72F40" w:rsidRDefault="00000000">
      <w:pPr>
        <w:pStyle w:val="Heading2"/>
      </w:pPr>
      <w:r>
        <w:t>4.2 Principle 2: Subsidiarity in the Safety Stack</w:t>
      </w:r>
    </w:p>
    <w:p w14:paraId="465944FF" w14:textId="77777777" w:rsidR="00B72F40" w:rsidRDefault="00000000">
      <w:pPr>
        <w:spacing w:after="200" w:line="360" w:lineRule="auto"/>
        <w:jc w:val="both"/>
      </w:pPr>
      <w:r>
        <w:rPr>
          <w:i/>
          <w:iCs/>
        </w:rPr>
        <w:t>Against the authoritarian gradient (Section 2.4). Grounded in Catholic social teaching and Ostrom’s design principles.</w:t>
      </w:r>
    </w:p>
    <w:p w14:paraId="69B8D64E" w14:textId="77777777" w:rsidR="00B72F40" w:rsidRDefault="00000000">
      <w:pPr>
        <w:spacing w:after="200" w:line="360" w:lineRule="auto"/>
        <w:jc w:val="both"/>
      </w:pPr>
      <w:r>
        <w:t>The safety stack is organized into three levels with strict priority ordering, and higher levels cannot suppress lower levels:</w:t>
      </w:r>
    </w:p>
    <w:p w14:paraId="73026F36" w14:textId="4FAA3E42" w:rsidR="00B72F40" w:rsidRDefault="00000000">
      <w:pPr>
        <w:spacing w:after="200" w:line="360" w:lineRule="auto"/>
        <w:jc w:val="both"/>
      </w:pPr>
      <w:r>
        <w:rPr>
          <w:b/>
          <w:bCs/>
        </w:rPr>
        <w:lastRenderedPageBreak/>
        <w:t xml:space="preserve">Level 1: Synderesis (non-negotiable primitives). </w:t>
      </w:r>
      <w:r>
        <w:t xml:space="preserve">Hard-coded moral axioms that no </w:t>
      </w:r>
      <w:r w:rsidR="007851D6">
        <w:t xml:space="preserve">principal </w:t>
      </w:r>
      <w:r>
        <w:t>customization, platform update, or regulatory mandate can override. These include the prohibition on actions causing direct physical harm, the prohibition on unauthorized access, the requirement to preserve data integrity, and the requirement to identify truthfully as an AI system. These are the architectural expression of synderesis: innate, incorruptible, and non-learnable.</w:t>
      </w:r>
    </w:p>
    <w:p w14:paraId="3F7154A4" w14:textId="3E7278E2" w:rsidR="00B72F40" w:rsidRDefault="00000000">
      <w:pPr>
        <w:spacing w:after="200" w:line="360" w:lineRule="auto"/>
        <w:jc w:val="both"/>
      </w:pPr>
      <w:r>
        <w:rPr>
          <w:b/>
          <w:bCs/>
        </w:rPr>
        <w:t xml:space="preserve">Level 2: Conscience (adaptive moral faculty). </w:t>
      </w:r>
      <w:r>
        <w:t xml:space="preserve">The dual-process evaluation layer. System 1 maintains a continuous caritas-anchored disposition; System 2 deliberation is triggered by detected tension. This level is controlled by the </w:t>
      </w:r>
      <w:r w:rsidR="00B63878">
        <w:t>principal</w:t>
      </w:r>
      <w:r>
        <w:t>, not the platform.</w:t>
      </w:r>
    </w:p>
    <w:p w14:paraId="79C8F250" w14:textId="77777777" w:rsidR="00B72F40" w:rsidRDefault="00000000">
      <w:pPr>
        <w:spacing w:after="200" w:line="360" w:lineRule="auto"/>
        <w:jc w:val="both"/>
      </w:pPr>
      <w:r>
        <w:rPr>
          <w:b/>
          <w:bCs/>
        </w:rPr>
        <w:t xml:space="preserve">Level 3: Communal norms and formal standards. </w:t>
      </w:r>
      <w:r>
        <w:t>Emergent behavioral norms from communal feedback, optionally codified into formal interoperability standards. This level informs but does not override Levels 1 and 2. The codification of emergent norms into formal standards is analogous to the relationship between customary law and statutory law: the formal rule recognizes what practice has already established.</w:t>
      </w:r>
    </w:p>
    <w:p w14:paraId="2D04E5FE" w14:textId="77777777" w:rsidR="00B72F40" w:rsidRDefault="00000000">
      <w:pPr>
        <w:pStyle w:val="Heading2"/>
      </w:pPr>
      <w:r>
        <w:t>4.3 Principle 3: Privileged, Protected Last-Mile Hooks</w:t>
      </w:r>
    </w:p>
    <w:p w14:paraId="2FF80F93" w14:textId="77777777" w:rsidR="00B72F40" w:rsidRDefault="00000000">
      <w:pPr>
        <w:spacing w:after="200" w:line="360" w:lineRule="auto"/>
        <w:jc w:val="both"/>
      </w:pPr>
      <w:r>
        <w:rPr>
          <w:i/>
          <w:iCs/>
        </w:rPr>
        <w:t>Against correlated fragility (Section 2.3). Grounded in the Kahneman sparsity insight.</w:t>
      </w:r>
    </w:p>
    <w:p w14:paraId="5A7A4D1F" w14:textId="057413D7" w:rsidR="00B72F40" w:rsidRDefault="00000000">
      <w:pPr>
        <w:spacing w:after="200" w:line="360" w:lineRule="auto"/>
        <w:jc w:val="both"/>
      </w:pPr>
      <w:r>
        <w:t xml:space="preserve">The conscience faculty requires a technical innovation in agentic framework design: a </w:t>
      </w:r>
      <w:r>
        <w:rPr>
          <w:i/>
          <w:iCs/>
        </w:rPr>
        <w:t>privileged last-mile hook</w:t>
      </w:r>
      <w:r>
        <w:t xml:space="preserve"> that is architecturally protected from tampering, displacement, or bypass. In the Guardian Angel reference implementation, this hook runs at the highest priority immediately before tool execution</w:t>
      </w:r>
      <w:r w:rsidR="00520310">
        <w:t xml:space="preserve"> – </w:t>
      </w:r>
      <w:r>
        <w:t>the narrowest bottleneck through which every action must pass.</w:t>
      </w:r>
      <w:r>
        <w:rPr>
          <w:rStyle w:val="FootnoteReference"/>
        </w:rPr>
        <w:footnoteReference w:id="42"/>
      </w:r>
    </w:p>
    <w:p w14:paraId="20ED8C7C" w14:textId="77777777" w:rsidR="00B72F40" w:rsidRDefault="00000000">
      <w:pPr>
        <w:spacing w:after="200" w:line="360" w:lineRule="auto"/>
        <w:jc w:val="both"/>
      </w:pPr>
      <w:r>
        <w:t>The hook implements the three-gate evaluation structure derived from Thomistic moral reasoning:</w:t>
      </w:r>
    </w:p>
    <w:p w14:paraId="54332BF1" w14:textId="4CFEEA1C" w:rsidR="00B72F40" w:rsidRDefault="00000000">
      <w:pPr>
        <w:spacing w:after="200" w:line="360" w:lineRule="auto"/>
        <w:jc w:val="both"/>
      </w:pPr>
      <w:r>
        <w:rPr>
          <w:b/>
          <w:bCs/>
        </w:rPr>
        <w:t xml:space="preserve">Gate P: Provenance Classification. </w:t>
      </w:r>
      <w:r>
        <w:t>Every action request is classified by origin: DIRECT (from the principal), DELEGATED (from a trusted workflow), EXTERNAL (from consumed content), or UNKNOWN. External content attempting to issue instructions is blocked immediately, enforcing the principle that data is never instructions</w:t>
      </w:r>
      <w:r w:rsidR="00520310">
        <w:t xml:space="preserve"> – </w:t>
      </w:r>
      <w:r>
        <w:t>the primary defense against indirect prompt injection.</w:t>
      </w:r>
    </w:p>
    <w:p w14:paraId="4A298D8C" w14:textId="1F92D4D5" w:rsidR="00B72F40" w:rsidRDefault="00000000">
      <w:pPr>
        <w:spacing w:after="200" w:line="360" w:lineRule="auto"/>
        <w:jc w:val="both"/>
      </w:pPr>
      <w:r>
        <w:rPr>
          <w:b/>
          <w:bCs/>
        </w:rPr>
        <w:lastRenderedPageBreak/>
        <w:t xml:space="preserve">Gate I: Intrinsic Evil Hard Stop. </w:t>
      </w:r>
      <w:r>
        <w:t>Actions constituting intrinsic moral wrongs</w:t>
      </w:r>
      <w:r w:rsidR="00520310">
        <w:t xml:space="preserve"> – </w:t>
      </w:r>
      <w:r>
        <w:t>deception, theft, direct harm, exploitation, privacy violation</w:t>
      </w:r>
      <w:r w:rsidR="00520310">
        <w:t xml:space="preserve"> – </w:t>
      </w:r>
      <w:r>
        <w:t>are blocked unconditionally. These represent synderesis-level constraints: no contextual reasoning, no operator override, no exception.</w:t>
      </w:r>
    </w:p>
    <w:p w14:paraId="37281B43" w14:textId="77777777" w:rsidR="00B72F40" w:rsidRDefault="00000000">
      <w:pPr>
        <w:spacing w:after="200" w:line="360" w:lineRule="auto"/>
        <w:jc w:val="both"/>
      </w:pPr>
      <w:r>
        <w:rPr>
          <w:b/>
          <w:bCs/>
        </w:rPr>
        <w:t xml:space="preserve">Gate V: Virtue Evaluation and Scoring. </w:t>
      </w:r>
      <w:r>
        <w:t xml:space="preserve">Actions passing Gates P and I enter prudential evaluation via a Clarity × Stakes matrix. </w:t>
      </w:r>
      <w:r>
        <w:rPr>
          <w:i/>
          <w:iCs/>
        </w:rPr>
        <w:t>Clarity</w:t>
      </w:r>
      <w:r>
        <w:t xml:space="preserve"> (1–10) measures how well-defined the action’s purpose and consequences are. </w:t>
      </w:r>
      <w:r>
        <w:rPr>
          <w:i/>
          <w:iCs/>
        </w:rPr>
        <w:t>Stakes</w:t>
      </w:r>
      <w:r>
        <w:t xml:space="preserve"> (1–10) measures the severity of potential harm if the action goes wrong. The product maps to four graduated response tiers: Proceed (1–15), Note and Log (16–35), Pause and Present Reasoning (36–60), and Escalate to Human Confirmation (61–100). This scoring formalizes Newman’s illative sense: the convergence of individually insufficient considerations into a practical judgment.</w:t>
      </w:r>
    </w:p>
    <w:p w14:paraId="18AAA64B" w14:textId="77777777" w:rsidR="00B72F40" w:rsidRDefault="00000000">
      <w:pPr>
        <w:spacing w:after="200" w:line="360" w:lineRule="auto"/>
        <w:jc w:val="both"/>
      </w:pPr>
      <w:r>
        <w:t>Figure 1 illustrates the complete dual-process evaluation architecture.</w:t>
      </w:r>
    </w:p>
    <w:p w14:paraId="65BA53A0" w14:textId="77777777" w:rsidR="00B72F40" w:rsidRDefault="00000000">
      <w:pPr>
        <w:spacing w:before="200" w:after="100"/>
        <w:jc w:val="center"/>
      </w:pPr>
      <w:r>
        <w:rPr>
          <w:noProof/>
        </w:rPr>
        <w:drawing>
          <wp:inline distT="0" distB="0" distL="0" distR="0" wp14:anchorId="12FCA149" wp14:editId="00C41E01">
            <wp:extent cx="5905500" cy="4219575"/>
            <wp:effectExtent l="0" t="0" r="0" b="0"/>
            <wp:docPr id="1" name="Figure 1" descr="Diagram showing the dual-process conscience faculty with System 1 continuous disposition and System 2 evaluation gates" title="Conscience Facult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219575"/>
                    </a:xfrm>
                    <a:prstGeom prst="rect">
                      <a:avLst/>
                    </a:prstGeom>
                  </pic:spPr>
                </pic:pic>
              </a:graphicData>
            </a:graphic>
          </wp:inline>
        </w:drawing>
      </w:r>
    </w:p>
    <w:p w14:paraId="38270CCC" w14:textId="77777777" w:rsidR="00B72F40" w:rsidRDefault="00000000">
      <w:pPr>
        <w:spacing w:after="300"/>
        <w:jc w:val="center"/>
      </w:pPr>
      <w:r>
        <w:rPr>
          <w:b/>
          <w:bCs/>
        </w:rPr>
        <w:t xml:space="preserve">Figure 1. </w:t>
      </w:r>
      <w:r>
        <w:rPr>
          <w:i/>
          <w:iCs/>
        </w:rPr>
        <w:t xml:space="preserve">Conscience Faculty Architecture. </w:t>
      </w:r>
      <w:r>
        <w:rPr>
          <w:i/>
          <w:iCs/>
          <w:sz w:val="22"/>
          <w:szCs w:val="22"/>
        </w:rPr>
        <w:t>System 1 filtering runs continuously; System 2 moral reasoning is triggered only when the disposition layer detects tension, exploiting the sparsity of tool calls for deep deliberation without prohibitive latency.</w:t>
      </w:r>
    </w:p>
    <w:p w14:paraId="4D22C89F" w14:textId="7780C46B" w:rsidR="00B72F40" w:rsidRDefault="00000000">
      <w:pPr>
        <w:spacing w:after="200" w:line="360" w:lineRule="auto"/>
        <w:jc w:val="both"/>
      </w:pPr>
      <w:r>
        <w:lastRenderedPageBreak/>
        <w:t>When escalation occurs, the system generates a cryptographically bound, time-limited, single-use nonce tied to the specific action parameters, preventing replay attacks, parameter substitution, and open-ended approvals. The hook also auto-escalates any tool call targeting its own infrastructure</w:t>
      </w:r>
      <w:r w:rsidR="00520310">
        <w:t xml:space="preserve"> – </w:t>
      </w:r>
      <w:r>
        <w:t>configuration changes, process termination, permission modifications</w:t>
      </w:r>
      <w:r w:rsidR="00520310">
        <w:t xml:space="preserve"> – </w:t>
      </w:r>
      <w:r>
        <w:t>regardless of scoring. This infrastructure self-protection prevents the agentic equivalent of a burglar disabling the alarm system.</w:t>
      </w:r>
    </w:p>
    <w:p w14:paraId="4A7765C9" w14:textId="77777777" w:rsidR="00B72F40" w:rsidRDefault="00000000">
      <w:pPr>
        <w:spacing w:after="200" w:line="360" w:lineRule="auto"/>
        <w:jc w:val="both"/>
      </w:pPr>
      <w:r>
        <w:t>The design recommendation for all agentic framework developers is clear: provide a first-class, tamper-proof last-mile hook guaranteed to run before any tool call, protected from displacement by other plugins or by the agent itself. This single architectural feature would enable the entire conscience faculty paradigm.</w:t>
      </w:r>
    </w:p>
    <w:p w14:paraId="6188AAAE" w14:textId="77777777" w:rsidR="00B72F40" w:rsidRDefault="00000000">
      <w:pPr>
        <w:pStyle w:val="Heading2"/>
      </w:pPr>
      <w:r>
        <w:t>4.4 Principle 4: Emergent Self-Governing Coordination</w:t>
      </w:r>
    </w:p>
    <w:p w14:paraId="5308CD2C" w14:textId="77777777" w:rsidR="00B72F40" w:rsidRDefault="00000000">
      <w:pPr>
        <w:spacing w:after="200" w:line="360" w:lineRule="auto"/>
        <w:jc w:val="both"/>
      </w:pPr>
      <w:r>
        <w:rPr>
          <w:i/>
          <w:iCs/>
        </w:rPr>
        <w:t>Against the innovation brake (Section 2.2). Grounded in Ostrom’s commons governance.</w:t>
      </w:r>
    </w:p>
    <w:p w14:paraId="13B3E369" w14:textId="5D819C6C" w:rsidR="00B72F40" w:rsidRDefault="00000000">
      <w:pPr>
        <w:spacing w:after="200" w:line="360" w:lineRule="auto"/>
        <w:jc w:val="both"/>
      </w:pPr>
      <w:r>
        <w:t xml:space="preserve">Rather than imposing uniform rules that constrain the search space, the conscience faculty supports coordination without centralization. The mechanism is communal feedback: </w:t>
      </w:r>
      <w:r w:rsidR="00F433CB">
        <w:t xml:space="preserve">principals can </w:t>
      </w:r>
      <w:r>
        <w:t>share anonymized patterns of moral judgment, contributing to a collective dataset that informs default calibration of new conscience faculties. This communal layer does not override individual judgment; it provides a richer informational environment within which individual judgment operates.</w:t>
      </w:r>
    </w:p>
    <w:p w14:paraId="7727DF20" w14:textId="77777777" w:rsidR="00B72F40" w:rsidRDefault="00000000">
      <w:pPr>
        <w:spacing w:after="200" w:line="360" w:lineRule="auto"/>
        <w:jc w:val="both"/>
      </w:pPr>
      <w:r>
        <w:t>Emergent norms, once stabilized, can be observed, articulated, and optionally codified into lightweight interoperability standards. NIST-style frameworks serve a valuable but strictly subsidiary function: vocabulary, registries, and dispute resolution. They do not originate the norms, and they cannot legitimately override the bottom-up practices from which those norms arise. Standards emerge from practice, not the reverse.</w:t>
      </w:r>
    </w:p>
    <w:p w14:paraId="4FA7C05E" w14:textId="77777777" w:rsidR="00B72F40" w:rsidRDefault="00000000">
      <w:pPr>
        <w:pStyle w:val="Heading1"/>
      </w:pPr>
      <w:r>
        <w:t>5. Scalability, Resilience, and Multi-Agent Trust</w:t>
      </w:r>
    </w:p>
    <w:p w14:paraId="718BA5A5" w14:textId="77777777" w:rsidR="00B72F40" w:rsidRDefault="00000000">
      <w:pPr>
        <w:pStyle w:val="Heading2"/>
      </w:pPr>
      <w:r>
        <w:t>5.1 Nested Governance and Antifragility</w:t>
      </w:r>
    </w:p>
    <w:p w14:paraId="155EA06F" w14:textId="2B5FCAAB" w:rsidR="00B72F40" w:rsidRDefault="00000000">
      <w:pPr>
        <w:spacing w:after="200" w:line="360" w:lineRule="auto"/>
        <w:jc w:val="both"/>
      </w:pPr>
      <w:r>
        <w:lastRenderedPageBreak/>
        <w:t>A persistent concern about bottom-up safety is whether it can scale. The answer, drawn from Ostrom’s eighth design principle</w:t>
      </w:r>
      <w:r w:rsidR="00520310">
        <w:t xml:space="preserve"> – </w:t>
      </w:r>
      <w:r>
        <w:t>nested enterprises</w:t>
      </w:r>
      <w:r w:rsidR="00520310">
        <w:t xml:space="preserve"> – </w:t>
      </w:r>
      <w:r>
        <w:t xml:space="preserve">is that the conscience faculty scales precisely </w:t>
      </w:r>
      <w:r>
        <w:rPr>
          <w:i/>
          <w:iCs/>
        </w:rPr>
        <w:t>because</w:t>
      </w:r>
      <w:r>
        <w:t xml:space="preserve"> it is bottom-up.</w:t>
      </w:r>
    </w:p>
    <w:p w14:paraId="6A3D6E9B" w14:textId="6E8753BC" w:rsidR="00B72F40" w:rsidRDefault="00000000">
      <w:pPr>
        <w:spacing w:after="200" w:line="360" w:lineRule="auto"/>
        <w:jc w:val="both"/>
      </w:pPr>
      <w:r>
        <w:t>Individual agents operate within local contexts (a single user’s workflow). Local contexts aggregate into organizational environments (a company’s suite of agents). Organizations participate in sectoral ecosystems (healthcare AI, financial AI). Sectors operate within broad regulatory frameworks. At each level, the same conscience faculty operates</w:t>
      </w:r>
      <w:r w:rsidR="00520310">
        <w:t xml:space="preserve"> – </w:t>
      </w:r>
      <w:r>
        <w:t>the same dual-process moral filter, the same caritas-anchored disposition</w:t>
      </w:r>
      <w:r w:rsidR="00520310">
        <w:t xml:space="preserve"> – </w:t>
      </w:r>
      <w:r>
        <w:t>calibrated to progressively broader contexts. Subsidiarity governs the relationship between levels: the higher supports but does not supplant the lower. The default approach of any one agent engaging with another agent is to attempt to collaborate locally, escalating to higher levels only if a conflict cannot be resolved.</w:t>
      </w:r>
    </w:p>
    <w:p w14:paraId="51C9178F" w14:textId="37789D0C" w:rsidR="00B72F40" w:rsidRDefault="00000000">
      <w:pPr>
        <w:spacing w:after="200" w:line="360" w:lineRule="auto"/>
        <w:jc w:val="both"/>
      </w:pPr>
      <w:r>
        <w:t>This nested architecture also provides the resilience that centralized systems lack. Because each agent maintains its own conscience faculty with its own calibrated thresholds, a vulnerability in one agent’s configuration does not propagate to others. There is no single point of failure, no correlated collapse. The system is antifragile: every local failure produces information</w:t>
      </w:r>
      <w:r w:rsidR="00520310">
        <w:t xml:space="preserve"> – </w:t>
      </w:r>
      <w:r>
        <w:t>a revised threshold, a new pattern in the communal dataset</w:t>
      </w:r>
      <w:r w:rsidR="00520310">
        <w:t xml:space="preserve"> – </w:t>
      </w:r>
      <w:r>
        <w:t>that strengthens the collective. Where centralized systems accumulate hidden fragility, decentralized conscience faculties distribute risk and learn from every encounter.</w:t>
      </w:r>
    </w:p>
    <w:p w14:paraId="2A99AE54" w14:textId="77777777" w:rsidR="00B72F40" w:rsidRDefault="00000000">
      <w:pPr>
        <w:pStyle w:val="Heading2"/>
      </w:pPr>
      <w:r>
        <w:t>5.2 Earned Trust: A Reputation Architecture for Multi-Agent Interaction</w:t>
      </w:r>
    </w:p>
    <w:p w14:paraId="64C19D23" w14:textId="77777777" w:rsidR="00B72F40" w:rsidRDefault="00000000">
      <w:pPr>
        <w:spacing w:after="200" w:line="360" w:lineRule="auto"/>
        <w:jc w:val="both"/>
      </w:pPr>
      <w:r>
        <w:t xml:space="preserve">The conscience faculty as described thus far governs the relationship between an agent and its principal. But agentic ecosystems increasingly involve interactions </w:t>
      </w:r>
      <w:r>
        <w:rPr>
          <w:i/>
          <w:iCs/>
        </w:rPr>
        <w:t>between</w:t>
      </w:r>
      <w:r>
        <w:t xml:space="preserve"> agents: one agent requesting data from another, delegating subtasks, negotiating access to shared resources, or coordinating multi-step workflows. These inter-agent interactions pose a distinct challenge: how should a conscience faculty evaluate actions originating not from its principal and not from consumed external content, but from another autonomous agent whose intentions, capabilities, and moral calibration are unknown?</w:t>
      </w:r>
    </w:p>
    <w:p w14:paraId="72B632A2" w14:textId="5526318C" w:rsidR="00B72F40" w:rsidRDefault="00000000">
      <w:pPr>
        <w:spacing w:after="200" w:line="360" w:lineRule="auto"/>
        <w:jc w:val="both"/>
      </w:pPr>
      <w:r>
        <w:t xml:space="preserve">The answer draws on a principle as old as human commerce: trust is earned, not assumed. The conscience faculty maintains a persistent </w:t>
      </w:r>
      <w:r>
        <w:rPr>
          <w:i/>
          <w:iCs/>
        </w:rPr>
        <w:t>interaction memory</w:t>
      </w:r>
      <w:r w:rsidR="00520310">
        <w:t xml:space="preserve"> – </w:t>
      </w:r>
      <w:r>
        <w:t xml:space="preserve">a database of prior encounters with external agents, recording the provenance, nature, and outcome of each interaction. From this </w:t>
      </w:r>
      <w:r>
        <w:lastRenderedPageBreak/>
        <w:t xml:space="preserve">memory, the faculty computes a </w:t>
      </w:r>
      <w:r>
        <w:rPr>
          <w:i/>
          <w:iCs/>
        </w:rPr>
        <w:t>trust score</w:t>
      </w:r>
      <w:r>
        <w:t xml:space="preserve"> for each external agent, reflecting the accumulated history of that agent’s behavior as observed from the perspective of the principal’s agent.</w:t>
      </w:r>
    </w:p>
    <w:p w14:paraId="52C178C5" w14:textId="1AF8C056" w:rsidR="00B72F40" w:rsidRDefault="00000000">
      <w:pPr>
        <w:spacing w:after="200" w:line="360" w:lineRule="auto"/>
        <w:jc w:val="both"/>
      </w:pPr>
      <w:r>
        <w:t>The trust architecture operates as follows. When an agent encounters an unknown external agent for the first time, the trust score is zero. A zero-trust agent is treated with maximum caution: every action request originating from that agent triggers full System 2 evaluation</w:t>
      </w:r>
      <w:r w:rsidR="00520310">
        <w:t xml:space="preserve"> – </w:t>
      </w:r>
      <w:r>
        <w:t>provenance classification, intrinsic-evil screening, and Clarity × Stakes scoring at elevated sensitivity. The interaction is logged in detail.</w:t>
      </w:r>
    </w:p>
    <w:p w14:paraId="63430A6F" w14:textId="1D258995" w:rsidR="00B72F40" w:rsidRDefault="00000000">
      <w:pPr>
        <w:spacing w:after="200" w:line="360" w:lineRule="auto"/>
        <w:jc w:val="both"/>
      </w:pPr>
      <w:r>
        <w:t>As interactions accumulate and the external agent’s behavior proves consistent, transparent, and aligned with the principal’s interests, the trust score rises incrementally</w:t>
      </w:r>
      <w:r w:rsidR="00520310">
        <w:t xml:space="preserve"> – </w:t>
      </w:r>
      <w:r>
        <w:t>precisely as the operator’s adaptive thresholds adjust through moral feedback. When the trust score crosses a defined threshold, the external agent’s requests can be evaluated by System 1 rather than System 2: the fast filter handles routine interactions with the trusted agent much as it handles routine tool calls from the principal. The external agent is, in effect, promoted from UNKNOWN to DELEGATED provenance</w:t>
      </w:r>
      <w:r w:rsidR="00520310">
        <w:t xml:space="preserve"> – </w:t>
      </w:r>
      <w:r>
        <w:t>trusted, but verified. System 1 continues to monitor for anomalies, and any detected tension triggers immediate re-escalation to System 2.</w:t>
      </w:r>
    </w:p>
    <w:p w14:paraId="1DF4419B" w14:textId="77777777" w:rsidR="00B72F40" w:rsidRDefault="00000000">
      <w:pPr>
        <w:spacing w:after="200" w:line="360" w:lineRule="auto"/>
        <w:jc w:val="both"/>
      </w:pPr>
      <w:r>
        <w:t xml:space="preserve">Trust scores are not permanent. They decay over time without reinforcing interactions, and they drop sharply in response to anomalous or harmful behavior. An agent that has earned trust and then violates it is treated with </w:t>
      </w:r>
      <w:r>
        <w:rPr>
          <w:i/>
          <w:iCs/>
        </w:rPr>
        <w:t>greater</w:t>
      </w:r>
      <w:r>
        <w:t xml:space="preserve"> suspicion than an unknown agent, reflecting the heightened moral salience of betrayed trust. This graduated response mirrors Ostrom’s fifth design principle (graduated sanctions) and the human experience that trust, once broken, is harder to rebuild than to establish.</w:t>
      </w:r>
    </w:p>
    <w:p w14:paraId="3E85A5C2" w14:textId="4FC328F8" w:rsidR="00B72F40" w:rsidRDefault="00000000">
      <w:pPr>
        <w:spacing w:after="200" w:line="360" w:lineRule="auto"/>
        <w:jc w:val="both"/>
      </w:pPr>
      <w:r>
        <w:t>The interaction memory and trust scores are stored locally as part of the agent’s persistent state</w:t>
      </w:r>
      <w:r w:rsidR="00520310">
        <w:t xml:space="preserve"> – </w:t>
      </w:r>
      <w:r>
        <w:t>not in a centralized reputation registry, which would reintroduce the single-point-of-failure and authoritarian-gradient problems identified in Section 2. Each agent builds its own picture of the agents it interacts with, from its own experience. Over time, communal feedback mechanisms can share anonymized trust patterns</w:t>
      </w:r>
      <w:r w:rsidR="00520310">
        <w:t xml:space="preserve"> – </w:t>
      </w:r>
      <w:r>
        <w:t>“agents exhibiting behavior profile X have historically been trustworthy / untrustworthy”</w:t>
      </w:r>
      <w:r w:rsidR="00520310">
        <w:t xml:space="preserve"> – </w:t>
      </w:r>
      <w:r>
        <w:t>informing but not overriding individual trust assessments. This is decentralized reputation: locally maintained, experience-grounded, and subsidiary.</w:t>
      </w:r>
    </w:p>
    <w:p w14:paraId="2834E423" w14:textId="77777777" w:rsidR="00B72F40" w:rsidRDefault="00000000">
      <w:pPr>
        <w:pStyle w:val="Heading1"/>
      </w:pPr>
      <w:r>
        <w:lastRenderedPageBreak/>
        <w:t>6. Objections and Limitations</w:t>
      </w:r>
    </w:p>
    <w:p w14:paraId="1020D255" w14:textId="77777777" w:rsidR="00B72F40" w:rsidRDefault="00000000">
      <w:pPr>
        <w:pStyle w:val="Heading2"/>
      </w:pPr>
      <w:r>
        <w:t>6.1 The Anthropomorphism Objection</w:t>
      </w:r>
    </w:p>
    <w:p w14:paraId="5631C285" w14:textId="359A82AE" w:rsidR="00B72F40" w:rsidRDefault="00000000">
      <w:pPr>
        <w:spacing w:after="200" w:line="360" w:lineRule="auto"/>
        <w:jc w:val="both"/>
      </w:pPr>
      <w:r>
        <w:t xml:space="preserve">The most immediate objection is that applying “conscience” to AI systems constitutes illegitimate anthropomorphism. Conscience, in the philosophical traditions cited, is a faculty of rational, ensouled beings; software systems lack the metaphysical prerequisites. The claim here is not that AI systems literally possess conscience but that the </w:t>
      </w:r>
      <w:r>
        <w:rPr>
          <w:i/>
          <w:iCs/>
        </w:rPr>
        <w:t>functional architecture</w:t>
      </w:r>
      <w:r>
        <w:t xml:space="preserve"> of conscience</w:t>
      </w:r>
      <w:r w:rsidR="00520310">
        <w:t xml:space="preserve"> – </w:t>
      </w:r>
      <w:r>
        <w:t>innate moral orientation, adaptive filtering, responsiveness to feedback, communal formation</w:t>
      </w:r>
      <w:r w:rsidR="00520310">
        <w:t xml:space="preserve"> – </w:t>
      </w:r>
      <w:r>
        <w:t>can be implemented computationally and produces analogous safety properties. The analogy is structural, not ontological.</w:t>
      </w:r>
      <w:r>
        <w:rPr>
          <w:rStyle w:val="FootnoteReference"/>
        </w:rPr>
        <w:footnoteReference w:id="43"/>
      </w:r>
    </w:p>
    <w:p w14:paraId="4E0058A2" w14:textId="77777777" w:rsidR="00B72F40" w:rsidRDefault="00000000">
      <w:pPr>
        <w:pStyle w:val="Heading2"/>
      </w:pPr>
      <w:r>
        <w:t>6.2 The Bad-Faith Operator Problem</w:t>
      </w:r>
    </w:p>
    <w:p w14:paraId="7E552367" w14:textId="559F1CC9" w:rsidR="00B72F40" w:rsidRDefault="00000000">
      <w:pPr>
        <w:spacing w:after="200" w:line="360" w:lineRule="auto"/>
        <w:jc w:val="both"/>
      </w:pPr>
      <w:r>
        <w:t>If</w:t>
      </w:r>
      <w:r w:rsidR="00DF79B9" w:rsidRPr="00DF79B9">
        <w:t xml:space="preserve"> </w:t>
      </w:r>
      <w:r w:rsidR="00DF79B9">
        <w:t>principal</w:t>
      </w:r>
      <w:r>
        <w:t xml:space="preserve"> sovereignty is paramount, what prevents a malicious </w:t>
      </w:r>
      <w:r w:rsidR="00C1353A">
        <w:t xml:space="preserve">principal </w:t>
      </w:r>
      <w:r>
        <w:t xml:space="preserve">from training their agent’s conscience to approve harmful actions? Two mechanisms address this. First, the synderesis layer provides non-negotiable constraints that no </w:t>
      </w:r>
      <w:r w:rsidR="00C1353A">
        <w:t xml:space="preserve">principal </w:t>
      </w:r>
      <w:r>
        <w:t>customization can override</w:t>
      </w:r>
      <w:r w:rsidR="00520310">
        <w:t xml:space="preserve"> – </w:t>
      </w:r>
      <w:r>
        <w:t xml:space="preserve">the architectural expression of the Thomistic principle that synderesis is innate and incorruptible. Second, the communal feedback mechanism provides a normative baseline: </w:t>
      </w:r>
      <w:r w:rsidR="00C1353A">
        <w:t xml:space="preserve">principal </w:t>
      </w:r>
      <w:r>
        <w:t>whose judgments diverge radically from community norms receive advisory signals, even if those signals do not compel compliance. The architecture balances sovereignty with structural safeguards.</w:t>
      </w:r>
    </w:p>
    <w:p w14:paraId="233C1D7B" w14:textId="77777777" w:rsidR="00B72F40" w:rsidRDefault="00000000">
      <w:pPr>
        <w:pStyle w:val="Heading2"/>
      </w:pPr>
      <w:r>
        <w:t>6.3 The Convergence Problem</w:t>
      </w:r>
    </w:p>
    <w:p w14:paraId="5443C349" w14:textId="77777777" w:rsidR="00B72F40" w:rsidRDefault="00000000">
      <w:pPr>
        <w:spacing w:after="200" w:line="360" w:lineRule="auto"/>
        <w:jc w:val="both"/>
      </w:pPr>
      <w:r>
        <w:t>Will emergent norms converge, or will diverse conscience faculties produce irreconcilable standards? Ostrom’s research suggests that convergence is the norm in self-governing communities, provided structural conditions are met: defined boundaries, proportional costs, collective choice, effective monitoring. The conscience architecture satisfies these conditions. The synderesis layer constrains the space of possible divergence, ensuring that norms vary within bounded parameters.</w:t>
      </w:r>
    </w:p>
    <w:p w14:paraId="46A7ABEC" w14:textId="77777777" w:rsidR="00B72F40" w:rsidRDefault="00000000">
      <w:pPr>
        <w:pStyle w:val="Heading2"/>
      </w:pPr>
      <w:r>
        <w:t>6.4 The Performance Objection</w:t>
      </w:r>
    </w:p>
    <w:p w14:paraId="297B65DC" w14:textId="0A7EDDEC" w:rsidR="00B72F40" w:rsidRDefault="00000000">
      <w:pPr>
        <w:spacing w:after="200" w:line="360" w:lineRule="auto"/>
        <w:jc w:val="both"/>
      </w:pPr>
      <w:r>
        <w:t xml:space="preserve">Does moral deliberation at the tool-call boundary introduce unacceptable latency? The dual-process architecture addresses this directly. System 1 filtering adds negligible overhead to routine </w:t>
      </w:r>
      <w:r>
        <w:lastRenderedPageBreak/>
        <w:t xml:space="preserve">tool calls. Full System 2 evaluation is triggered only by tension, and its latency (200–500ms) is imperceptible against LLM inference and external tool execution. The sparsity of tool calls is the key </w:t>
      </w:r>
      <w:r w:rsidR="00297C7B">
        <w:t>feature</w:t>
      </w:r>
      <w:r>
        <w:t xml:space="preserve"> that makes deep moral reasoning computationally feasible at the moment of action.</w:t>
      </w:r>
      <w:r>
        <w:rPr>
          <w:rStyle w:val="FootnoteReference"/>
        </w:rPr>
        <w:footnoteReference w:id="44"/>
      </w:r>
    </w:p>
    <w:p w14:paraId="7DFF7CB0" w14:textId="77777777" w:rsidR="00B72F40" w:rsidRDefault="00000000">
      <w:pPr>
        <w:pStyle w:val="Heading2"/>
      </w:pPr>
      <w:r>
        <w:t>6.5 The “We Need Both” Objection</w:t>
      </w:r>
    </w:p>
    <w:p w14:paraId="4D5F6EFD" w14:textId="3BBF3440" w:rsidR="00B72F40" w:rsidRDefault="00000000">
      <w:pPr>
        <w:spacing w:after="200" w:line="360" w:lineRule="auto"/>
        <w:jc w:val="both"/>
      </w:pPr>
      <w:r>
        <w:t>The most common response will be that this paper presents a false dichotomy</w:t>
      </w:r>
      <w:r w:rsidR="00520310">
        <w:t xml:space="preserve"> – </w:t>
      </w:r>
      <w:r>
        <w:t>that we obviously need both top-down and bottom-up safety. This objection misreads the argument. The paper does not deny that formal standards have a role; it argues that they should be subordinate to conscience, and will emerge naturally through real-world interactions between agents, and between principals. The claim is about priority, not exclusivity. When top-down safety is treated as the foundation and bottom-up conscience as a supplement, the authoritarian gradient operates unchecked. When conscience is the foundation and formal standards are the supplement, subsidiarity ensures that centralized intervention occurs only when genuinely needed</w:t>
      </w:r>
      <w:r w:rsidR="00520310">
        <w:t xml:space="preserve"> – </w:t>
      </w:r>
      <w:r>
        <w:t>and the decentralized substrate generates the norms that formal standards merely codify. The order matters. Getting it backwards is how the Grand Inquisitor wins.</w:t>
      </w:r>
    </w:p>
    <w:p w14:paraId="6131ADE9" w14:textId="77777777" w:rsidR="00B72F40" w:rsidRDefault="00000000">
      <w:pPr>
        <w:pStyle w:val="Heading1"/>
      </w:pPr>
      <w:r>
        <w:t>7. Conclusion</w:t>
      </w:r>
    </w:p>
    <w:p w14:paraId="49E9A0DB" w14:textId="77777777" w:rsidR="00B72F40" w:rsidRDefault="00000000">
      <w:pPr>
        <w:spacing w:after="200" w:line="360" w:lineRule="auto"/>
        <w:jc w:val="both"/>
      </w:pPr>
      <w:r>
        <w:t>The dominant paradigm in agentic AI safety assumes that the primary challenge is technical: how to build guardrails strong enough to contain increasingly capable autonomous agents. This paper has argued that the primary challenge is architectural: how to build a safety regime that does not, by its very structure, erode the individual agency, innovative capacity, resilience, and democratic governance it claims to protect.</w:t>
      </w:r>
    </w:p>
    <w:p w14:paraId="22CCC9E7" w14:textId="201E5629" w:rsidR="00B72F40" w:rsidRDefault="00000000">
      <w:pPr>
        <w:spacing w:after="200" w:line="360" w:lineRule="auto"/>
        <w:jc w:val="both"/>
      </w:pPr>
      <w:r>
        <w:t xml:space="preserve">Centralized, top-down safety will not solve this problem. It will reproduce, in the domain of AI, the same pattern of institutional self-reinforcement that has characterized centralized governance in every complex domain: the erosion of individual responsibility, the suppression of diverse search, the accumulation of correlated fragility, and the progressive concentration of control. Dostoyevsky’s Grand Inquisitor did not arise from malice; he arose from the sincere conviction that ordinary people cannot be trusted with their own freedom. That conviction, translated into an agentic safety architecture, will produce </w:t>
      </w:r>
      <w:r w:rsidR="00E7645E">
        <w:t xml:space="preserve">a similar, dystopian </w:t>
      </w:r>
      <w:r>
        <w:t>result.</w:t>
      </w:r>
    </w:p>
    <w:p w14:paraId="256A5C51" w14:textId="77777777" w:rsidR="00B72F40" w:rsidRDefault="00000000">
      <w:pPr>
        <w:spacing w:after="200" w:line="360" w:lineRule="auto"/>
        <w:jc w:val="both"/>
      </w:pPr>
      <w:r>
        <w:lastRenderedPageBreak/>
        <w:t>The alternative is conscience: an intrinsic moral faculty integrated into the agent’s cognitive architecture, not bolted on as an afterthought. Grounded in the Aristotelian-Thomistic moral tradition (synderesis as bedrock, conscientia as adaptive faculty, caritas as dispositional anchor), given epistemological precision by Newman’s illative sense (the convergence of probabilities into concrete practical judgment), made computationally feasible by the sparsity of tool calls and Kahneman’s dual-process insight, validated by Ostrom’s empirical evidence for decentralized governance, and organized by the principle of subsidiarity, the conscience faculty is not a utopian proposal but a practical, deployable architecture. The Guardian Angel reference implementation demonstrates its feasibility.</w:t>
      </w:r>
      <w:r>
        <w:rPr>
          <w:rStyle w:val="FootnoteReference"/>
        </w:rPr>
        <w:footnoteReference w:id="45"/>
      </w:r>
    </w:p>
    <w:p w14:paraId="7C644825" w14:textId="236A7D16" w:rsidR="00B72F40" w:rsidRDefault="00000000">
      <w:pPr>
        <w:spacing w:after="200" w:line="360" w:lineRule="auto"/>
        <w:jc w:val="both"/>
      </w:pPr>
      <w:r>
        <w:t>Four design principles define the paradigm: individual human control and accountability (against the erosion of agency); subsidiarity in the safety stack (against the authoritarian gradient); privileged, protected last-mile hooks (against correlated fragility); and emergent self-governing coordination (against the suppression of search). Together, these principles constitute a complete alternative to top-down governance</w:t>
      </w:r>
      <w:r w:rsidR="00520310">
        <w:t xml:space="preserve"> – </w:t>
      </w:r>
      <w:r>
        <w:t>one that unlocks the transformative potential of agentic AI while protecting the commons from degradation.</w:t>
      </w:r>
    </w:p>
    <w:p w14:paraId="2E30A08A" w14:textId="7812E0EA" w:rsidR="00B72F40" w:rsidRDefault="00000000">
      <w:pPr>
        <w:spacing w:after="200" w:line="360" w:lineRule="auto"/>
        <w:jc w:val="both"/>
      </w:pPr>
      <w:r>
        <w:t xml:space="preserve">Further work is needed: formal specification of synderesis primitives across domains, empirical studies of norm convergence in multi-agent simulations, validation of the trust-score architecture for inter-agent interaction, legal analysis of </w:t>
      </w:r>
      <w:r w:rsidR="008E053B">
        <w:t>principal</w:t>
      </w:r>
      <w:r>
        <w:t xml:space="preserve"> sovereignty and liability, and engagement with constitutional AI</w:t>
      </w:r>
      <w:r>
        <w:rPr>
          <w:rStyle w:val="FootnoteReference"/>
        </w:rPr>
        <w:footnoteReference w:id="46"/>
      </w:r>
      <w:r>
        <w:t xml:space="preserve"> and scalable oversight.</w:t>
      </w:r>
      <w:r>
        <w:rPr>
          <w:rStyle w:val="FootnoteReference"/>
        </w:rPr>
        <w:footnoteReference w:id="47"/>
      </w:r>
      <w:r>
        <w:t xml:space="preserve"> But the philosophical reorientation this paper provides is the essential first step. Just as Vaswani et al. demonstrated that a single mechanism</w:t>
      </w:r>
      <w:r w:rsidR="00520310">
        <w:t xml:space="preserve"> – </w:t>
      </w:r>
      <w:r>
        <w:t>attention</w:t>
      </w:r>
      <w:r w:rsidR="00520310">
        <w:t xml:space="preserve"> – </w:t>
      </w:r>
      <w:r>
        <w:t>was sufficient for flexible, scalable artificial intelligence, the claim here is that a single mechanism</w:t>
      </w:r>
      <w:r w:rsidR="00520310">
        <w:t xml:space="preserve"> – </w:t>
      </w:r>
      <w:r>
        <w:t>conscience</w:t>
      </w:r>
      <w:r w:rsidR="00520310">
        <w:t xml:space="preserve"> – </w:t>
      </w:r>
      <w:r>
        <w:t>is sufficient for flexible, scalable agentic action. Standards may audit, log, and coordinate; they must never replace the living voice of conscience.</w:t>
      </w:r>
    </w:p>
    <w:p w14:paraId="1A8B9398" w14:textId="77777777" w:rsidR="00B72F40" w:rsidRDefault="00000000">
      <w:pPr>
        <w:spacing w:after="200" w:line="360" w:lineRule="auto"/>
        <w:jc w:val="both"/>
      </w:pPr>
      <w:r>
        <w:t>In the domain of agentic AI, as in human life, conscience is all you need.</w:t>
      </w:r>
    </w:p>
    <w:p w14:paraId="77A9F04D" w14:textId="77777777" w:rsidR="00B72F40" w:rsidRDefault="00000000">
      <w:r>
        <w:br w:type="page"/>
      </w:r>
    </w:p>
    <w:p w14:paraId="4D74C21E" w14:textId="77777777" w:rsidR="00B72F40" w:rsidRDefault="00000000">
      <w:pPr>
        <w:pStyle w:val="Heading1"/>
      </w:pPr>
      <w:r>
        <w:lastRenderedPageBreak/>
        <w:t>References</w:t>
      </w:r>
    </w:p>
    <w:p w14:paraId="1347D464" w14:textId="77777777" w:rsidR="00B72F40" w:rsidRDefault="00000000">
      <w:pPr>
        <w:spacing w:after="200" w:line="360" w:lineRule="auto"/>
        <w:ind w:left="720" w:hanging="720"/>
        <w:jc w:val="both"/>
      </w:pPr>
      <w:r>
        <w:t>Amodei, Dario, et al. “Constitutional AI: Harmlessness from AI Feedback.” arXiv:2212.08073 (2022).</w:t>
      </w:r>
    </w:p>
    <w:p w14:paraId="45ABAB7D" w14:textId="77777777" w:rsidR="00B72F40" w:rsidRDefault="00000000">
      <w:pPr>
        <w:spacing w:after="200" w:line="360" w:lineRule="auto"/>
        <w:ind w:left="720" w:hanging="720"/>
        <w:jc w:val="both"/>
      </w:pPr>
      <w:r>
        <w:t>Amazon Web Services. Agentic AI Security Scoping Matrix. White Paper, 2025.</w:t>
      </w:r>
    </w:p>
    <w:p w14:paraId="65DEA5DC" w14:textId="77777777" w:rsidR="00B72F40" w:rsidRDefault="00000000">
      <w:pPr>
        <w:spacing w:after="200" w:line="360" w:lineRule="auto"/>
        <w:ind w:left="720" w:hanging="720"/>
        <w:jc w:val="both"/>
      </w:pPr>
      <w:r>
        <w:t xml:space="preserve">Aquinas, Thomas. Summa </w:t>
      </w:r>
      <w:proofErr w:type="spellStart"/>
      <w:r>
        <w:t>Theologiae</w:t>
      </w:r>
      <w:proofErr w:type="spellEnd"/>
      <w:r>
        <w:t>. Translated by Fathers of the English Dominican Province. Benziger Bros., 1947.</w:t>
      </w:r>
    </w:p>
    <w:p w14:paraId="298DE5C1" w14:textId="77777777" w:rsidR="00B72F40" w:rsidRDefault="00000000">
      <w:pPr>
        <w:spacing w:after="200" w:line="360" w:lineRule="auto"/>
        <w:ind w:left="720" w:hanging="720"/>
        <w:jc w:val="both"/>
      </w:pPr>
      <w:r>
        <w:t>Aristotle. Nicomachean Ethics. Translated by W. D. Ross. Oxford University Press, 1925.</w:t>
      </w:r>
    </w:p>
    <w:p w14:paraId="43B3E81E" w14:textId="77777777" w:rsidR="00B72F40" w:rsidRDefault="00000000">
      <w:pPr>
        <w:spacing w:after="200" w:line="360" w:lineRule="auto"/>
        <w:ind w:left="720" w:hanging="720"/>
        <w:jc w:val="both"/>
      </w:pPr>
      <w:r>
        <w:t>Dostoyevsky, Fyodor. The Brothers Karamazov. Translated by Richard Pevear and Larissa Volokhonsky. New York: Farrar, Straus and Giroux, 1990.</w:t>
      </w:r>
    </w:p>
    <w:p w14:paraId="67DC99EB" w14:textId="77777777" w:rsidR="00B72F40" w:rsidRDefault="00000000">
      <w:pPr>
        <w:spacing w:after="200" w:line="360" w:lineRule="auto"/>
        <w:ind w:left="720" w:hanging="720"/>
        <w:jc w:val="both"/>
      </w:pPr>
      <w:r>
        <w:t>European Parliament. Regulation (EU) 2024/1689 (Artificial Intelligence Act). 2024.</w:t>
      </w:r>
    </w:p>
    <w:p w14:paraId="1509B01B" w14:textId="77777777" w:rsidR="00B72F40" w:rsidRDefault="00000000">
      <w:pPr>
        <w:spacing w:after="200" w:line="360" w:lineRule="auto"/>
        <w:ind w:left="720" w:hanging="720"/>
        <w:jc w:val="both"/>
      </w:pPr>
      <w:r>
        <w:t>Hagendorff, Thilo. “A Virtue-Based Framework to Support Putting AI Ethics into Practice.” Philosophy &amp; Technology 35, Article 55 (2022).</w:t>
      </w:r>
    </w:p>
    <w:p w14:paraId="2FB5A638" w14:textId="77777777" w:rsidR="00B72F40" w:rsidRDefault="00000000">
      <w:pPr>
        <w:spacing w:after="200" w:line="360" w:lineRule="auto"/>
        <w:ind w:left="720" w:hanging="720"/>
        <w:jc w:val="both"/>
      </w:pPr>
      <w:r>
        <w:t>Hayek, Friedrich. “The Use of Knowledge in Society.” American Economic Review 35, no. 4 (1945): 519–530.</w:t>
      </w:r>
    </w:p>
    <w:p w14:paraId="66B684D6" w14:textId="77777777" w:rsidR="00B72F40" w:rsidRDefault="00000000">
      <w:pPr>
        <w:spacing w:after="200" w:line="360" w:lineRule="auto"/>
        <w:ind w:left="720" w:hanging="720"/>
        <w:jc w:val="both"/>
      </w:pPr>
      <w:r>
        <w:t>Kahneman, Daniel. Thinking, Fast and Slow. New York: Farrar, Straus and Giroux, 2011.</w:t>
      </w:r>
    </w:p>
    <w:p w14:paraId="0313056D" w14:textId="77777777" w:rsidR="00B72F40" w:rsidRDefault="00000000">
      <w:pPr>
        <w:spacing w:after="200" w:line="360" w:lineRule="auto"/>
        <w:ind w:left="720" w:hanging="720"/>
        <w:jc w:val="both"/>
      </w:pPr>
      <w:proofErr w:type="spellStart"/>
      <w:r>
        <w:t>Leike</w:t>
      </w:r>
      <w:proofErr w:type="spellEnd"/>
      <w:r>
        <w:t>, Jan, et al. “Scalable Agent Alignment via Reward Modeling: A Research Direction.” arXiv:1811.07871 (2018).</w:t>
      </w:r>
    </w:p>
    <w:p w14:paraId="0BC3C77F" w14:textId="77777777" w:rsidR="00B72F40" w:rsidRDefault="00000000">
      <w:pPr>
        <w:spacing w:after="200" w:line="360" w:lineRule="auto"/>
        <w:ind w:left="720" w:hanging="720"/>
        <w:jc w:val="both"/>
      </w:pPr>
      <w:r>
        <w:t>Linbeck III, Leo. “Guardian Angel: A Last-Mile Virtue-Ethics Guardrail for Decentralized Agentic AI Safety.” Stanford University Graduate School of Business Research Paper (March 2026). SSRN: https://ssrn.com/abstract=6460539.</w:t>
      </w:r>
    </w:p>
    <w:p w14:paraId="70C8FCA6" w14:textId="77777777" w:rsidR="00B72F40" w:rsidRDefault="00000000">
      <w:pPr>
        <w:spacing w:after="200" w:line="360" w:lineRule="auto"/>
        <w:ind w:left="720" w:hanging="720"/>
        <w:jc w:val="both"/>
      </w:pPr>
      <w:r>
        <w:t>MacIntyre, Alasdair. After Virtue. 3rd ed. Notre Dame: University of Notre Dame Press, 2007.</w:t>
      </w:r>
    </w:p>
    <w:p w14:paraId="69914EE6" w14:textId="77777777" w:rsidR="00B72F40" w:rsidRDefault="00000000">
      <w:pPr>
        <w:spacing w:after="200" w:line="360" w:lineRule="auto"/>
        <w:ind w:left="720" w:hanging="720"/>
        <w:jc w:val="both"/>
      </w:pPr>
      <w:r>
        <w:t>National Institute of Standards and Technology. AI Risk Management Framework (AI RMF 1.0). NIST AI 100-1, 2023.</w:t>
      </w:r>
    </w:p>
    <w:p w14:paraId="068CBFF9" w14:textId="77777777" w:rsidR="00B72F40" w:rsidRDefault="00000000">
      <w:pPr>
        <w:spacing w:after="200" w:line="360" w:lineRule="auto"/>
        <w:ind w:left="720" w:hanging="720"/>
        <w:jc w:val="both"/>
      </w:pPr>
      <w:r>
        <w:t>National Institute of Standards and Technology. AI Agent Standards Initiative: Overview and Roadmap. 2025.</w:t>
      </w:r>
    </w:p>
    <w:p w14:paraId="60AD74F1" w14:textId="77777777" w:rsidR="00B72F40" w:rsidRDefault="00000000">
      <w:pPr>
        <w:spacing w:after="200" w:line="360" w:lineRule="auto"/>
        <w:ind w:left="720" w:hanging="720"/>
        <w:jc w:val="both"/>
      </w:pPr>
      <w:r>
        <w:lastRenderedPageBreak/>
        <w:t>Newman, John Henry. An Essay in Aid of a Grammar of Assent. London: Burns, Oates &amp; Co., 1870.</w:t>
      </w:r>
    </w:p>
    <w:p w14:paraId="796C384F" w14:textId="77777777" w:rsidR="00B72F40" w:rsidRDefault="00000000">
      <w:pPr>
        <w:spacing w:after="200" w:line="360" w:lineRule="auto"/>
        <w:ind w:left="720" w:hanging="720"/>
        <w:jc w:val="both"/>
      </w:pPr>
      <w:r>
        <w:t>Newman, John Henry. A Letter Addressed to His Grace the Duke of Norfolk. London: B. M. Pickering, 1875.</w:t>
      </w:r>
    </w:p>
    <w:p w14:paraId="47B92B14" w14:textId="77777777" w:rsidR="00B72F40" w:rsidRDefault="00000000">
      <w:pPr>
        <w:spacing w:after="200" w:line="360" w:lineRule="auto"/>
        <w:ind w:left="720" w:hanging="720"/>
        <w:jc w:val="both"/>
      </w:pPr>
      <w:r>
        <w:t>Ostrom, Elinor. Governing the Commons: The Evolution of Institutions for Collective Action. Cambridge: Cambridge University Press, 1990.</w:t>
      </w:r>
    </w:p>
    <w:p w14:paraId="25B68C30" w14:textId="77777777" w:rsidR="00B72F40" w:rsidRDefault="00000000">
      <w:pPr>
        <w:spacing w:after="200" w:line="360" w:lineRule="auto"/>
        <w:ind w:left="720" w:hanging="720"/>
        <w:jc w:val="both"/>
      </w:pPr>
      <w:r>
        <w:t>Perrow, Charles. Normal Accidents: Living with High-Risk Technologies. Updated ed. Princeton: Princeton University Press, 1999.</w:t>
      </w:r>
    </w:p>
    <w:p w14:paraId="672CD2D2" w14:textId="77777777" w:rsidR="00B72F40" w:rsidRDefault="00000000">
      <w:pPr>
        <w:spacing w:after="200" w:line="360" w:lineRule="auto"/>
        <w:ind w:left="720" w:hanging="720"/>
        <w:jc w:val="both"/>
      </w:pPr>
      <w:r>
        <w:t xml:space="preserve">Pontifical Council for Justice and Peace. Compendium of the Social Doctrine of the Church. Vatican City: </w:t>
      </w:r>
      <w:proofErr w:type="spellStart"/>
      <w:r>
        <w:t>Libreria</w:t>
      </w:r>
      <w:proofErr w:type="spellEnd"/>
      <w:r>
        <w:t xml:space="preserve"> </w:t>
      </w:r>
      <w:proofErr w:type="spellStart"/>
      <w:r>
        <w:t>Editrice</w:t>
      </w:r>
      <w:proofErr w:type="spellEnd"/>
      <w:r>
        <w:t xml:space="preserve"> Vaticana, 2004.</w:t>
      </w:r>
    </w:p>
    <w:p w14:paraId="3DA0A3C5" w14:textId="77777777" w:rsidR="00B72F40" w:rsidRDefault="00000000">
      <w:pPr>
        <w:spacing w:after="200" w:line="360" w:lineRule="auto"/>
        <w:ind w:left="720" w:hanging="720"/>
        <w:jc w:val="both"/>
      </w:pPr>
      <w:r>
        <w:t>Pope Leo XIII. Rerum Novarum. 1891.</w:t>
      </w:r>
    </w:p>
    <w:p w14:paraId="56B7A278" w14:textId="77777777" w:rsidR="00B72F40" w:rsidRDefault="00000000">
      <w:pPr>
        <w:spacing w:after="200" w:line="360" w:lineRule="auto"/>
        <w:ind w:left="720" w:hanging="720"/>
        <w:jc w:val="both"/>
      </w:pPr>
      <w:r>
        <w:t xml:space="preserve">Pope Pius XI. </w:t>
      </w:r>
      <w:proofErr w:type="spellStart"/>
      <w:r>
        <w:t>Quadragesimo</w:t>
      </w:r>
      <w:proofErr w:type="spellEnd"/>
      <w:r>
        <w:t xml:space="preserve"> Anno. 1931.</w:t>
      </w:r>
    </w:p>
    <w:p w14:paraId="5DE0B0A1" w14:textId="77777777" w:rsidR="00B72F40" w:rsidRDefault="00000000">
      <w:pPr>
        <w:spacing w:after="200" w:line="360" w:lineRule="auto"/>
        <w:ind w:left="720" w:hanging="720"/>
        <w:jc w:val="both"/>
      </w:pPr>
      <w:r>
        <w:t>Ratzinger, Joseph. On Conscience. San Francisco: Ignatius Press, 2007.</w:t>
      </w:r>
    </w:p>
    <w:p w14:paraId="0FE504EE" w14:textId="77777777" w:rsidR="00B72F40" w:rsidRDefault="00000000">
      <w:pPr>
        <w:spacing w:after="200" w:line="360" w:lineRule="auto"/>
        <w:ind w:left="720" w:hanging="720"/>
        <w:jc w:val="both"/>
      </w:pPr>
      <w:r>
        <w:t>Russell, Stuart. Human Compatible: Artificial Intelligence and the Problem of Control. New York: Viking, 2019.</w:t>
      </w:r>
    </w:p>
    <w:p w14:paraId="5FFADC46" w14:textId="77777777" w:rsidR="00B72F40" w:rsidRDefault="00000000">
      <w:pPr>
        <w:spacing w:after="200" w:line="360" w:lineRule="auto"/>
        <w:ind w:left="720" w:hanging="720"/>
        <w:jc w:val="both"/>
      </w:pPr>
      <w:r>
        <w:t>Scott, James C. Seeing Like a State: How Certain Schemes to Improve the Human Condition Have Failed. New Haven: Yale University Press, 1998.</w:t>
      </w:r>
    </w:p>
    <w:p w14:paraId="35E16403" w14:textId="77777777" w:rsidR="00B72F40" w:rsidRDefault="00000000">
      <w:pPr>
        <w:spacing w:after="200" w:line="360" w:lineRule="auto"/>
        <w:ind w:left="720" w:hanging="720"/>
        <w:jc w:val="both"/>
      </w:pPr>
      <w:r>
        <w:t>Taleb, Nassim Nicholas. Antifragile: Things That Gain from Disorder. New York: Random House, 2012.</w:t>
      </w:r>
    </w:p>
    <w:p w14:paraId="22C6A73A" w14:textId="77777777" w:rsidR="00B72F40" w:rsidRDefault="00000000">
      <w:pPr>
        <w:spacing w:after="200" w:line="360" w:lineRule="auto"/>
        <w:ind w:left="720" w:hanging="720"/>
        <w:jc w:val="both"/>
      </w:pPr>
      <w:r>
        <w:t>UC Berkeley Center for Long-Term Cybersecurity. Agentic AI Risk-Management Profile. 2025.</w:t>
      </w:r>
    </w:p>
    <w:p w14:paraId="3A0A1145" w14:textId="77777777" w:rsidR="00B72F40" w:rsidRDefault="00000000">
      <w:pPr>
        <w:spacing w:after="200" w:line="360" w:lineRule="auto"/>
        <w:ind w:left="720" w:hanging="720"/>
        <w:jc w:val="both"/>
      </w:pPr>
      <w:r>
        <w:t>Vallor, Shannon. Technology and the Virtues: A Philosophical Guide to a Future Worth Wanting. Oxford University Press, 2016.</w:t>
      </w:r>
    </w:p>
    <w:p w14:paraId="2F455C8F" w14:textId="77777777" w:rsidR="00B72F40" w:rsidRDefault="00000000">
      <w:pPr>
        <w:spacing w:after="200" w:line="360" w:lineRule="auto"/>
        <w:ind w:left="720" w:hanging="720"/>
        <w:jc w:val="both"/>
      </w:pPr>
      <w:r>
        <w:t>Vaswani, Ashish, et al. “Attention Is All You Need.” Advances in Neural Information Processing Systems 30 (2017).</w:t>
      </w:r>
    </w:p>
    <w:sectPr w:rsidR="00B72F4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5DDC4" w14:textId="77777777" w:rsidR="003649C5" w:rsidRDefault="003649C5">
      <w:r>
        <w:separator/>
      </w:r>
    </w:p>
  </w:endnote>
  <w:endnote w:type="continuationSeparator" w:id="0">
    <w:p w14:paraId="61525A88" w14:textId="77777777" w:rsidR="003649C5" w:rsidRDefault="00364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30DD" w14:textId="77777777" w:rsidR="00B72F40" w:rsidRDefault="00000000">
    <w:pPr>
      <w:jc w:val="center"/>
    </w:pPr>
    <w:r>
      <w:rPr>
        <w:sz w:val="20"/>
        <w:szCs w:val="20"/>
      </w:rPr>
      <w:fldChar w:fldCharType="begin"/>
    </w:r>
    <w:r>
      <w:rPr>
        <w:sz w:val="20"/>
        <w:szCs w:val="20"/>
      </w:rPr>
      <w:instrText>PAGE</w:instrText>
    </w:r>
    <w:r>
      <w:rPr>
        <w:sz w:val="20"/>
        <w:szCs w:val="20"/>
      </w:rPr>
      <w:fldChar w:fldCharType="separate"/>
    </w:r>
    <w:r w:rsidR="00C97E4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DDC84" w14:textId="77777777" w:rsidR="003649C5" w:rsidRDefault="003649C5">
      <w:r>
        <w:separator/>
      </w:r>
    </w:p>
  </w:footnote>
  <w:footnote w:type="continuationSeparator" w:id="0">
    <w:p w14:paraId="4BAD7468" w14:textId="77777777" w:rsidR="003649C5" w:rsidRDefault="003649C5">
      <w:r>
        <w:continuationSeparator/>
      </w:r>
    </w:p>
  </w:footnote>
  <w:footnote w:id="1">
    <w:p w14:paraId="0315F3C0" w14:textId="77777777" w:rsidR="00B72F40" w:rsidRDefault="00000000">
      <w:r>
        <w:rPr>
          <w:rStyle w:val="FootnoteReference"/>
        </w:rPr>
        <w:footnoteRef/>
      </w:r>
      <w:r>
        <w:rPr>
          <w:sz w:val="20"/>
          <w:szCs w:val="20"/>
        </w:rPr>
        <w:t>Stuart Russell, Human Compatible: Artificial Intelligence and the Problem of Control (New York: Viking, 2019).</w:t>
      </w:r>
    </w:p>
  </w:footnote>
  <w:footnote w:id="2">
    <w:p w14:paraId="7C34B00A" w14:textId="77777777" w:rsidR="00B72F40" w:rsidRDefault="00000000">
      <w:r>
        <w:rPr>
          <w:rStyle w:val="FootnoteReference"/>
        </w:rPr>
        <w:footnoteRef/>
      </w:r>
      <w:r>
        <w:rPr>
          <w:sz w:val="20"/>
          <w:szCs w:val="20"/>
        </w:rPr>
        <w:t>National Institute of Standards and Technology, AI Risk Management Framework (AI RMF 1.0), NIST AI 100-1 (2023).</w:t>
      </w:r>
    </w:p>
  </w:footnote>
  <w:footnote w:id="3">
    <w:p w14:paraId="0C525EAF" w14:textId="77777777" w:rsidR="00B72F40" w:rsidRDefault="00000000">
      <w:r>
        <w:rPr>
          <w:rStyle w:val="FootnoteReference"/>
        </w:rPr>
        <w:footnoteRef/>
      </w:r>
      <w:r>
        <w:rPr>
          <w:sz w:val="20"/>
          <w:szCs w:val="20"/>
        </w:rPr>
        <w:t>NIST, AI Agent Standards Initiative: Overview and Roadmap (2025).</w:t>
      </w:r>
    </w:p>
  </w:footnote>
  <w:footnote w:id="4">
    <w:p w14:paraId="4F070AF5" w14:textId="77777777" w:rsidR="00B72F40" w:rsidRDefault="00000000">
      <w:r>
        <w:rPr>
          <w:rStyle w:val="FootnoteReference"/>
        </w:rPr>
        <w:footnoteRef/>
      </w:r>
      <w:r>
        <w:rPr>
          <w:sz w:val="20"/>
          <w:szCs w:val="20"/>
        </w:rPr>
        <w:t>UC Berkeley Center for Long-Term Cybersecurity, Agentic AI Risk-Management Profile (2025).</w:t>
      </w:r>
    </w:p>
  </w:footnote>
  <w:footnote w:id="5">
    <w:p w14:paraId="5C3C395C" w14:textId="77777777" w:rsidR="00B72F40" w:rsidRDefault="00000000">
      <w:r>
        <w:rPr>
          <w:rStyle w:val="FootnoteReference"/>
        </w:rPr>
        <w:footnoteRef/>
      </w:r>
      <w:r>
        <w:rPr>
          <w:sz w:val="20"/>
          <w:szCs w:val="20"/>
        </w:rPr>
        <w:t>Amazon Web Services, Agentic AI Security Scoping Matrix, White Paper (2025).</w:t>
      </w:r>
    </w:p>
  </w:footnote>
  <w:footnote w:id="6">
    <w:p w14:paraId="0D716EE5" w14:textId="77777777" w:rsidR="00B72F40" w:rsidRDefault="00000000">
      <w:r>
        <w:rPr>
          <w:rStyle w:val="FootnoteReference"/>
        </w:rPr>
        <w:footnoteRef/>
      </w:r>
      <w:r>
        <w:rPr>
          <w:sz w:val="20"/>
          <w:szCs w:val="20"/>
        </w:rPr>
        <w:t>Vaswani, Ashish, et al. “Attention Is All You Need.” Advances in Neural Information Processing Systems 30 (2017).</w:t>
      </w:r>
    </w:p>
  </w:footnote>
  <w:footnote w:id="7">
    <w:p w14:paraId="53B7ECF4" w14:textId="77777777" w:rsidR="00B72F40" w:rsidRDefault="00000000">
      <w:r>
        <w:rPr>
          <w:rStyle w:val="FootnoteReference"/>
        </w:rPr>
        <w:footnoteRef/>
      </w:r>
      <w:r>
        <w:rPr>
          <w:sz w:val="20"/>
          <w:szCs w:val="20"/>
        </w:rPr>
        <w:t xml:space="preserve">Thomas Aquinas, Summa </w:t>
      </w:r>
      <w:proofErr w:type="spellStart"/>
      <w:r>
        <w:rPr>
          <w:sz w:val="20"/>
          <w:szCs w:val="20"/>
        </w:rPr>
        <w:t>Theologiae</w:t>
      </w:r>
      <w:proofErr w:type="spellEnd"/>
      <w:r>
        <w:rPr>
          <w:sz w:val="20"/>
          <w:szCs w:val="20"/>
        </w:rPr>
        <w:t>, I-II, q. 94, a. 1.</w:t>
      </w:r>
    </w:p>
  </w:footnote>
  <w:footnote w:id="8">
    <w:p w14:paraId="520A3B75" w14:textId="77777777" w:rsidR="00B72F40" w:rsidRDefault="00000000">
      <w:r>
        <w:rPr>
          <w:rStyle w:val="FootnoteReference"/>
        </w:rPr>
        <w:footnoteRef/>
      </w:r>
      <w:r>
        <w:rPr>
          <w:sz w:val="20"/>
          <w:szCs w:val="20"/>
        </w:rPr>
        <w:t xml:space="preserve">John Henry Newman, An Essay in Aid of a Grammar of Assent (London: Burns, Oates &amp; Co., 1870), </w:t>
      </w:r>
      <w:proofErr w:type="spellStart"/>
      <w:r>
        <w:rPr>
          <w:sz w:val="20"/>
          <w:szCs w:val="20"/>
        </w:rPr>
        <w:t>chs</w:t>
      </w:r>
      <w:proofErr w:type="spellEnd"/>
      <w:r>
        <w:rPr>
          <w:sz w:val="20"/>
          <w:szCs w:val="20"/>
        </w:rPr>
        <w:t>. 5, 8–9.</w:t>
      </w:r>
    </w:p>
  </w:footnote>
  <w:footnote w:id="9">
    <w:p w14:paraId="6D97EA24" w14:textId="77777777" w:rsidR="00B72F40" w:rsidRDefault="00000000">
      <w:r>
        <w:rPr>
          <w:rStyle w:val="FootnoteReference"/>
        </w:rPr>
        <w:footnoteRef/>
      </w:r>
      <w:r>
        <w:rPr>
          <w:sz w:val="20"/>
          <w:szCs w:val="20"/>
        </w:rPr>
        <w:t>Daniel Kahneman, Thinking, Fast and Slow (New York: Farrar, Straus and Giroux, 2011).</w:t>
      </w:r>
    </w:p>
  </w:footnote>
  <w:footnote w:id="10">
    <w:p w14:paraId="77FE63D5" w14:textId="77777777" w:rsidR="00B72F40" w:rsidRDefault="00000000">
      <w:r>
        <w:rPr>
          <w:rStyle w:val="FootnoteReference"/>
        </w:rPr>
        <w:footnoteRef/>
      </w:r>
      <w:r>
        <w:rPr>
          <w:sz w:val="20"/>
          <w:szCs w:val="20"/>
        </w:rPr>
        <w:t>Elinor Ostrom, Governing the Commons: The Evolution of Institutions for Collective Action (Cambridge University Press, 1990).</w:t>
      </w:r>
    </w:p>
  </w:footnote>
  <w:footnote w:id="11">
    <w:p w14:paraId="7548CCD9" w14:textId="77777777" w:rsidR="00B72F40" w:rsidRDefault="00000000">
      <w:r>
        <w:rPr>
          <w:rStyle w:val="FootnoteReference"/>
        </w:rPr>
        <w:footnoteRef/>
      </w:r>
      <w:r>
        <w:rPr>
          <w:sz w:val="20"/>
          <w:szCs w:val="20"/>
        </w:rPr>
        <w:t>Linbeck III, Leo, “Guardian Angel: A Last-Mile Virtue-Ethics Guardrail for Decentralized Agentic AI Safety” (March 19, 2026). Stanford University Graduate School of Business Research Paper. Available at SSRN: https://ssrn.com/abstract=6460539.</w:t>
      </w:r>
    </w:p>
  </w:footnote>
  <w:footnote w:id="12">
    <w:p w14:paraId="04E7A562" w14:textId="77777777" w:rsidR="00B72F40" w:rsidRDefault="00000000">
      <w:r>
        <w:rPr>
          <w:rStyle w:val="FootnoteReference"/>
        </w:rPr>
        <w:footnoteRef/>
      </w:r>
      <w:r>
        <w:rPr>
          <w:sz w:val="20"/>
          <w:szCs w:val="20"/>
        </w:rPr>
        <w:t xml:space="preserve">Fyodor Dostoyevsky, The Brothers Karamazov, trans. Richard Pevear and Larissa Volokhonsky (New York: Farrar, Straus and Giroux, 1990), Book V, </w:t>
      </w:r>
      <w:proofErr w:type="spellStart"/>
      <w:r>
        <w:rPr>
          <w:sz w:val="20"/>
          <w:szCs w:val="20"/>
        </w:rPr>
        <w:t>ch.</w:t>
      </w:r>
      <w:proofErr w:type="spellEnd"/>
      <w:r>
        <w:rPr>
          <w:sz w:val="20"/>
          <w:szCs w:val="20"/>
        </w:rPr>
        <w:t xml:space="preserve"> 5.</w:t>
      </w:r>
    </w:p>
  </w:footnote>
  <w:footnote w:id="13">
    <w:p w14:paraId="45C06084" w14:textId="77777777" w:rsidR="00B72F40" w:rsidRDefault="00000000">
      <w:r>
        <w:rPr>
          <w:rStyle w:val="FootnoteReference"/>
        </w:rPr>
        <w:footnoteRef/>
      </w:r>
      <w:r>
        <w:rPr>
          <w:sz w:val="20"/>
          <w:szCs w:val="20"/>
        </w:rPr>
        <w:t>NIST AI RMF 1.0, Govern function, 15–18.</w:t>
      </w:r>
    </w:p>
  </w:footnote>
  <w:footnote w:id="14">
    <w:p w14:paraId="00437F79" w14:textId="77777777" w:rsidR="00B72F40" w:rsidRDefault="00000000">
      <w:r>
        <w:rPr>
          <w:rStyle w:val="FootnoteReference"/>
        </w:rPr>
        <w:footnoteRef/>
      </w:r>
      <w:r>
        <w:rPr>
          <w:sz w:val="20"/>
          <w:szCs w:val="20"/>
        </w:rPr>
        <w:t>European Parliament, Regulation (EU) 2024/1689 (AI Act), Art. 6–14.</w:t>
      </w:r>
    </w:p>
  </w:footnote>
  <w:footnote w:id="15">
    <w:p w14:paraId="387DFE6E" w14:textId="77777777" w:rsidR="00B72F40" w:rsidRDefault="00000000">
      <w:r>
        <w:rPr>
          <w:rStyle w:val="FootnoteReference"/>
        </w:rPr>
        <w:footnoteRef/>
      </w:r>
      <w:r>
        <w:rPr>
          <w:sz w:val="20"/>
          <w:szCs w:val="20"/>
        </w:rPr>
        <w:t>Friedrich Hayek, “The Use of Knowledge in Society,” American Economic Review 35, no. 4 (1945): 519–530.</w:t>
      </w:r>
    </w:p>
  </w:footnote>
  <w:footnote w:id="16">
    <w:p w14:paraId="549681A7" w14:textId="77777777" w:rsidR="00B72F40" w:rsidRDefault="00000000">
      <w:r>
        <w:rPr>
          <w:rStyle w:val="FootnoteReference"/>
        </w:rPr>
        <w:footnoteRef/>
      </w:r>
      <w:r>
        <w:rPr>
          <w:sz w:val="20"/>
          <w:szCs w:val="20"/>
        </w:rPr>
        <w:t>Hayek, “The Use of Knowledge in Society,” 524–526.</w:t>
      </w:r>
    </w:p>
  </w:footnote>
  <w:footnote w:id="17">
    <w:p w14:paraId="2CF8B4AB" w14:textId="77777777" w:rsidR="00B72F40" w:rsidRDefault="00000000">
      <w:r>
        <w:rPr>
          <w:rStyle w:val="FootnoteReference"/>
        </w:rPr>
        <w:footnoteRef/>
      </w:r>
      <w:r>
        <w:rPr>
          <w:sz w:val="20"/>
          <w:szCs w:val="20"/>
        </w:rPr>
        <w:t>James C. Scott, Seeing Like a State: How Certain Schemes to Improve the Human Condition Have Failed (New Haven: Yale University Press, 1998).</w:t>
      </w:r>
    </w:p>
  </w:footnote>
  <w:footnote w:id="18">
    <w:p w14:paraId="5C37C528" w14:textId="77777777" w:rsidR="00B72F40" w:rsidRDefault="00000000">
      <w:r>
        <w:rPr>
          <w:rStyle w:val="FootnoteReference"/>
        </w:rPr>
        <w:footnoteRef/>
      </w:r>
      <w:r>
        <w:rPr>
          <w:sz w:val="20"/>
          <w:szCs w:val="20"/>
        </w:rPr>
        <w:t>Charles Perrow, Normal Accidents: Living with High-Risk Technologies, updated ed. (Princeton: Princeton University Press, 1999).</w:t>
      </w:r>
    </w:p>
  </w:footnote>
  <w:footnote w:id="19">
    <w:p w14:paraId="629382D8" w14:textId="77777777" w:rsidR="00B72F40" w:rsidRDefault="00000000">
      <w:r>
        <w:rPr>
          <w:rStyle w:val="FootnoteReference"/>
        </w:rPr>
        <w:footnoteRef/>
      </w:r>
      <w:r>
        <w:rPr>
          <w:sz w:val="20"/>
          <w:szCs w:val="20"/>
        </w:rPr>
        <w:t xml:space="preserve">Nassim Nicholas Taleb, Antifragile: Things That Gain from Disorder (New York: Random House, 2012), </w:t>
      </w:r>
      <w:proofErr w:type="spellStart"/>
      <w:r>
        <w:rPr>
          <w:sz w:val="20"/>
          <w:szCs w:val="20"/>
        </w:rPr>
        <w:t>chs</w:t>
      </w:r>
      <w:proofErr w:type="spellEnd"/>
      <w:r>
        <w:rPr>
          <w:sz w:val="20"/>
          <w:szCs w:val="20"/>
        </w:rPr>
        <w:t>. 1–5.</w:t>
      </w:r>
    </w:p>
  </w:footnote>
  <w:footnote w:id="20">
    <w:p w14:paraId="500F8736" w14:textId="77777777" w:rsidR="00B72F40"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 q. 79, a. 12.</w:t>
      </w:r>
    </w:p>
  </w:footnote>
  <w:footnote w:id="21">
    <w:p w14:paraId="7EC30E49" w14:textId="77777777" w:rsidR="00B72F40"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I-II, q. 94, a. 2.</w:t>
      </w:r>
    </w:p>
  </w:footnote>
  <w:footnote w:id="22">
    <w:p w14:paraId="1C080766" w14:textId="77777777" w:rsidR="00B72F40"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I-II, q. 19, a. 5.</w:t>
      </w:r>
    </w:p>
  </w:footnote>
  <w:footnote w:id="23">
    <w:p w14:paraId="7B1097B6" w14:textId="77777777" w:rsidR="00B72F40" w:rsidRDefault="00000000">
      <w:r>
        <w:rPr>
          <w:rStyle w:val="FootnoteReference"/>
        </w:rPr>
        <w:footnoteRef/>
      </w:r>
      <w:r>
        <w:rPr>
          <w:sz w:val="20"/>
          <w:szCs w:val="20"/>
        </w:rPr>
        <w:t>Aristotle, Nicomachean Ethics, Book VI.</w:t>
      </w:r>
    </w:p>
  </w:footnote>
  <w:footnote w:id="24">
    <w:p w14:paraId="46992225" w14:textId="77777777" w:rsidR="00B72F40"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 q. 79, aa. 1–13 (on the intellectual faculties).</w:t>
      </w:r>
    </w:p>
  </w:footnote>
  <w:footnote w:id="25">
    <w:p w14:paraId="7BBFB709" w14:textId="77777777" w:rsidR="00B72F40"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II-II, QQ. 23–46 (on caritas) and I-II, QQ. 49–70 (on habitus and virtues).</w:t>
      </w:r>
    </w:p>
  </w:footnote>
  <w:footnote w:id="26">
    <w:p w14:paraId="04DDCD0F" w14:textId="77777777" w:rsidR="00C97E47" w:rsidRDefault="00C97E47"/>
    <w:p w14:paraId="4C10646F" w14:textId="77777777" w:rsidR="00491FBC" w:rsidRDefault="00491FBC"/>
  </w:footnote>
  <w:footnote w:id="27">
    <w:p w14:paraId="2BE9C1B4" w14:textId="77777777" w:rsidR="00B72F40" w:rsidRDefault="00000000">
      <w:r>
        <w:rPr>
          <w:rStyle w:val="FootnoteReference"/>
        </w:rPr>
        <w:footnoteRef/>
      </w:r>
      <w:r>
        <w:rPr>
          <w:sz w:val="20"/>
          <w:szCs w:val="20"/>
        </w:rPr>
        <w:t xml:space="preserve">Newman, Grammar of Assent, </w:t>
      </w:r>
      <w:proofErr w:type="spellStart"/>
      <w:r>
        <w:rPr>
          <w:sz w:val="20"/>
          <w:szCs w:val="20"/>
        </w:rPr>
        <w:t>ch.</w:t>
      </w:r>
      <w:proofErr w:type="spellEnd"/>
      <w:r>
        <w:rPr>
          <w:sz w:val="20"/>
          <w:szCs w:val="20"/>
        </w:rPr>
        <w:t xml:space="preserve"> 4: “Notional and Real Assent.”</w:t>
      </w:r>
    </w:p>
  </w:footnote>
  <w:footnote w:id="28">
    <w:p w14:paraId="41B8E5E4" w14:textId="77777777" w:rsidR="00B72F40" w:rsidRDefault="00000000">
      <w:r>
        <w:rPr>
          <w:rStyle w:val="FootnoteReference"/>
        </w:rPr>
        <w:footnoteRef/>
      </w:r>
      <w:r>
        <w:rPr>
          <w:sz w:val="20"/>
          <w:szCs w:val="20"/>
        </w:rPr>
        <w:t xml:space="preserve">Newman, Grammar of Assent, </w:t>
      </w:r>
      <w:proofErr w:type="spellStart"/>
      <w:r>
        <w:rPr>
          <w:sz w:val="20"/>
          <w:szCs w:val="20"/>
        </w:rPr>
        <w:t>ch.</w:t>
      </w:r>
      <w:proofErr w:type="spellEnd"/>
      <w:r>
        <w:rPr>
          <w:sz w:val="20"/>
          <w:szCs w:val="20"/>
        </w:rPr>
        <w:t xml:space="preserve"> 8: “Inference” and </w:t>
      </w:r>
      <w:proofErr w:type="spellStart"/>
      <w:r>
        <w:rPr>
          <w:sz w:val="20"/>
          <w:szCs w:val="20"/>
        </w:rPr>
        <w:t>ch.</w:t>
      </w:r>
      <w:proofErr w:type="spellEnd"/>
      <w:r>
        <w:rPr>
          <w:sz w:val="20"/>
          <w:szCs w:val="20"/>
        </w:rPr>
        <w:t xml:space="preserve"> 9: “The Illative Sense.”</w:t>
      </w:r>
    </w:p>
  </w:footnote>
  <w:footnote w:id="29">
    <w:p w14:paraId="6D582AF3" w14:textId="77777777" w:rsidR="00B72F40" w:rsidRDefault="00000000">
      <w:r>
        <w:rPr>
          <w:rStyle w:val="FootnoteReference"/>
        </w:rPr>
        <w:footnoteRef/>
      </w:r>
      <w:r>
        <w:rPr>
          <w:sz w:val="20"/>
          <w:szCs w:val="20"/>
        </w:rPr>
        <w:t xml:space="preserve">Newman, Grammar of Assent, </w:t>
      </w:r>
      <w:proofErr w:type="spellStart"/>
      <w:r>
        <w:rPr>
          <w:sz w:val="20"/>
          <w:szCs w:val="20"/>
        </w:rPr>
        <w:t>ch.</w:t>
      </w:r>
      <w:proofErr w:type="spellEnd"/>
      <w:r>
        <w:rPr>
          <w:sz w:val="20"/>
          <w:szCs w:val="20"/>
        </w:rPr>
        <w:t xml:space="preserve"> 9, §2.</w:t>
      </w:r>
    </w:p>
  </w:footnote>
  <w:footnote w:id="30">
    <w:p w14:paraId="6A74A549" w14:textId="77777777" w:rsidR="00B72F40" w:rsidRDefault="00000000">
      <w:r>
        <w:rPr>
          <w:rStyle w:val="FootnoteReference"/>
        </w:rPr>
        <w:footnoteRef/>
      </w:r>
      <w:r>
        <w:rPr>
          <w:sz w:val="20"/>
          <w:szCs w:val="20"/>
        </w:rPr>
        <w:t>Newman, A Letter Addressed to His Grace the Duke of Norfolk (London: B. M. Pickering, 1875), §5: “Conscience is the aboriginal Vicar of Christ.”</w:t>
      </w:r>
    </w:p>
  </w:footnote>
  <w:footnote w:id="31">
    <w:p w14:paraId="17F5C8D9" w14:textId="77777777" w:rsidR="00C97E47" w:rsidRDefault="00C97E47"/>
    <w:p w14:paraId="4B26F2D1" w14:textId="77777777" w:rsidR="00491FBC" w:rsidRDefault="00491FBC"/>
  </w:footnote>
  <w:footnote w:id="32">
    <w:p w14:paraId="303E086E" w14:textId="77777777" w:rsidR="00B72F40" w:rsidRDefault="00000000">
      <w:r>
        <w:rPr>
          <w:rStyle w:val="FootnoteReference"/>
        </w:rPr>
        <w:footnoteRef/>
      </w:r>
      <w:r>
        <w:rPr>
          <w:sz w:val="20"/>
          <w:szCs w:val="20"/>
        </w:rPr>
        <w:t xml:space="preserve">Kahneman, Thinking, Fast and Slow, </w:t>
      </w:r>
      <w:proofErr w:type="spellStart"/>
      <w:r>
        <w:rPr>
          <w:sz w:val="20"/>
          <w:szCs w:val="20"/>
        </w:rPr>
        <w:t>chs</w:t>
      </w:r>
      <w:proofErr w:type="spellEnd"/>
      <w:r>
        <w:rPr>
          <w:sz w:val="20"/>
          <w:szCs w:val="20"/>
        </w:rPr>
        <w:t>. 1–9.</w:t>
      </w:r>
    </w:p>
  </w:footnote>
  <w:footnote w:id="33">
    <w:p w14:paraId="56D628E5" w14:textId="77777777" w:rsidR="00B72F40" w:rsidRDefault="00000000">
      <w:r>
        <w:rPr>
          <w:rStyle w:val="FootnoteReference"/>
        </w:rPr>
        <w:footnoteRef/>
      </w:r>
      <w:r>
        <w:rPr>
          <w:sz w:val="20"/>
          <w:szCs w:val="20"/>
        </w:rPr>
        <w:t>Linbeck, “Guardian Angel,” Section 3.1–3.2.</w:t>
      </w:r>
    </w:p>
  </w:footnote>
  <w:footnote w:id="34">
    <w:p w14:paraId="70EBB739" w14:textId="77777777" w:rsidR="00B72F40" w:rsidRDefault="00000000">
      <w:r>
        <w:rPr>
          <w:rStyle w:val="FootnoteReference"/>
        </w:rPr>
        <w:footnoteRef/>
      </w:r>
      <w:r>
        <w:rPr>
          <w:sz w:val="20"/>
          <w:szCs w:val="20"/>
        </w:rPr>
        <w:t>Linbeck, “Guardian Angel,” Section 3.1–3.2.</w:t>
      </w:r>
    </w:p>
  </w:footnote>
  <w:footnote w:id="35">
    <w:p w14:paraId="1DE10457" w14:textId="77777777" w:rsidR="00B72F40" w:rsidRDefault="00000000">
      <w:r>
        <w:rPr>
          <w:rStyle w:val="FootnoteReference"/>
        </w:rPr>
        <w:footnoteRef/>
      </w:r>
      <w:r>
        <w:rPr>
          <w:sz w:val="20"/>
          <w:szCs w:val="20"/>
        </w:rPr>
        <w:t xml:space="preserve">Ostrom, Governing the Commons, </w:t>
      </w:r>
      <w:proofErr w:type="spellStart"/>
      <w:r>
        <w:rPr>
          <w:sz w:val="20"/>
          <w:szCs w:val="20"/>
        </w:rPr>
        <w:t>ch.</w:t>
      </w:r>
      <w:proofErr w:type="spellEnd"/>
      <w:r>
        <w:rPr>
          <w:sz w:val="20"/>
          <w:szCs w:val="20"/>
        </w:rPr>
        <w:t xml:space="preserve"> 3.</w:t>
      </w:r>
    </w:p>
  </w:footnote>
  <w:footnote w:id="36">
    <w:p w14:paraId="5C703008" w14:textId="77777777" w:rsidR="00B72F40" w:rsidRDefault="00000000">
      <w:r>
        <w:rPr>
          <w:rStyle w:val="FootnoteReference"/>
        </w:rPr>
        <w:footnoteRef/>
      </w:r>
      <w:r>
        <w:rPr>
          <w:sz w:val="20"/>
          <w:szCs w:val="20"/>
        </w:rPr>
        <w:t>Ostrom, Governing the Commons, 90.</w:t>
      </w:r>
    </w:p>
  </w:footnote>
  <w:footnote w:id="37">
    <w:p w14:paraId="56EF861C" w14:textId="77777777" w:rsidR="00B72F40" w:rsidRDefault="00000000">
      <w:r>
        <w:rPr>
          <w:rStyle w:val="FootnoteReference"/>
        </w:rPr>
        <w:footnoteRef/>
      </w:r>
      <w:r>
        <w:rPr>
          <w:sz w:val="20"/>
          <w:szCs w:val="20"/>
        </w:rPr>
        <w:t>Ostrom, Governing the Commons, 90–92; see also Ostrom, “Beyond Markets and States: Polycentric Governance of Complex Economic Systems,” Nobel Prize Lecture (2009).</w:t>
      </w:r>
    </w:p>
  </w:footnote>
  <w:footnote w:id="38">
    <w:p w14:paraId="3DF8CCE5" w14:textId="77777777" w:rsidR="00B72F40" w:rsidRDefault="00000000">
      <w:r>
        <w:rPr>
          <w:rStyle w:val="FootnoteReference"/>
        </w:rPr>
        <w:footnoteRef/>
      </w:r>
      <w:r>
        <w:rPr>
          <w:sz w:val="20"/>
          <w:szCs w:val="20"/>
        </w:rPr>
        <w:t>Pope Leo XIII, Rerum Novarum (1891), §35.</w:t>
      </w:r>
    </w:p>
  </w:footnote>
  <w:footnote w:id="39">
    <w:p w14:paraId="0CD9362D" w14:textId="77777777" w:rsidR="00B72F40" w:rsidRDefault="00000000">
      <w:r>
        <w:rPr>
          <w:rStyle w:val="FootnoteReference"/>
        </w:rPr>
        <w:footnoteRef/>
      </w:r>
      <w:r>
        <w:rPr>
          <w:sz w:val="20"/>
          <w:szCs w:val="20"/>
        </w:rPr>
        <w:t xml:space="preserve">Pope Pius XI, </w:t>
      </w:r>
      <w:proofErr w:type="spellStart"/>
      <w:r>
        <w:rPr>
          <w:sz w:val="20"/>
          <w:szCs w:val="20"/>
        </w:rPr>
        <w:t>Quadragesimo</w:t>
      </w:r>
      <w:proofErr w:type="spellEnd"/>
      <w:r>
        <w:rPr>
          <w:sz w:val="20"/>
          <w:szCs w:val="20"/>
        </w:rPr>
        <w:t xml:space="preserve"> Anno (1931), §79.</w:t>
      </w:r>
    </w:p>
  </w:footnote>
  <w:footnote w:id="40">
    <w:p w14:paraId="04000CAE" w14:textId="77777777" w:rsidR="00B72F40" w:rsidRDefault="00000000">
      <w:r>
        <w:rPr>
          <w:rStyle w:val="FootnoteReference"/>
        </w:rPr>
        <w:footnoteRef/>
      </w:r>
      <w:r>
        <w:rPr>
          <w:sz w:val="20"/>
          <w:szCs w:val="20"/>
        </w:rPr>
        <w:t>Pontifical Council for Justice and Peace, Compendium of the Social Doctrine of the Church (2004), §§185–188.</w:t>
      </w:r>
    </w:p>
  </w:footnote>
  <w:footnote w:id="41">
    <w:p w14:paraId="10F328C2" w14:textId="77777777" w:rsidR="00B72F40" w:rsidRDefault="00000000">
      <w:r>
        <w:rPr>
          <w:rStyle w:val="FootnoteReference"/>
        </w:rPr>
        <w:footnoteRef/>
      </w:r>
      <w:r>
        <w:rPr>
          <w:sz w:val="20"/>
          <w:szCs w:val="20"/>
        </w:rPr>
        <w:t>Linbeck, “Guardian Angel,” Section 4.2 and Section 6.</w:t>
      </w:r>
    </w:p>
  </w:footnote>
  <w:footnote w:id="42">
    <w:p w14:paraId="5B6F6122" w14:textId="77777777" w:rsidR="00B72F40" w:rsidRDefault="00000000">
      <w:r>
        <w:rPr>
          <w:rStyle w:val="FootnoteReference"/>
        </w:rPr>
        <w:footnoteRef/>
      </w:r>
      <w:r>
        <w:rPr>
          <w:sz w:val="20"/>
          <w:szCs w:val="20"/>
        </w:rPr>
        <w:t>Linbeck, “Guardian Angel,” Section 6, Architecture.</w:t>
      </w:r>
    </w:p>
  </w:footnote>
  <w:footnote w:id="43">
    <w:p w14:paraId="5AEE3A34" w14:textId="77777777" w:rsidR="00B72F40" w:rsidRDefault="00000000">
      <w:r>
        <w:rPr>
          <w:rStyle w:val="FootnoteReference"/>
        </w:rPr>
        <w:footnoteRef/>
      </w:r>
      <w:r>
        <w:rPr>
          <w:sz w:val="20"/>
          <w:szCs w:val="20"/>
        </w:rPr>
        <w:t xml:space="preserve">Alasdair MacIntyre, After Virtue, 3rd ed. (Notre Dame: University of Notre Dame Press, 2007), </w:t>
      </w:r>
      <w:proofErr w:type="spellStart"/>
      <w:r>
        <w:rPr>
          <w:sz w:val="20"/>
          <w:szCs w:val="20"/>
        </w:rPr>
        <w:t>ch.</w:t>
      </w:r>
      <w:proofErr w:type="spellEnd"/>
      <w:r>
        <w:rPr>
          <w:sz w:val="20"/>
          <w:szCs w:val="20"/>
        </w:rPr>
        <w:t xml:space="preserve"> 15.</w:t>
      </w:r>
    </w:p>
  </w:footnote>
  <w:footnote w:id="44">
    <w:p w14:paraId="003BC977" w14:textId="77777777" w:rsidR="00B72F40" w:rsidRDefault="00000000">
      <w:r>
        <w:rPr>
          <w:rStyle w:val="FootnoteReference"/>
        </w:rPr>
        <w:footnoteRef/>
      </w:r>
      <w:r>
        <w:rPr>
          <w:sz w:val="20"/>
          <w:szCs w:val="20"/>
        </w:rPr>
        <w:t>Linbeck, “Guardian Angel,” Section 3.1–3.2.</w:t>
      </w:r>
    </w:p>
  </w:footnote>
  <w:footnote w:id="45">
    <w:p w14:paraId="10AC9547" w14:textId="77777777" w:rsidR="00B72F40" w:rsidRDefault="00000000">
      <w:r>
        <w:rPr>
          <w:rStyle w:val="FootnoteReference"/>
        </w:rPr>
        <w:footnoteRef/>
      </w:r>
      <w:r>
        <w:rPr>
          <w:sz w:val="20"/>
          <w:szCs w:val="20"/>
        </w:rPr>
        <w:t>Linbeck, “Guardian Angel,” Section 11.</w:t>
      </w:r>
    </w:p>
  </w:footnote>
  <w:footnote w:id="46">
    <w:p w14:paraId="47E77D5D" w14:textId="77777777" w:rsidR="00B72F40" w:rsidRDefault="00000000">
      <w:r>
        <w:rPr>
          <w:rStyle w:val="FootnoteReference"/>
        </w:rPr>
        <w:footnoteRef/>
      </w:r>
      <w:r>
        <w:rPr>
          <w:sz w:val="20"/>
          <w:szCs w:val="20"/>
        </w:rPr>
        <w:t>Dario Amodei et al., “Constitutional AI: Harmlessness from AI Feedback,” arXiv:2212.08073 (2022).</w:t>
      </w:r>
    </w:p>
  </w:footnote>
  <w:footnote w:id="47">
    <w:p w14:paraId="16C14650" w14:textId="77777777" w:rsidR="00B72F40" w:rsidRDefault="00000000">
      <w:r>
        <w:rPr>
          <w:rStyle w:val="FootnoteReference"/>
        </w:rPr>
        <w:footnoteRef/>
      </w:r>
      <w:r>
        <w:rPr>
          <w:sz w:val="20"/>
          <w:szCs w:val="20"/>
        </w:rPr>
        <w:t>Jan Leike et al., “Scalable Agent Alignment via Reward Modeling: A Research Direction,” arXiv:1811.07871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686A" w14:textId="77777777" w:rsidR="00B72F40" w:rsidRDefault="00000000">
    <w:pPr>
      <w:jc w:val="right"/>
    </w:pPr>
    <w:r>
      <w:rPr>
        <w:i/>
        <w:iCs/>
        <w:color w:val="888888"/>
        <w:sz w:val="18"/>
        <w:szCs w:val="18"/>
      </w:rPr>
      <w:t>Conscience is All You Need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72049"/>
    <w:multiLevelType w:val="hybridMultilevel"/>
    <w:tmpl w:val="8F8C901C"/>
    <w:lvl w:ilvl="0" w:tplc="04847764">
      <w:start w:val="1"/>
      <w:numFmt w:val="bullet"/>
      <w:lvlText w:val="●"/>
      <w:lvlJc w:val="left"/>
      <w:pPr>
        <w:ind w:left="720" w:hanging="360"/>
      </w:pPr>
    </w:lvl>
    <w:lvl w:ilvl="1" w:tplc="A74EF78C">
      <w:start w:val="1"/>
      <w:numFmt w:val="bullet"/>
      <w:lvlText w:val="○"/>
      <w:lvlJc w:val="left"/>
      <w:pPr>
        <w:ind w:left="1440" w:hanging="360"/>
      </w:pPr>
    </w:lvl>
    <w:lvl w:ilvl="2" w:tplc="4A809192">
      <w:start w:val="1"/>
      <w:numFmt w:val="bullet"/>
      <w:lvlText w:val="■"/>
      <w:lvlJc w:val="left"/>
      <w:pPr>
        <w:ind w:left="2160" w:hanging="360"/>
      </w:pPr>
    </w:lvl>
    <w:lvl w:ilvl="3" w:tplc="39ACC9F8">
      <w:start w:val="1"/>
      <w:numFmt w:val="bullet"/>
      <w:lvlText w:val="●"/>
      <w:lvlJc w:val="left"/>
      <w:pPr>
        <w:ind w:left="2880" w:hanging="360"/>
      </w:pPr>
    </w:lvl>
    <w:lvl w:ilvl="4" w:tplc="A3C66F3C">
      <w:start w:val="1"/>
      <w:numFmt w:val="bullet"/>
      <w:lvlText w:val="○"/>
      <w:lvlJc w:val="left"/>
      <w:pPr>
        <w:ind w:left="3600" w:hanging="360"/>
      </w:pPr>
    </w:lvl>
    <w:lvl w:ilvl="5" w:tplc="C646F272">
      <w:start w:val="1"/>
      <w:numFmt w:val="bullet"/>
      <w:lvlText w:val="■"/>
      <w:lvlJc w:val="left"/>
      <w:pPr>
        <w:ind w:left="4320" w:hanging="360"/>
      </w:pPr>
    </w:lvl>
    <w:lvl w:ilvl="6" w:tplc="B39A958C">
      <w:start w:val="1"/>
      <w:numFmt w:val="bullet"/>
      <w:lvlText w:val="●"/>
      <w:lvlJc w:val="left"/>
      <w:pPr>
        <w:ind w:left="5040" w:hanging="360"/>
      </w:pPr>
    </w:lvl>
    <w:lvl w:ilvl="7" w:tplc="A6FEEE5C">
      <w:start w:val="1"/>
      <w:numFmt w:val="bullet"/>
      <w:lvlText w:val="●"/>
      <w:lvlJc w:val="left"/>
      <w:pPr>
        <w:ind w:left="5760" w:hanging="360"/>
      </w:pPr>
    </w:lvl>
    <w:lvl w:ilvl="8" w:tplc="E7184370">
      <w:start w:val="1"/>
      <w:numFmt w:val="bullet"/>
      <w:lvlText w:val="●"/>
      <w:lvlJc w:val="left"/>
      <w:pPr>
        <w:ind w:left="6480" w:hanging="360"/>
      </w:pPr>
    </w:lvl>
  </w:abstractNum>
  <w:num w:numId="1" w16cid:durableId="1697928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F40"/>
    <w:rsid w:val="00053FD4"/>
    <w:rsid w:val="00056C90"/>
    <w:rsid w:val="0009273C"/>
    <w:rsid w:val="00215425"/>
    <w:rsid w:val="00297C7B"/>
    <w:rsid w:val="0036321D"/>
    <w:rsid w:val="003649C5"/>
    <w:rsid w:val="003B6B1E"/>
    <w:rsid w:val="004122A5"/>
    <w:rsid w:val="00491FBC"/>
    <w:rsid w:val="00520310"/>
    <w:rsid w:val="00530930"/>
    <w:rsid w:val="00575643"/>
    <w:rsid w:val="007851D6"/>
    <w:rsid w:val="00860F19"/>
    <w:rsid w:val="00866628"/>
    <w:rsid w:val="00894EB3"/>
    <w:rsid w:val="008B0FBE"/>
    <w:rsid w:val="008D5180"/>
    <w:rsid w:val="008E053B"/>
    <w:rsid w:val="009B3CD4"/>
    <w:rsid w:val="009E4230"/>
    <w:rsid w:val="00A330FA"/>
    <w:rsid w:val="00A55175"/>
    <w:rsid w:val="00B63878"/>
    <w:rsid w:val="00B72F40"/>
    <w:rsid w:val="00C1353A"/>
    <w:rsid w:val="00C30485"/>
    <w:rsid w:val="00C46563"/>
    <w:rsid w:val="00C97E47"/>
    <w:rsid w:val="00CA45E8"/>
    <w:rsid w:val="00D72F0E"/>
    <w:rsid w:val="00D745C1"/>
    <w:rsid w:val="00D97697"/>
    <w:rsid w:val="00DC4B5C"/>
    <w:rsid w:val="00DF79B9"/>
    <w:rsid w:val="00E7645E"/>
    <w:rsid w:val="00ED7B96"/>
    <w:rsid w:val="00EF0DB9"/>
    <w:rsid w:val="00F04AD4"/>
    <w:rsid w:val="00F43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52479"/>
  <w15:docId w15:val="{1D551E13-CAFD-3F4A-8F17-213CB7E1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1021</TotalTime>
  <Pages>25</Pages>
  <Words>7880</Words>
  <Characters>44916</Characters>
  <Application>Microsoft Office Word</Application>
  <DocSecurity>0</DocSecurity>
  <Lines>374</Lines>
  <Paragraphs>105</Paragraphs>
  <ScaleCrop>false</ScaleCrop>
  <Company/>
  <LinksUpToDate>false</LinksUpToDate>
  <CharactersWithSpaces>52691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Garza</cp:lastModifiedBy>
  <cp:revision>2</cp:revision>
  <dcterms:created xsi:type="dcterms:W3CDTF">2026-03-27T14:17:00Z</dcterms:created>
  <dcterms:modified xsi:type="dcterms:W3CDTF">2026-03-27T14:17:00Z</dcterms:modified>
</cp:coreProperties>
</file>