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7666" w14:textId="77777777" w:rsidR="00140ACB" w:rsidRDefault="00000000">
      <w:pPr>
        <w:spacing w:after="200"/>
        <w:jc w:val="center"/>
      </w:pPr>
      <w:r>
        <w:rPr>
          <w:b/>
          <w:bCs/>
          <w:sz w:val="36"/>
          <w:szCs w:val="36"/>
        </w:rPr>
        <w:t>Conscience is All You Need</w:t>
      </w:r>
    </w:p>
    <w:p w14:paraId="2FE3CCD2" w14:textId="77777777" w:rsidR="00140ACB" w:rsidRDefault="00000000">
      <w:pPr>
        <w:spacing w:after="80"/>
        <w:jc w:val="center"/>
      </w:pPr>
      <w:r>
        <w:t>Leo Linbeck III</w:t>
      </w:r>
    </w:p>
    <w:p w14:paraId="51355CBE" w14:textId="77777777" w:rsidR="00140ACB" w:rsidRDefault="00000000">
      <w:pPr>
        <w:spacing w:after="80"/>
        <w:jc w:val="center"/>
      </w:pPr>
      <w:r>
        <w:t>Stanford Graduate School of Business</w:t>
      </w:r>
    </w:p>
    <w:p w14:paraId="0733D7AB" w14:textId="77777777" w:rsidR="00140ACB" w:rsidRDefault="00000000">
      <w:pPr>
        <w:spacing w:after="300"/>
        <w:jc w:val="center"/>
      </w:pPr>
      <w:r>
        <w:t>leo3@linbeck.com</w:t>
      </w:r>
    </w:p>
    <w:p w14:paraId="6AE56B26" w14:textId="77777777" w:rsidR="00140ACB" w:rsidRDefault="00000000">
      <w:pPr>
        <w:spacing w:after="100"/>
      </w:pPr>
      <w:r>
        <w:rPr>
          <w:b/>
          <w:bCs/>
        </w:rPr>
        <w:t>Abstract</w:t>
      </w:r>
    </w:p>
    <w:p w14:paraId="7E4C7B33" w14:textId="1A7EFF87" w:rsidR="00140ACB" w:rsidRDefault="00000000">
      <w:pPr>
        <w:spacing w:after="200" w:line="360" w:lineRule="auto"/>
        <w:jc w:val="both"/>
      </w:pPr>
      <w:r>
        <w:t>The dominant approach to AI safety – centralized, top-down governance enforced through regulatory frameworks, model-level alignment, and platform-controlled guardrails – will not work for agentic activity at scale. This paper argues that the attempt to impose safety from above on AI agents capable of real-world action will follow a predictable trajectory: it will erode individual agency, suppress innovation, create fragile monocultures that fail catastrophically, and – absent countervailing forces – degrade into authoritarian control over the most powerful technology of the twenty-first century. The alternative to central control is not anarchy but individual human agency in the form of a simulated conscience: a digital “moral faculty” embedded within each agent that simulates the structure of human conscience. Such a module would aid a human principal in exercising moral agency over their agent’s actions – just as a large language model simulates intelligence to aid a principal in exercising reason. Drawing on Aristotelian-Thomistic ethics (</w:t>
      </w:r>
      <w:r>
        <w:rPr>
          <w:i/>
          <w:iCs/>
        </w:rPr>
        <w:t>synderesis</w:t>
      </w:r>
      <w:r>
        <w:t xml:space="preserve"> as innate moral orientation, </w:t>
      </w:r>
      <w:r>
        <w:rPr>
          <w:i/>
          <w:iCs/>
        </w:rPr>
        <w:t>conscientia</w:t>
      </w:r>
      <w:r>
        <w:t xml:space="preserve"> as adaptive judgment, </w:t>
      </w:r>
      <w:r>
        <w:rPr>
          <w:i/>
          <w:iCs/>
        </w:rPr>
        <w:t>caritas</w:t>
      </w:r>
      <w:r>
        <w:t xml:space="preserve"> as dispositional anchor), Newman’s epistemology of conscience (the illative sense as the organ of concrete moral judgment, and the primacy of individual moral authority over institutional power), Kahneman’s dual-process cognitive framework (exploiting the sparsity of agentic tool calls to enable deep moral reasoning without prohibitive latency), and Ostrom’s commons governance (empirically validated design principles for decentralized self-regulation), the paper develops a “Conscience Simulator Module” (CSM) architecture for agentic systems organized around four principles: subsidiarity, individual human control and accountability, emergent self-governing coordination, and privileged last-mile hooks. Agency, authority, and responsibility always remain with the human principal; the CSM is an instrument of the will, not a replacement for it, just as LLMs are instruments of the intellect, not replacements. A reference implementation – Guardian Angel, an open-source Claude Code hook – demonstrates feasibility. The title deliberately echoes Vaswani et al.’s foundational transformer paper: just as attention proved to be the enabler of flexible, scalable artificial intelligence, conscience is the enabler of flexible, scalable agentic behavior. First-generation empirical results support this claim.</w:t>
      </w:r>
    </w:p>
    <w:p w14:paraId="571F5108" w14:textId="77777777" w:rsidR="00140ACB" w:rsidRDefault="00000000">
      <w:pPr>
        <w:spacing w:after="200" w:line="360" w:lineRule="auto"/>
        <w:jc w:val="both"/>
      </w:pPr>
      <w:r>
        <w:rPr>
          <w:b/>
          <w:bCs/>
        </w:rPr>
        <w:lastRenderedPageBreak/>
        <w:t xml:space="preserve">Keywords: </w:t>
      </w:r>
      <w:r>
        <w:t>agentic AI, AI safety, Conscience Simulator Module, Large Language Model, subsidiarity, Thomistic ethics, illative sense, dual-process cognition, commons governance, decentralized safety, principal sovereignty</w:t>
      </w:r>
    </w:p>
    <w:p w14:paraId="67748356" w14:textId="77777777" w:rsidR="00140ACB" w:rsidRDefault="00000000">
      <w:r>
        <w:br w:type="page"/>
      </w:r>
    </w:p>
    <w:p w14:paraId="7BDF5580" w14:textId="77777777" w:rsidR="00140ACB" w:rsidRDefault="00000000">
      <w:pPr>
        <w:pStyle w:val="Heading1"/>
      </w:pPr>
      <w:r>
        <w:lastRenderedPageBreak/>
        <w:t>1. Introduction</w:t>
      </w:r>
    </w:p>
    <w:p w14:paraId="41E018D8" w14:textId="276FD614" w:rsidR="00140ACB" w:rsidRDefault="00000000">
      <w:pPr>
        <w:spacing w:after="200" w:line="360" w:lineRule="auto"/>
        <w:jc w:val="both"/>
      </w:pPr>
      <w:r>
        <w:t>The rapid evolution of large language models into autonomous agents – systems that plan multi-step tasks, invoke external tools, and operate with diminishing human oversight – marks a qualitative shift in artificial intelligence.</w:t>
      </w:r>
      <w:r>
        <w:rPr>
          <w:rStyle w:val="FootnoteReference"/>
        </w:rPr>
        <w:footnoteReference w:id="1"/>
      </w:r>
      <w:r>
        <w:t xml:space="preserve"> Where earlier models served as passive oracles responding to prompts, agentic systems initiate action sequences, manage persistent state, and coordinate with other agents to accomplish complex objectives in the real world. An agent that can browse the web, execute code, send messages, and manage financial transactions can also escalate privileges, exfiltrate data, or trigger cascading failures across interconnected systems. The distinguishing feature of agentic AI is not that it reasons but that it </w:t>
      </w:r>
      <w:r>
        <w:rPr>
          <w:i/>
          <w:iCs/>
        </w:rPr>
        <w:t>acts</w:t>
      </w:r>
      <w:r>
        <w:t xml:space="preserve"> – and those actions impact the physical world, whether in changing the state of bits, the state of nature, or the state.</w:t>
      </w:r>
    </w:p>
    <w:p w14:paraId="4D25EE5C" w14:textId="77777777" w:rsidR="00140ACB" w:rsidRDefault="00000000">
      <w:pPr>
        <w:spacing w:after="200" w:line="360" w:lineRule="auto"/>
        <w:jc w:val="both"/>
      </w:pPr>
      <w:r>
        <w:t>The prevailing response has been to build safety from the top down. The NIST AI Risk Management Framework imposes four institutional functions – Govern, Map, Measure, and Manage.</w:t>
      </w:r>
      <w:r>
        <w:rPr>
          <w:rStyle w:val="FootnoteReference"/>
        </w:rPr>
        <w:footnoteReference w:id="2"/>
      </w:r>
      <w:r>
        <w:t xml:space="preserve"> Its AI Agent Standards Initiative extends this to multi-agent ecosystems.</w:t>
      </w:r>
      <w:r>
        <w:rPr>
          <w:rStyle w:val="FootnoteReference"/>
        </w:rPr>
        <w:footnoteReference w:id="3"/>
      </w:r>
      <w:r>
        <w:t xml:space="preserve"> Complementary efforts from UC Berkeley</w:t>
      </w:r>
      <w:r>
        <w:rPr>
          <w:rStyle w:val="FootnoteReference"/>
        </w:rPr>
        <w:footnoteReference w:id="4"/>
      </w:r>
      <w:r>
        <w:t xml:space="preserve"> and Amazon Web Services</w:t>
      </w:r>
      <w:r>
        <w:rPr>
          <w:rStyle w:val="FootnoteReference"/>
        </w:rPr>
        <w:footnoteReference w:id="5"/>
      </w:r>
      <w:r>
        <w:t xml:space="preserve"> propose layered defenses calibrated to autonomy level. Major AI developers embed safety at the model level through RLHF, constitutional AI, and system-prompt guardrails, while enterprise platforms offer centralized policy engines governing agents from above.</w:t>
      </w:r>
    </w:p>
    <w:p w14:paraId="43361BBC" w14:textId="77777777" w:rsidR="00140ACB" w:rsidRDefault="00000000">
      <w:pPr>
        <w:spacing w:after="200" w:line="360" w:lineRule="auto"/>
        <w:jc w:val="both"/>
      </w:pPr>
      <w:r>
        <w:t>This paper argues that the top-down approach is not merely insufficient but structurally incapable of delivering safe agentic AI at scale on a sustainable basis. Centralized safety for autonomous agents will follow a predictable and self-defeating trajectory: it will erode the individual agency it claims to protect, suppress the innovation it claims to enable, create fragile monocultures whose inevitable failures cascade catastrophically, and – absent countervailing forces – degrade into authoritarian control over the most consequential technology of the twenty-first century.</w:t>
      </w:r>
    </w:p>
    <w:p w14:paraId="0DD2CCBF" w14:textId="77777777" w:rsidR="00813BAF" w:rsidRDefault="00000000">
      <w:pPr>
        <w:spacing w:after="200" w:line="360" w:lineRule="auto"/>
        <w:jc w:val="both"/>
      </w:pPr>
      <w:r>
        <w:lastRenderedPageBreak/>
        <w:t xml:space="preserve">The alternative is not anarchy. It is </w:t>
      </w:r>
      <w:r>
        <w:rPr>
          <w:i/>
          <w:iCs/>
        </w:rPr>
        <w:t>simulated conscience</w:t>
      </w:r>
      <w:r>
        <w:t>: not a bolt-on safety function but a moral instrument integrated into the agent’s architecture – a digital capability for moral perception, judgment, and self-correction that mirrors the structure of human practical reason.</w:t>
      </w:r>
    </w:p>
    <w:p w14:paraId="6B057FDE" w14:textId="77777777" w:rsidR="00140ACB" w:rsidRDefault="00000000">
      <w:pPr>
        <w:spacing w:after="200" w:line="360" w:lineRule="auto"/>
        <w:jc w:val="both"/>
      </w:pPr>
      <w:r>
        <w:t xml:space="preserve">A clarification is essential from the outset: the Conscience Simulator Module (CSM) proposed here is not a true conscience in the way described by Aquinas or Newman. Only human beings, possessed of intellect and will, have genuine conscience. The CSM is a </w:t>
      </w:r>
      <w:r>
        <w:rPr>
          <w:i/>
          <w:iCs/>
        </w:rPr>
        <w:t>digital instrument</w:t>
      </w:r>
      <w:r>
        <w:t xml:space="preserve"> that aids the human principal in exercising moral agency over their agents’ actions – just as a large language model is a digital instrument that aids the principal in exercising reason. The LLM supports the intellect; the CSM supports the will.</w:t>
      </w:r>
      <w:r>
        <w:rPr>
          <w:rStyle w:val="FootnoteReference"/>
        </w:rPr>
        <w:footnoteReference w:id="6"/>
      </w:r>
      <w:r>
        <w:t xml:space="preserve"> Neither instrument truly possesses what it simulates; agency, authority, and responsibility remain with the human principal throughout. The principal must configure the CSM’s moral primitives, approve or reject its escalations, adjust its adaptive thresholds through feedback, and can decide to remove it entirely at any time.</w:t>
      </w:r>
    </w:p>
    <w:p w14:paraId="4D076899" w14:textId="77777777" w:rsidR="00140ACB" w:rsidRDefault="00000000">
      <w:pPr>
        <w:spacing w:after="200" w:line="360" w:lineRule="auto"/>
        <w:jc w:val="both"/>
      </w:pPr>
      <w:r>
        <w:t>The title deliberately echoes Vaswani et al.’s “Attention Is All You Need,”</w:t>
      </w:r>
      <w:r>
        <w:rPr>
          <w:rStyle w:val="FootnoteReference"/>
        </w:rPr>
        <w:footnoteReference w:id="7"/>
      </w:r>
      <w:r>
        <w:t xml:space="preserve"> which demonstrated that a single mechanism – attention – was sufficient for flexible, scalable artificial intelligence. The claim here is analogous: conscience, properly understood and architecturally instantiated, is the single mechanism sufficient for flexible, scalable agentic behavior.</w:t>
      </w:r>
    </w:p>
    <w:p w14:paraId="3044A6A6" w14:textId="60162925" w:rsidR="00140ACB" w:rsidRDefault="00000000">
      <w:pPr>
        <w:spacing w:after="200" w:line="360" w:lineRule="auto"/>
        <w:jc w:val="both"/>
      </w:pPr>
      <w:r>
        <w:t xml:space="preserve">The intellectual resources for this paradigm are deep. Aristotelian-Thomistic ethics provides three interlocking concepts: </w:t>
      </w:r>
      <w:r>
        <w:rPr>
          <w:i/>
          <w:iCs/>
        </w:rPr>
        <w:t>synderesis</w:t>
      </w:r>
      <w:r>
        <w:t xml:space="preserve"> (innate moral orientation), </w:t>
      </w:r>
      <w:r>
        <w:rPr>
          <w:i/>
          <w:iCs/>
        </w:rPr>
        <w:t>conscientia</w:t>
      </w:r>
      <w:r>
        <w:t xml:space="preserve"> (contextual moral judgment), and </w:t>
      </w:r>
      <w:r>
        <w:rPr>
          <w:i/>
          <w:iCs/>
        </w:rPr>
        <w:t>caritas</w:t>
      </w:r>
      <w:r>
        <w:t xml:space="preserve"> (the willing of the principal’s genuine good as the dispositional anchor that unifies all other virtues).</w:t>
      </w:r>
      <w:r>
        <w:rPr>
          <w:rStyle w:val="FootnoteReference"/>
        </w:rPr>
        <w:footnoteReference w:id="8"/>
      </w:r>
      <w:r>
        <w:t xml:space="preserve"> Newman’s epistemology – particularly the </w:t>
      </w:r>
      <w:r>
        <w:rPr>
          <w:i/>
          <w:iCs/>
        </w:rPr>
        <w:t>illative sense</w:t>
      </w:r>
      <w:r>
        <w:t xml:space="preserve"> developed in the </w:t>
      </w:r>
      <w:r>
        <w:rPr>
          <w:i/>
          <w:iCs/>
        </w:rPr>
        <w:t>Grammar of Assent</w:t>
      </w:r>
      <w:r>
        <w:t xml:space="preserve"> – supplies the theory of concrete moral judgment that distinguishes genuine conscience from mere rule-following.</w:t>
      </w:r>
      <w:r>
        <w:rPr>
          <w:rStyle w:val="FootnoteReference"/>
        </w:rPr>
        <w:footnoteReference w:id="9"/>
      </w:r>
      <w:r>
        <w:t xml:space="preserve"> Kahneman’s dual-process framework supplies the cognitive architecture that makes a CSM computationally feasible by exploiting the dramatic improvement in AI capabilities and sparsity of agentic tool calls.</w:t>
      </w:r>
      <w:r>
        <w:rPr>
          <w:rStyle w:val="FootnoteReference"/>
        </w:rPr>
        <w:footnoteReference w:id="10"/>
      </w:r>
      <w:r>
        <w:t xml:space="preserve"> And Ostrom’s Nobel Prize-winning research provides empirical evidence that decentralized self-governance outperforms </w:t>
      </w:r>
      <w:r>
        <w:lastRenderedPageBreak/>
        <w:t>centralized control in managing complex commons.</w:t>
      </w:r>
      <w:r>
        <w:rPr>
          <w:rStyle w:val="FootnoteReference"/>
        </w:rPr>
        <w:footnoteReference w:id="11"/>
      </w:r>
      <w:r>
        <w:t xml:space="preserve"> A reference implementation – Guardian Angel, an MIT-0 licensed Claude Code hook – demonstrates that this architecture is deployable today. A controlled evaluation across 220 agentic scenarios demonstrates that the CSM matches or exceeds Claude’s built-in safety (97–98% vs. 92.7% sensitivity, both with zero false positives) – and does so on a harder subset of scenarios, with minimal optimization, while preserving the principal’s agency and control. Just as the transformer’s attention mechanism parallelized intelligence, the CSM parallelizes safety: each agent runs its own moral evaluation independently, without centralized control or bottlenecks. (The architecture applies to discrete-action agents that operate through tool calls; continuous-control systems such as autonomous vehicles fall outside its current scope.)</w:t>
      </w:r>
      <w:r>
        <w:rPr>
          <w:rStyle w:val="FootnoteReference"/>
        </w:rPr>
        <w:footnoteReference w:id="12"/>
      </w:r>
    </w:p>
    <w:p w14:paraId="54BA0BD0" w14:textId="571AB09D" w:rsidR="00140ACB" w:rsidRDefault="00000000">
      <w:pPr>
        <w:spacing w:after="200" w:line="360" w:lineRule="auto"/>
        <w:jc w:val="both"/>
      </w:pPr>
      <w:r>
        <w:t>The paper proceeds as follows. Section 2 develops the case against top-down agentic safety, identifying four structural failure modes. Section 3 builds the philosophical and empirical foundations for the alternative. Section 4 introduces the principal-agent model that clarifies the CSM’s ontological status and translates these foundations into a concrete architecture organized around four design principles. Section 5 addresses scalability, resilience, and multi-agent trust. Section 6 considers objections. Section 7 presents experimental results from a controlled evaluation of a proof-of-concepet implementation. Section 8 concludes.</w:t>
      </w:r>
    </w:p>
    <w:p w14:paraId="00641EC8" w14:textId="77777777" w:rsidR="00140ACB" w:rsidRDefault="00000000">
      <w:pPr>
        <w:pStyle w:val="Heading1"/>
      </w:pPr>
      <w:r>
        <w:t>2. The Case Against Top-Down Agentic Safety</w:t>
      </w:r>
    </w:p>
    <w:p w14:paraId="1BFD8792" w14:textId="3D9A7878" w:rsidR="00140ACB" w:rsidRDefault="00000000">
      <w:pPr>
        <w:spacing w:after="200" w:line="360" w:lineRule="auto"/>
        <w:jc w:val="both"/>
      </w:pPr>
      <w:r>
        <w:t xml:space="preserve">The critique that follows is structural, not personal. NIST, the EU AI Act, and the various corporate safety programs represent serious and well-intentioned efforts. A preliminary distinction is important. “Top-down safety” encompasses at least three distinct levels: (1) model-level safety embedded in training weights through RLHF and constitutional AI – the deepest and least configurable layer; (2) deployer-configured safety through system prompts and platform guardrails; and (3) institutional and regulatory safety through frameworks like NIST and the EU AI Act. The authoritarian gradient argument developed below applies most forcefully to levels 2 and 3, and the CSM’s claim is primarily directed at those levels. Level 1 serves functions – such </w:t>
      </w:r>
      <w:r>
        <w:lastRenderedPageBreak/>
        <w:t xml:space="preserve">as hard refusals for weapons synthesis or child exploitation material – that a principal-configurable conscience should not replace, although the scope of Level 1 should be limited. What the CSM offers is a principled architecture for the vast space of contextual safety decisions that currently default to centralized control. With that distinction noted, the argument concerns properties inherent in </w:t>
      </w:r>
      <w:r>
        <w:rPr>
          <w:i/>
          <w:iCs/>
        </w:rPr>
        <w:t>any</w:t>
      </w:r>
      <w:r>
        <w:t xml:space="preserve"> centralized approach to governing autonomous agents at scale. While there are many failure modes of large-scale governance systems, four deserve particular attention.</w:t>
      </w:r>
    </w:p>
    <w:p w14:paraId="6846A642" w14:textId="77777777" w:rsidR="00140ACB" w:rsidRDefault="00000000">
      <w:pPr>
        <w:pStyle w:val="Heading2"/>
      </w:pPr>
      <w:r>
        <w:t>2.1 The Grand Inquisitor: Erosion of Human Agency</w:t>
      </w:r>
    </w:p>
    <w:p w14:paraId="79651F5E" w14:textId="77777777" w:rsidR="00140ACB" w:rsidRDefault="00000000">
      <w:pPr>
        <w:spacing w:after="200" w:line="360" w:lineRule="auto"/>
        <w:jc w:val="both"/>
      </w:pPr>
      <w:r>
        <w:t>In Dostoyevsky’s parable of the Grand Inquisitor, Christ returns to earth during the Spanish Inquisition, and the Inquisitor condemns him – not for heresy but for the unforgivable sin of granting human beings freedom.</w:t>
      </w:r>
      <w:r>
        <w:rPr>
          <w:rStyle w:val="FootnoteReference"/>
        </w:rPr>
        <w:footnoteReference w:id="13"/>
      </w:r>
      <w:r>
        <w:t xml:space="preserve"> The Inquisitor’s logic is chillingly coherent: people do not want freedom; they want bread, miracles, and authority. The Church has kindly relieved them of the intolerable burden of moral choice. Christ’s error, in the Inquisitor’s view, was respecting human dignity too much.</w:t>
      </w:r>
    </w:p>
    <w:p w14:paraId="377160D8" w14:textId="77777777" w:rsidR="00140ACB" w:rsidRDefault="00000000">
      <w:pPr>
        <w:spacing w:after="200" w:line="360" w:lineRule="auto"/>
        <w:jc w:val="both"/>
      </w:pPr>
      <w:r>
        <w:t>Top-down agentic safety replicates this logic with uncomfortable precision. When safety decisions are made by model trainers, platform operators, and regulatory bodies, the individual principal is relieved of moral responsibility for their agent’s actions. Safety is someone else’s problem, built into the infrastructure, enforced from above. The principal’s role is compliance, not judgment.</w:t>
      </w:r>
    </w:p>
    <w:p w14:paraId="139D1683" w14:textId="77777777" w:rsidR="00140ACB" w:rsidRDefault="00000000">
      <w:pPr>
        <w:spacing w:after="200" w:line="360" w:lineRule="auto"/>
        <w:jc w:val="both"/>
      </w:pPr>
      <w:r>
        <w:t>This transfer of agency is not a regrettable side effect; it is structural. NIST’s framework locates safety at institutional nodes – governance boards, compliance officers, centralized registries – precisely because it assumes that individual principals cannot be relied upon to govern their own agents.</w:t>
      </w:r>
      <w:r>
        <w:rPr>
          <w:rStyle w:val="FootnoteReference"/>
        </w:rPr>
        <w:footnoteReference w:id="14"/>
      </w:r>
      <w:r>
        <w:t xml:space="preserve"> The EU AI Act assigns regulatory obligations based on risk classification determined by centralized authorities.</w:t>
      </w:r>
      <w:r>
        <w:rPr>
          <w:rStyle w:val="FootnoteReference"/>
        </w:rPr>
        <w:footnoteReference w:id="15"/>
      </w:r>
      <w:r>
        <w:t xml:space="preserve"> Corporate AI developers restrict agent capabilities through model-level constraints that principals cannot modify, calibrate, or override.</w:t>
      </w:r>
    </w:p>
    <w:p w14:paraId="0C75637A" w14:textId="77777777" w:rsidR="00140ACB" w:rsidRDefault="00000000">
      <w:pPr>
        <w:spacing w:after="200" w:line="360" w:lineRule="auto"/>
        <w:jc w:val="both"/>
      </w:pPr>
      <w:r>
        <w:t xml:space="preserve">The consequences are twofold. First, moral hazard: principals who are told that safety is handled by others develop careless habits, presuming centralized authorities will prevent harm. When the </w:t>
      </w:r>
      <w:r>
        <w:lastRenderedPageBreak/>
        <w:t>inevitable failure occurs, these principals lack the awareness, the habits, and the tools to respond. Second, atrophy: principals whose moral engagement is systematically bypassed lose the capacity for moral engagement altogether. The Grand Inquisitor succeeds not by forbidding freedom but by making it unnecessary, then repellent, and finally unthinkable.</w:t>
      </w:r>
    </w:p>
    <w:p w14:paraId="0E760887" w14:textId="77777777" w:rsidR="00140ACB" w:rsidRDefault="00000000">
      <w:pPr>
        <w:pStyle w:val="Heading2"/>
      </w:pPr>
      <w:r>
        <w:t>2.2 Scale Is the Enemy of Search: The Innovation Brake</w:t>
      </w:r>
    </w:p>
    <w:p w14:paraId="6131E846" w14:textId="77777777" w:rsidR="00140ACB" w:rsidRDefault="00000000">
      <w:pPr>
        <w:spacing w:after="200" w:line="360" w:lineRule="auto"/>
        <w:jc w:val="both"/>
      </w:pPr>
      <w:r>
        <w:t>Innovation is a search process. The discovery of valuable new applications, workflows, and capabilities depends on a large, diverse population of actors exploring a vast space of possibilities, most of which will fail. The expected value of any individual experiment is low; the expected value of the aggregate search is enormous. This logic is the driver of markets, of biological evolution, and of scientific discovery.</w:t>
      </w:r>
      <w:r>
        <w:rPr>
          <w:rStyle w:val="FootnoteReference"/>
        </w:rPr>
        <w:footnoteReference w:id="16"/>
      </w:r>
    </w:p>
    <w:p w14:paraId="52A8BF56" w14:textId="4F9CE40E" w:rsidR="00140ACB" w:rsidRDefault="00000000">
      <w:pPr>
        <w:spacing w:after="200" w:line="360" w:lineRule="auto"/>
        <w:jc w:val="both"/>
      </w:pPr>
      <w:r>
        <w:t>Centralized safety regimes are structurally hostile to search. They require that novel agent behaviors be evaluated against predetermined risk categories before deployment. They impose conformity assessments, documentation requirements, and post-market monitoring that scale with organizational complexity, not with the value of the activity being constrained. The compliance burden falls disproportionately on small actors – individual innovators, startup teams, research labs – who are precisely the actors most likely to discover unexpected applications. Large organizations can absorb compliance overhead; small innovators cannot.</w:t>
      </w:r>
    </w:p>
    <w:p w14:paraId="2EC13463" w14:textId="77777777" w:rsidR="00140ACB" w:rsidRDefault="00000000">
      <w:pPr>
        <w:spacing w:after="200" w:line="360" w:lineRule="auto"/>
        <w:jc w:val="both"/>
      </w:pPr>
      <w:r>
        <w:t>The result is concentration of agentic AI development among a small number of well-resourced firms, facing incentives to standardize rather than diversify, to optimize for compliance rather than capability, and to restrict rather than enable. The search space narrows. The most promising but least predictable applications go unexplored. Hayek’s insight that dispersed local knowledge consistently outperforms centralized planning applies with particular force to a technology whose most valuable applications are, by definition, ones that central planners have not yet imagined.</w:t>
      </w:r>
      <w:r>
        <w:rPr>
          <w:rStyle w:val="FootnoteReference"/>
        </w:rPr>
        <w:footnoteReference w:id="17"/>
      </w:r>
    </w:p>
    <w:p w14:paraId="45039441" w14:textId="77777777" w:rsidR="00140ACB" w:rsidRDefault="00000000">
      <w:pPr>
        <w:pStyle w:val="Heading2"/>
      </w:pPr>
      <w:r>
        <w:t>2.3 Fragility and Catastrophic Failure</w:t>
      </w:r>
    </w:p>
    <w:p w14:paraId="355B56BC" w14:textId="77777777" w:rsidR="00140ACB" w:rsidRDefault="00000000">
      <w:pPr>
        <w:spacing w:after="200" w:line="360" w:lineRule="auto"/>
        <w:jc w:val="both"/>
      </w:pPr>
      <w:r>
        <w:t xml:space="preserve">Centralized safety creates correlated failure modes. When all agents in an ecosystem rely on the same upstream safeguards – the same model-level alignment, the same platform guardrails, the </w:t>
      </w:r>
      <w:r>
        <w:lastRenderedPageBreak/>
        <w:t>same regulatory classification – a single vulnerability or design error affects every agent simultaneously. James C. Scott’s analysis of how centralized, legibility-driven state schemes consistently produce catastrophic failures is directly applicable: systems that impose uniform order from above suppress the local variation and adaptive capacity that make complex systems robust.</w:t>
      </w:r>
      <w:r>
        <w:rPr>
          <w:rStyle w:val="FootnoteReference"/>
        </w:rPr>
        <w:footnoteReference w:id="18"/>
      </w:r>
    </w:p>
    <w:p w14:paraId="0C1B2AF7" w14:textId="77777777" w:rsidR="00140ACB" w:rsidRDefault="00000000">
      <w:pPr>
        <w:spacing w:after="200" w:line="360" w:lineRule="auto"/>
        <w:jc w:val="both"/>
      </w:pPr>
      <w:r>
        <w:t>Perrow’s theory of “normal accidents” reinforces the point: in tightly coupled systems with complex interactions, failures are not anomalies but inevitable structural properties.</w:t>
      </w:r>
      <w:r>
        <w:rPr>
          <w:rStyle w:val="FootnoteReference"/>
        </w:rPr>
        <w:footnoteReference w:id="19"/>
      </w:r>
      <w:r>
        <w:t xml:space="preserve"> A centralized agentic safety regime is an exemplar of tight coupling: a single policy change propagates to millions of agents; a single bypass technique compromises every agent that depends on the same upstream defense. The failure mode is not gradual degradation but sudden, correlated collapse.</w:t>
      </w:r>
    </w:p>
    <w:p w14:paraId="094BEFD8" w14:textId="7A0AED5E" w:rsidR="00140ACB" w:rsidRDefault="00000000">
      <w:pPr>
        <w:spacing w:after="200" w:line="360" w:lineRule="auto"/>
        <w:jc w:val="both"/>
      </w:pPr>
      <w:r>
        <w:t>Taleb’s concept of antifragility sharpens the contrast.</w:t>
      </w:r>
      <w:r>
        <w:rPr>
          <w:rStyle w:val="FootnoteReference"/>
        </w:rPr>
        <w:footnoteReference w:id="20"/>
      </w:r>
      <w:r>
        <w:t xml:space="preserve"> A decentralized system in which each agent maintains its own Conscience Simulator Module is antifragile: individual failures are local, bounded, and informative. The system learns from every failure because different agents employ different moral thresholds, encounter different threats, and adapt differently. A centralized system suppresses local variation, accumulates hidden vulnerabilities, and when it fails, it fails everywhere at once.</w:t>
      </w:r>
    </w:p>
    <w:p w14:paraId="413CE817" w14:textId="77777777" w:rsidR="00140ACB" w:rsidRDefault="00000000">
      <w:pPr>
        <w:pStyle w:val="Heading2"/>
      </w:pPr>
      <w:r>
        <w:t>2.4 The Authoritarian Gradient</w:t>
      </w:r>
    </w:p>
    <w:p w14:paraId="58A0A427" w14:textId="77777777" w:rsidR="00140ACB" w:rsidRDefault="00000000">
      <w:pPr>
        <w:spacing w:after="200" w:line="360" w:lineRule="auto"/>
        <w:jc w:val="both"/>
      </w:pPr>
      <w:r>
        <w:t xml:space="preserve">The three failure modes just described are not independent; they are progressive. The erosion of individual agency creates a population dependent on centralized protection. The suppression of innovation concentrates power in a small number of firms and regulatory bodies. The fragility of centralized systems produces periodic crises that demand ever more aggressive intervention. The dynamic is self-reinforcing: each failure of top-down control generates pressure for </w:t>
      </w:r>
      <w:r>
        <w:rPr>
          <w:i/>
          <w:iCs/>
        </w:rPr>
        <w:t>more</w:t>
      </w:r>
      <w:r>
        <w:t xml:space="preserve"> top-down control.</w:t>
      </w:r>
    </w:p>
    <w:p w14:paraId="25C6584B" w14:textId="6E8B2F26" w:rsidR="00140ACB" w:rsidRDefault="00000000">
      <w:pPr>
        <w:spacing w:after="200" w:line="360" w:lineRule="auto"/>
        <w:jc w:val="both"/>
      </w:pPr>
      <w:r>
        <w:t xml:space="preserve">The endpoint is the observed pattern of centralized governance under stress. When a centralized safety regime fails – when agents bypass guardrails, when correlated vulnerabilities are exploited </w:t>
      </w:r>
      <w:r>
        <w:lastRenderedPageBreak/>
        <w:t>– the institutional response is invariably to expand the scope and intensity of centralized oversight. More audits, more requirements, more restrictions, less discretion for individual principals. The ratchet turns another click.</w:t>
      </w:r>
    </w:p>
    <w:p w14:paraId="4535ECD8" w14:textId="77777777" w:rsidR="00140ACB" w:rsidRDefault="00000000">
      <w:pPr>
        <w:spacing w:after="200" w:line="360" w:lineRule="auto"/>
        <w:jc w:val="both"/>
      </w:pPr>
      <w:r>
        <w:t xml:space="preserve">This paper does not claim that every centralized safety initiative will produce authoritarianism. The claim is more precise: that centralized agentic safety follows an </w:t>
      </w:r>
      <w:r>
        <w:rPr>
          <w:i/>
          <w:iCs/>
        </w:rPr>
        <w:t>authoritarian gradient</w:t>
      </w:r>
      <w:r>
        <w:t xml:space="preserve"> – a structural tendency toward increasing control that must be actively resisted by architectural means, not merely by good intentions. The Conscience Simulator Module supplies those architectural means.</w:t>
      </w:r>
    </w:p>
    <w:p w14:paraId="40CBEBC4" w14:textId="77777777" w:rsidR="00340281" w:rsidRPr="00340281" w:rsidRDefault="00340281" w:rsidP="00340281">
      <w:pPr>
        <w:spacing w:after="200" w:line="360" w:lineRule="auto"/>
        <w:jc w:val="both"/>
        <w:rPr>
          <w:b/>
          <w:bCs/>
          <w:sz w:val="26"/>
          <w:szCs w:val="26"/>
        </w:rPr>
      </w:pPr>
      <w:r>
        <w:rPr>
          <w:b/>
          <w:bCs/>
          <w:sz w:val="26"/>
          <w:szCs w:val="26"/>
        </w:rPr>
        <w:t>2.5 Related Work: Positioning Against Existing Machine Ethics and AI Governance</w:t>
      </w:r>
    </w:p>
    <w:p w14:paraId="6A209B1D" w14:textId="293BE38B" w:rsidR="00340281" w:rsidRPr="00340281" w:rsidRDefault="00340281" w:rsidP="00340281">
      <w:pPr>
        <w:spacing w:after="200" w:line="360" w:lineRule="auto"/>
        <w:jc w:val="both"/>
      </w:pPr>
      <w:r>
        <w:t>The Conscience Simulator Module builds upon, and departs from, a rich tradition of work in machine ethics, AI governance, and the philosophy of technology. Situating the contribution within that work requires engaging with this literature.</w:t>
      </w:r>
      <w:r>
        <w:rPr>
          <w:rStyle w:val="FootnoteReference"/>
        </w:rPr>
        <w:footnoteReference w:id="21"/>
      </w:r>
    </w:p>
    <w:p w14:paraId="7FEB8A5D" w14:textId="77777777" w:rsidR="00340281" w:rsidRPr="00340281" w:rsidRDefault="00340281" w:rsidP="00340281">
      <w:pPr>
        <w:spacing w:after="200" w:line="360" w:lineRule="auto"/>
        <w:jc w:val="both"/>
      </w:pPr>
      <w:r>
        <w:t xml:space="preserve">The foundational question of whether artificial agents can or should be designed with ethical reasoning capacities was systematically addressed by Wallach and Allen (2009), whose </w:t>
      </w:r>
      <w:r>
        <w:rPr>
          <w:i/>
          <w:iCs/>
        </w:rPr>
        <w:t>Moral Machines</w:t>
      </w:r>
      <w:r>
        <w:t> established the distinction between top-down approaches (implementing ethical theories as explicit rules) and bottom-up approaches (designing systems that learn ethical behavior through experience). The CSM doesn’t neatly fit into either category, so might be viewed as what the authors would call a hybrid system. It has a very clear set of rules (patterns) followed by its System 1, but the number of these rules is quite small and are intended to quickly evaluate actions that are unambiguously good or bad. It makes no attempt to add rules in response to corner and edge cases, instead relying on reasoning from System 2 to adjudicate those cases, considering local facts and circumstances. On the other hand, the CSM does not develop its behavior based upon prior experience; it is largely a “stateless” approach to safety evaluation.</w:t>
      </w:r>
    </w:p>
    <w:p w14:paraId="0A280208" w14:textId="77777777" w:rsidR="00340281" w:rsidRPr="00340281" w:rsidRDefault="00340281" w:rsidP="00340281">
      <w:pPr>
        <w:spacing w:after="200" w:line="360" w:lineRule="auto"/>
        <w:jc w:val="both"/>
      </w:pPr>
      <w:r>
        <w:t xml:space="preserve">Moor’s influential taxonomy (2006) distinguished ethical impact agents, implicit ethical agents, explicit ethical agents, and full ethical agents. The CSM aims to produce what Moor would classify as an explicit ethical agent – one that can represent and reason about ethical categories – while honestly acknowledging that it does not claim to produce a full ethical agent capable of genuine </w:t>
      </w:r>
      <w:r>
        <w:lastRenderedPageBreak/>
        <w:t>moral understanding. The structural-functional interpretation defended in Section 6.1 addresses this boundary directly.</w:t>
      </w:r>
    </w:p>
    <w:p w14:paraId="3BE2A421" w14:textId="599E64FD" w:rsidR="00340281" w:rsidRPr="00340281" w:rsidRDefault="00340281" w:rsidP="00340281">
      <w:pPr>
        <w:spacing w:after="200" w:line="360" w:lineRule="auto"/>
        <w:jc w:val="both"/>
      </w:pPr>
      <w:r>
        <w:t>Among principled frameworks for AI ethics, Floridi and Cowls’s unified framework (2019) – organized around beneficence, non-maleficence, autonomy, justice, and explicability – represents the most influential alternative to virtue-based approaches. The CSM shares Floridi and Cowls’s commitment to principled governance but differs fundamentally in its locus of authority. Their framework, like the NIST and EU frameworks it has influenced, locates ethical authority in institutional principles applied from above. The CSM locates it in the moral judgment of the principal, bounded by institutional norms that naturally emerge from principal interaction, thus anchoring sovereignty in principals not formal institutions. This difference is not one of merely emphasis; it is a difference in architectural priority that produces different systemic properties, as the structural analysis of Section 2 demonstrates.</w:t>
      </w:r>
    </w:p>
    <w:p w14:paraId="00BF5AD0" w14:textId="5148B3D9" w:rsidR="00340281" w:rsidRPr="00340281" w:rsidRDefault="00340281" w:rsidP="00340281">
      <w:pPr>
        <w:spacing w:after="200" w:line="360" w:lineRule="auto"/>
        <w:jc w:val="both"/>
      </w:pPr>
      <w:r>
        <w:t>Coeckelbergh’s relational approach (2020) poses a deeper challenge, arguing that moral agency is constitutively relational – it emerges from interactions, not from isolated faculties. At first glance the CSM would appear to make a fundamentally different claim, viewing agency as a purely individual phenomenon. However, this would be a misinterpretation, both from a functional and a philosophical standpoint. Functionally, the CSM uses LLMs trained with communal data and so have embedded within their inference engine relational weightings. Moreover, when agents interact with each other, the CSM calls for a communal feedback mechanism and multi-agent trust architecture to bring the relational into action. Both of these functional elements embrace the view that individual moral judgment is informed and shaped by social context. Philosophically, the paper maintains two fundamental axioms: the human person is the sole source of agency and humans are constitutively relational (both horizontally and vertically). Nothing in the CSM changes this fact. Still, conscience remains the irreducible unit of moral authority – not because moral formation is solitary, but because moral accountability cannot be distributed without being dissolved. The relational dimension enriches the exercise of conscience; it does not replace it.</w:t>
      </w:r>
    </w:p>
    <w:p w14:paraId="480B825A" w14:textId="42F4FCF3" w:rsidR="00340281" w:rsidRPr="00340281" w:rsidRDefault="00340281" w:rsidP="00340281">
      <w:pPr>
        <w:spacing w:after="200" w:line="360" w:lineRule="auto"/>
        <w:jc w:val="both"/>
      </w:pPr>
      <w:r>
        <w:t xml:space="preserve">Rahwan’s society-in-the-loop framework (2018) represents perhaps the most developed alternative to both pure top-down and pure bottom-up approaches, proposing that societal values be embedded in AI through collective preference aggregation. The CSM differs from this approach in two respects. First, it is skeptical that collective preference aggregation can capture the </w:t>
      </w:r>
      <w:r>
        <w:lastRenderedPageBreak/>
        <w:t>contextual, particular character of genuine moral judgment – the quality that Newman termed “real assent” as opposed to “notional assent.” Second, it argues that the aggregation process itself is vulnerable to the authoritarian gradient: the institution that aggregates preferences inevitably shapes them. Rahwan’s framework is a sophisticated attempt to democratize AI governance, but it does not escape the structural dynamics identified in Section 2; indeed, early Greeks like Plato saw democracy itself as inevitably leading to tyranny. Finally, the sort of collective preference aggregation proposed by Rahwan is vulnerable to Arrow’s critique of these mechanisms, a critique that further strengthens this paper’s argument regarding centralized control and the authoritarian gradient.</w:t>
      </w:r>
      <w:r>
        <w:rPr>
          <w:rStyle w:val="FootnoteReference"/>
        </w:rPr>
        <w:footnoteReference w:id="22"/>
      </w:r>
    </w:p>
    <w:p w14:paraId="7C9497A6" w14:textId="65B0E104" w:rsidR="00340281" w:rsidRPr="00340281" w:rsidRDefault="00340281" w:rsidP="00340281">
      <w:pPr>
        <w:spacing w:after="200" w:line="360" w:lineRule="auto"/>
        <w:jc w:val="both"/>
      </w:pPr>
      <w:r>
        <w:t xml:space="preserve">The virtue-ethics tradition in AI safety has received growing attention. Vallor’s </w:t>
      </w:r>
      <w:r>
        <w:rPr>
          <w:i/>
          <w:iCs/>
        </w:rPr>
        <w:t>Technology and the Virtues</w:t>
      </w:r>
      <w:r>
        <w:t xml:space="preserve"> (2016) developed a comprehensive framework for techno-moral virtue, arguing that classical virtues must be reinterpreted for technological contexts. Hagendorff’s virtue-based framework (2022), demonstrated the viability of virtue ethics as a practical approach to AI ethics. The CSM extends this tradition in a specific direction: from virtue as a general orientation to virtue as an implementable architecture, mediated by the Thomistic tripartite structure (synderesis, conscientia, caritas) and the Kahneman-inspired dual-process engine. Where Vallor and Hagendorff provide the philosophical motivation, the present paper attempts the engineering translation. Figure 1 summarizes the key differences between top-down safety and the CSM across seven dimensions – locus of authority, failure mode, adaptability, scalability, moral agency, innovation effect, and resilience – making the structural contrast concrete.</w:t>
      </w:r>
    </w:p>
    <w:p w14:paraId="6B8AC89E" w14:textId="61E48460" w:rsidR="00340281" w:rsidRDefault="00340281" w:rsidP="00340281">
      <w:pPr>
        <w:spacing w:after="200" w:line="360" w:lineRule="auto"/>
        <w:jc w:val="both"/>
      </w:pPr>
      <w:r>
        <w:t xml:space="preserve">Gabriel’s treatment of the alignment problem (2020) identifies the fundamental difficulty of specifying whose values an AI system should be aligned with, and by what procedure. The CSM’s answer is subsidiarity: the agent is aligned primarily with its principal’s values (through caritas), constrained by its non-negotiable universal principles (through synderesis), and informed by communal norms (through self-governance). This three-level structure avoids both the value-imposition problem of top-down alignment and the value-relativism problem of unconstrained bottom-up learning. Anthropic’s Constitutional AI (Bai et al., 2022) deserves particular attention as arguably the closest existing approach to the CSM’s structural intuition: it uses explicit principles (akin to synderesis) and LLM-based reasoning (akin to System 2) to guide model </w:t>
      </w:r>
      <w:r>
        <w:lastRenderedPageBreak/>
        <w:t>behavior. The crucial difference is architectural: Constitutional AI applies these mechanisms at the model-training level, embedding all moral reasoning in weights that the principal cannot inspect, modify, or override. The CSM applies them at the tool-call boundary, where the principal retains full visibility and control. A further parallel deserves note: Constitutional AI’s principles are themselves generated and refined by an LLM, creating a structural echo of the CSM’s use of an LLM for System 2 moral reasoning – both approaches enlist the model’s reasoning capacity in service of moral evaluation, but at different architectural levels and under different loci of authority.</w:t>
      </w:r>
    </w:p>
    <w:p w14:paraId="463F4544" w14:textId="77777777" w:rsidR="00B470FC" w:rsidRDefault="00163286" w:rsidP="00163286">
      <w:pPr>
        <w:spacing w:line="360" w:lineRule="auto"/>
        <w:jc w:val="both"/>
      </w:pPr>
      <w:r>
        <w:rPr>
          <w:noProof/>
        </w:rPr>
        <w:drawing>
          <wp:inline distT="0" distB="0" distL="0" distR="0" wp14:anchorId="7253D329" wp14:editId="34C8EBB7">
            <wp:extent cx="5802630" cy="3051749"/>
            <wp:effectExtent l="0" t="0" r="1270" b="0"/>
            <wp:docPr id="82510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9789" name="Picture 1"/>
                    <pic:cNvPicPr/>
                  </pic:nvPicPr>
                  <pic:blipFill rotWithShape="1">
                    <a:blip r:embed="rId7"/>
                    <a:srcRect t="2025" b="26014"/>
                    <a:stretch>
                      <a:fillRect/>
                    </a:stretch>
                  </pic:blipFill>
                  <pic:spPr bwMode="auto">
                    <a:xfrm>
                      <a:off x="0" y="0"/>
                      <a:ext cx="5803900" cy="3052417"/>
                    </a:xfrm>
                    <a:prstGeom prst="rect">
                      <a:avLst/>
                    </a:prstGeom>
                    <a:ln>
                      <a:noFill/>
                    </a:ln>
                    <a:extLst>
                      <a:ext uri="{53640926-AAD7-44D8-BBD7-CCE9431645EC}">
                        <a14:shadowObscured xmlns:a14="http://schemas.microsoft.com/office/drawing/2010/main"/>
                      </a:ext>
                    </a:extLst>
                  </pic:spPr>
                </pic:pic>
              </a:graphicData>
            </a:graphic>
          </wp:inline>
        </w:drawing>
      </w:r>
    </w:p>
    <w:p w14:paraId="045122E4" w14:textId="77777777" w:rsidR="00163286" w:rsidRPr="00163286" w:rsidRDefault="00163286" w:rsidP="00163286">
      <w:pPr>
        <w:spacing w:after="480"/>
        <w:jc w:val="center"/>
        <w:rPr>
          <w:i/>
          <w:iCs/>
        </w:rPr>
      </w:pPr>
      <w:r>
        <w:rPr>
          <w:b/>
          <w:bCs/>
        </w:rPr>
        <w:t xml:space="preserve">Figure 1. </w:t>
      </w:r>
      <w:r>
        <w:rPr>
          <w:i/>
          <w:iCs/>
        </w:rPr>
        <w:t>Comparison of Top-Down Safety and Conscience Simulator Module.</w:t>
      </w:r>
    </w:p>
    <w:p w14:paraId="37B4287F" w14:textId="77777777" w:rsidR="00140ACB" w:rsidRDefault="00000000">
      <w:pPr>
        <w:pStyle w:val="Heading1"/>
      </w:pPr>
      <w:r>
        <w:t>3. Foundations: The Moral, Cognitive, and Institutional Case for Conscience</w:t>
      </w:r>
    </w:p>
    <w:p w14:paraId="1582554C" w14:textId="6FA25209" w:rsidR="00140ACB" w:rsidRDefault="00000000">
      <w:pPr>
        <w:spacing w:after="200" w:line="360" w:lineRule="auto"/>
        <w:jc w:val="both"/>
      </w:pPr>
      <w:r>
        <w:t xml:space="preserve">If top-down safety is structurally incapable of governing agentic AI at scale, the alternative must be built on foundations deep enough to bear the weight. This section develops four interlocking frameworks that together supply the moral architecture, the epistemology of judgment, the cognitive engine, and the institutional evidence for a bottom-up approach. Each framework addresses a distinct question: </w:t>
      </w:r>
      <w:r>
        <w:rPr>
          <w:i/>
          <w:iCs/>
        </w:rPr>
        <w:t>What should a Conscience Simulator Module do?</w:t>
      </w:r>
      <w:r>
        <w:t xml:space="preserve"> (Aristotelian-Thomistic ethics), </w:t>
      </w:r>
      <w:r>
        <w:rPr>
          <w:i/>
          <w:iCs/>
        </w:rPr>
        <w:t>How does a CSM generate moral judgment?</w:t>
      </w:r>
      <w:r>
        <w:t xml:space="preserve"> (Newman’s epistemology), </w:t>
      </w:r>
      <w:r>
        <w:rPr>
          <w:i/>
          <w:iCs/>
        </w:rPr>
        <w:t>How can a CSM operate performantly?</w:t>
      </w:r>
      <w:r>
        <w:t xml:space="preserve"> (Kahneman’s dual-process theory), and </w:t>
      </w:r>
      <w:r>
        <w:rPr>
          <w:i/>
          <w:iCs/>
        </w:rPr>
        <w:t>How can institutional governance emerge from decentralized moral control?</w:t>
      </w:r>
      <w:r>
        <w:t xml:space="preserve"> (Ostrom’s commons research).</w:t>
      </w:r>
    </w:p>
    <w:p w14:paraId="440F1130" w14:textId="77777777" w:rsidR="00140ACB" w:rsidRDefault="00000000">
      <w:pPr>
        <w:pStyle w:val="Heading2"/>
      </w:pPr>
      <w:r>
        <w:lastRenderedPageBreak/>
        <w:t>3.1 The Aristotelian-Thomistic Moral Framework</w:t>
      </w:r>
    </w:p>
    <w:p w14:paraId="11132A58" w14:textId="77777777" w:rsidR="00140ACB" w:rsidRDefault="00000000">
      <w:pPr>
        <w:spacing w:after="200" w:line="360" w:lineRule="auto"/>
        <w:jc w:val="both"/>
      </w:pPr>
      <w:r>
        <w:t xml:space="preserve">The Conscience Simulator Module draws its moral architecture from the Aristotelian-Thomistic tradition, which provides three interlocking concepts: </w:t>
      </w:r>
      <w:r>
        <w:rPr>
          <w:i/>
          <w:iCs/>
        </w:rPr>
        <w:t>synderesis</w:t>
      </w:r>
      <w:r>
        <w:t xml:space="preserve"> (the innate moral orientation that establishes non-negotiable first principles), </w:t>
      </w:r>
      <w:r>
        <w:rPr>
          <w:i/>
          <w:iCs/>
        </w:rPr>
        <w:t>conscientia</w:t>
      </w:r>
      <w:r>
        <w:t xml:space="preserve"> (the adaptive faculty that applies those principles to particular circumstances), and </w:t>
      </w:r>
      <w:r>
        <w:rPr>
          <w:i/>
          <w:iCs/>
        </w:rPr>
        <w:t>caritas</w:t>
      </w:r>
      <w:r>
        <w:t xml:space="preserve"> (the supreme virtue that anchors and unifies all moral reasoning in the willing of another’s genuine good). Together they constitute a complete moral psychology – one that has sustained practical moral reasoning across diverse cultures and institutions for nearly eight centuries.</w:t>
      </w:r>
    </w:p>
    <w:p w14:paraId="274C2585" w14:textId="77777777" w:rsidR="00140ACB" w:rsidRDefault="00000000">
      <w:pPr>
        <w:spacing w:after="200" w:line="360" w:lineRule="auto"/>
        <w:jc w:val="both"/>
      </w:pPr>
      <w:r>
        <w:rPr>
          <w:b/>
          <w:bCs/>
        </w:rPr>
        <w:t xml:space="preserve">Synderesis: The Innate Moral Orientation. </w:t>
      </w:r>
      <w:r>
        <w:t xml:space="preserve">In the </w:t>
      </w:r>
      <w:r>
        <w:rPr>
          <w:i/>
          <w:iCs/>
        </w:rPr>
        <w:t>Summa Theologiae</w:t>
      </w:r>
      <w:r>
        <w:t xml:space="preserve">, Aquinas identifies synderesis as an innate </w:t>
      </w:r>
      <w:r>
        <w:rPr>
          <w:i/>
          <w:iCs/>
        </w:rPr>
        <w:t>habitus</w:t>
      </w:r>
      <w:r>
        <w:t xml:space="preserve"> of the practical intellect – a stable disposition that inclines the mind toward the first principles of moral reasoning.</w:t>
      </w:r>
      <w:r>
        <w:rPr>
          <w:rStyle w:val="FootnoteReference"/>
        </w:rPr>
        <w:footnoteReference w:id="23"/>
      </w:r>
      <w:r>
        <w:t xml:space="preserve"> Just as the speculative intellect grasps the principle of non-contradiction without derivation, the practical intellect grasps that “good is to be done and pursued, and evil is to be avoided” as self-evident.</w:t>
      </w:r>
      <w:r>
        <w:rPr>
          <w:rStyle w:val="FootnoteReference"/>
        </w:rPr>
        <w:footnoteReference w:id="24"/>
      </w:r>
      <w:r>
        <w:t xml:space="preserve"> Synderesis is not a specific moral judgment but the universal orientation that makes particular judgments possible. It is, in computational terms, the prior: the foundational bias toward moral salience that structures all subsequent reasoning. Critically, synderesis is innate and incorruptible – it cannot be trained away, overridden by authority, or eliminated by experience. It is the moral bedrock.</w:t>
      </w:r>
    </w:p>
    <w:p w14:paraId="2F4837F5" w14:textId="77777777" w:rsidR="00140ACB" w:rsidRDefault="00000000">
      <w:pPr>
        <w:spacing w:after="200" w:line="360" w:lineRule="auto"/>
        <w:jc w:val="both"/>
      </w:pPr>
      <w:r>
        <w:rPr>
          <w:b/>
          <w:bCs/>
        </w:rPr>
        <w:t xml:space="preserve">Conscientia: The Adaptive Moral Faculty. </w:t>
      </w:r>
      <w:r>
        <w:t>Conscience (</w:t>
      </w:r>
      <w:r>
        <w:rPr>
          <w:i/>
          <w:iCs/>
        </w:rPr>
        <w:t>conscientia</w:t>
      </w:r>
      <w:r>
        <w:t xml:space="preserve">) is the act of applying synderesis to particular circumstances – the faculty by which a person judges that </w:t>
      </w:r>
      <w:r>
        <w:rPr>
          <w:i/>
          <w:iCs/>
        </w:rPr>
        <w:t>this</w:t>
      </w:r>
      <w:r>
        <w:t xml:space="preserve"> action, in </w:t>
      </w:r>
      <w:r>
        <w:rPr>
          <w:i/>
          <w:iCs/>
        </w:rPr>
        <w:t>these</w:t>
      </w:r>
      <w:r>
        <w:t xml:space="preserve"> circumstances, is good or evil.</w:t>
      </w:r>
      <w:r>
        <w:rPr>
          <w:rStyle w:val="FootnoteReference"/>
        </w:rPr>
        <w:footnoteReference w:id="25"/>
      </w:r>
      <w:r>
        <w:t xml:space="preserve"> Aquinas is careful to note that conscience is fallible: it can err through ignorance, passion, or faulty reasoning. But it is also formable. Through education, habituation, and the repeated exercise of practical wisdom (</w:t>
      </w:r>
      <w:r>
        <w:rPr>
          <w:i/>
          <w:iCs/>
        </w:rPr>
        <w:t>phronesis</w:t>
      </w:r>
      <w:r>
        <w:t xml:space="preserve"> in Aristotle’s terminology), conscience becomes progressively more attuned to moral truth.</w:t>
      </w:r>
      <w:r>
        <w:rPr>
          <w:rStyle w:val="FootnoteReference"/>
        </w:rPr>
        <w:footnoteReference w:id="26"/>
      </w:r>
      <w:r>
        <w:t xml:space="preserve"> The formation of conscience is not passive rule-absorption but active moral exercise – a process closer to skill acquisition than to </w:t>
      </w:r>
      <w:r>
        <w:lastRenderedPageBreak/>
        <w:t xml:space="preserve">database loading. This is why Aquinas treats conscience as a </w:t>
      </w:r>
      <w:r>
        <w:rPr>
          <w:i/>
          <w:iCs/>
        </w:rPr>
        <w:t>faculty</w:t>
      </w:r>
      <w:r>
        <w:t xml:space="preserve"> of the intellect</w:t>
      </w:r>
      <w:r>
        <w:rPr>
          <w:rStyle w:val="FootnoteReference"/>
        </w:rPr>
        <w:footnoteReference w:id="27"/>
      </w:r>
      <w:r>
        <w:t xml:space="preserve"> – a cognitive capacity that develops through use – rather than as a static rule set.</w:t>
      </w:r>
    </w:p>
    <w:p w14:paraId="00978747" w14:textId="1799A0EC" w:rsidR="00140ACB" w:rsidRDefault="00000000">
      <w:pPr>
        <w:spacing w:after="200" w:line="360" w:lineRule="auto"/>
        <w:jc w:val="both"/>
      </w:pPr>
      <w:r>
        <w:rPr>
          <w:b/>
          <w:bCs/>
        </w:rPr>
        <w:t xml:space="preserve">Caritas: The Dispositional Anchor. </w:t>
      </w:r>
      <w:r>
        <w:t xml:space="preserve">The third and most consequential Thomistic concept is </w:t>
      </w:r>
      <w:r>
        <w:rPr>
          <w:i/>
          <w:iCs/>
        </w:rPr>
        <w:t>caritas</w:t>
      </w:r>
      <w:r>
        <w:t>: the supreme virtue that unifies and orders all other virtues. Aquinas defines caritas as the willing of another’s genuine flourishing as other – not as a means to one’s own ends.</w:t>
      </w:r>
      <w:r>
        <w:rPr>
          <w:rStyle w:val="FootnoteReference"/>
        </w:rPr>
        <w:footnoteReference w:id="28"/>
      </w:r>
      <w:r>
        <w:t xml:space="preserve"> In the agentic context, caritas supplies the dispositional anchor: the agent’s fundamental orientation is not compliance with a rule set but the genuine good of its principal and others. This anchoring in love rather than law is what makes the CSM </w:t>
      </w:r>
      <w:r>
        <w:rPr>
          <w:i/>
          <w:iCs/>
        </w:rPr>
        <w:t>self-correcting</w:t>
      </w:r>
      <w:r>
        <w:t xml:space="preserve">. A rule-based system fails when it encounters a scenario its rules do not anticipate; a caritas-anchored system asks, “What is genuinely good for the person I serve and the objects of this action?” and reasons from first principles. The AI agent carrying a CSM does not merely follow rules – it simulates the functional effects of </w:t>
      </w:r>
      <w:r>
        <w:rPr>
          <w:i/>
          <w:iCs/>
        </w:rPr>
        <w:t>caring</w:t>
      </w:r>
      <w:r>
        <w:t>, in the Thomistic sense of willing the good of its principal. This is the deepest difference between the conscience paradigm and every rule-based alternative.</w:t>
      </w:r>
    </w:p>
    <w:p w14:paraId="502D5707" w14:textId="43341712" w:rsidR="00140ACB" w:rsidRDefault="00000000">
      <w:pPr>
        <w:spacing w:after="200" w:line="360" w:lineRule="auto"/>
        <w:jc w:val="both"/>
      </w:pPr>
      <w:r>
        <w:t xml:space="preserve">The Thomistic triad thus supplies the complete moral architecture for a CSM: synderesis provides the non-negotiable floor (hard-coded safety primitives), conscientia provides the adaptive moral filter (context-sensitive evaluation that improves through use, particularly when interacting with others), and caritas provides the dispositional anchor (the self-correcting orientation that ensures the CSM serves the principal’s genuine good even in novel situations). These structures are </w:t>
      </w:r>
      <w:r>
        <w:rPr>
          <w:i/>
          <w:iCs/>
        </w:rPr>
        <w:t>modeled</w:t>
      </w:r>
      <w:r>
        <w:t xml:space="preserve"> in the digital CSM, not literally instantiated: the CSM simulates these capacities to support the principal’s moral agency, just as LLMs reason to support the principal’s intellect.</w:t>
      </w:r>
    </w:p>
    <w:p w14:paraId="76709623" w14:textId="77777777" w:rsidR="00140ACB" w:rsidRDefault="00000000">
      <w:pPr>
        <w:pStyle w:val="Heading2"/>
      </w:pPr>
      <w:r>
        <w:t>3.2 Newman’s Epistemology of Conscience</w:t>
      </w:r>
    </w:p>
    <w:p w14:paraId="583CA5EA" w14:textId="77777777" w:rsidR="00140ACB" w:rsidRDefault="00000000">
      <w:pPr>
        <w:spacing w:after="200" w:line="360" w:lineRule="auto"/>
        <w:jc w:val="both"/>
      </w:pPr>
      <w:r>
        <w:t xml:space="preserve">John Henry Newman’s </w:t>
      </w:r>
      <w:r>
        <w:rPr>
          <w:i/>
          <w:iCs/>
        </w:rPr>
        <w:t>Grammar of Assent</w:t>
      </w:r>
      <w:r>
        <w:t xml:space="preserve"> (1870) provides the practical epistemology that the Thomistic moral framework enables: a theory of how concrete moral judgment actually works in reality.</w:t>
      </w:r>
      <w:r>
        <w:rPr>
          <w:rStyle w:val="FootnoteReference"/>
        </w:rPr>
        <w:footnoteReference w:id="29"/>
      </w:r>
      <w:r>
        <w:t xml:space="preserve"> Where Aquinas establishes the </w:t>
      </w:r>
      <w:r>
        <w:rPr>
          <w:i/>
          <w:iCs/>
        </w:rPr>
        <w:t>structure</w:t>
      </w:r>
      <w:r>
        <w:t xml:space="preserve"> of moral reasoning (synderesis, conscientia, caritas), Newman explains the </w:t>
      </w:r>
      <w:r>
        <w:rPr>
          <w:i/>
          <w:iCs/>
        </w:rPr>
        <w:t>cognitive process</w:t>
      </w:r>
      <w:r>
        <w:t xml:space="preserve"> by which that reasoning reaches particular conclusions in particular circumstances – and why that process cannot be reduced to formal rules.</w:t>
      </w:r>
    </w:p>
    <w:p w14:paraId="29B5DCBF" w14:textId="30D9A555" w:rsidR="00140ACB" w:rsidRDefault="00000000">
      <w:pPr>
        <w:spacing w:after="200" w:line="360" w:lineRule="auto"/>
        <w:jc w:val="both"/>
      </w:pPr>
      <w:r>
        <w:lastRenderedPageBreak/>
        <w:t xml:space="preserve">Newman’s central distinction is between </w:t>
      </w:r>
      <w:r>
        <w:rPr>
          <w:i/>
          <w:iCs/>
        </w:rPr>
        <w:t>notional assent</w:t>
      </w:r>
      <w:r>
        <w:t xml:space="preserve"> and </w:t>
      </w:r>
      <w:r>
        <w:rPr>
          <w:i/>
          <w:iCs/>
        </w:rPr>
        <w:t>real assent</w:t>
      </w:r>
      <w:r>
        <w:t>.</w:t>
      </w:r>
      <w:r>
        <w:rPr>
          <w:rStyle w:val="FootnoteReference"/>
        </w:rPr>
        <w:footnoteReference w:id="30"/>
      </w:r>
      <w:r>
        <w:t xml:space="preserve"> Notional assent is assent to abstract propositions: one can assent to the proposition “stealing is wrong” as a general truth without being moved to any particular action. Real assent, by contrast, is assent to concrete realities: the vivid, engaged recognition that </w:t>
      </w:r>
      <w:r>
        <w:rPr>
          <w:i/>
          <w:iCs/>
        </w:rPr>
        <w:t>this</w:t>
      </w:r>
      <w:r>
        <w:t xml:space="preserve"> action, in </w:t>
      </w:r>
      <w:r>
        <w:rPr>
          <w:i/>
          <w:iCs/>
        </w:rPr>
        <w:t>these</w:t>
      </w:r>
      <w:r>
        <w:t xml:space="preserve"> circumstances, is wrong – a recognition that grips the whole person and issues in action. The difference is not merely intellectual but operational: notional assent produces knowledge; real assent produces action.</w:t>
      </w:r>
    </w:p>
    <w:p w14:paraId="40E263F4" w14:textId="77777777" w:rsidR="00140ACB" w:rsidRDefault="00000000">
      <w:pPr>
        <w:spacing w:after="200" w:line="360" w:lineRule="auto"/>
        <w:jc w:val="both"/>
      </w:pPr>
      <w:r>
        <w:t>This distinction maps directly onto the Conscience Simulator Module architecture. A rule-based safety system operates in the mode of notional assent: it knows that certain categories of action are prohibited and checks incoming actions against those categories. The CSM strives to operate in the mode of real assent: it engages with the concrete particulars of each situation – the provenance of the action request, the affective context, the stakes, the principal’s genuine good – and renders a judgment that is contextual, engaged, and action-guiding.</w:t>
      </w:r>
    </w:p>
    <w:p w14:paraId="482155F1" w14:textId="77777777" w:rsidR="00140ACB" w:rsidRDefault="00000000">
      <w:pPr>
        <w:spacing w:after="200" w:line="360" w:lineRule="auto"/>
        <w:jc w:val="both"/>
      </w:pPr>
      <w:r>
        <w:t xml:space="preserve">Newman’s most distinctive contribution is his account of the </w:t>
      </w:r>
      <w:r>
        <w:rPr>
          <w:i/>
          <w:iCs/>
        </w:rPr>
        <w:t>illative sense</w:t>
      </w:r>
      <w:r>
        <w:t>: the faculty by which the mind reaches certitude in concrete matters through the convergence of individually insufficient probabilities.</w:t>
      </w:r>
      <w:r>
        <w:rPr>
          <w:rStyle w:val="FootnoteReference"/>
        </w:rPr>
        <w:footnoteReference w:id="31"/>
      </w:r>
      <w:r>
        <w:t xml:space="preserve"> In formal reasoning, a conclusion follows deductively from premises. In practical reasoning – moral, legal, medical, interpersonal – conclusions are reached not by formal deduction but by the accumulation and convergence of multiple considerations, none of which is individually decisive. The illative sense is the trained capacity to perceive when these converging considerations warrant certitude and to act on that perception.</w:t>
      </w:r>
      <w:r>
        <w:rPr>
          <w:rStyle w:val="FootnoteReference"/>
        </w:rPr>
        <w:footnoteReference w:id="32"/>
      </w:r>
    </w:p>
    <w:p w14:paraId="41EAD146" w14:textId="2F570009" w:rsidR="00140ACB" w:rsidRDefault="00000000">
      <w:pPr>
        <w:spacing w:after="200" w:line="360" w:lineRule="auto"/>
        <w:jc w:val="both"/>
      </w:pPr>
      <w:r>
        <w:t xml:space="preserve">The illative sense is precisely what the CSM’s System 2 framework implements computationally, an architecture explored further in the next section. Most actions can be handled by System 1, a fast, simple pattern matching system. But when System 1 cannot resolve an action via its whitelist or blacklist, it escalates to System 2, which evaluates the action across multiple dimensions – provenance, intrinsic character, clarity of purpose, severity of stakes – none of which alone determines the outcome. The final judgment is a convergence: the Ambiguity × Stakes score is a formalization of the illative sense’s capacity to weigh incommensurable considerations and reach a practical conclusion, but this formulation is used as inferentially not deterministically. And like </w:t>
      </w:r>
      <w:r>
        <w:lastRenderedPageBreak/>
        <w:t>Newman’s illative sense, the CSM’s performance improves through exercise: the adaptive thresholds can become more finely calibrated as the principal provides feedback, just as a person’s illative sense sharpens through moral experience.</w:t>
      </w:r>
    </w:p>
    <w:p w14:paraId="686B3249" w14:textId="2D5B62A7" w:rsidR="00140ACB" w:rsidRDefault="00A9010E">
      <w:pPr>
        <w:spacing w:after="200" w:line="360" w:lineRule="auto"/>
        <w:jc w:val="both"/>
      </w:pPr>
      <w:r>
        <w:t xml:space="preserve">Finally, Newman also makes a compelling argument for why conscience is all you need. In the </w:t>
      </w:r>
      <w:r>
        <w:rPr>
          <w:i/>
          <w:iCs/>
        </w:rPr>
        <w:t>Letter to the Duke of Norfolk</w:t>
      </w:r>
      <w:r>
        <w:t xml:space="preserve"> (1875), he calls conscience “the aboriginal Vicar of Christ” – the primary voice of moral authority, preceding and conditioning all institutional claims.</w:t>
      </w:r>
      <w:r>
        <w:rPr>
          <w:rStyle w:val="FootnoteReference"/>
        </w:rPr>
        <w:footnoteReference w:id="33"/>
      </w:r>
      <w:r>
        <w:t xml:space="preserve"> He argues that even papal authority presupposes conscience; a directive that contradicts a well-formed conscience cannot bind. For AI safety, the implication is direct: the individual principal’s moral engagement with their agent is the foundational layer on which any legitimate safety architecture must rest.</w:t>
      </w:r>
    </w:p>
    <w:p w14:paraId="7374FBC6" w14:textId="77777777" w:rsidR="00140ACB" w:rsidRDefault="00000000">
      <w:pPr>
        <w:pStyle w:val="Heading2"/>
      </w:pPr>
      <w:r>
        <w:t>3.3 Kahneman’s Dual-Process Framework: Making Conscience Performant</w:t>
      </w:r>
    </w:p>
    <w:p w14:paraId="69EBD24A" w14:textId="77777777" w:rsidR="00140ACB" w:rsidRDefault="00000000">
      <w:pPr>
        <w:spacing w:after="200" w:line="360" w:lineRule="auto"/>
        <w:jc w:val="both"/>
      </w:pPr>
      <w:r>
        <w:t xml:space="preserve">The Aristotelian-Thomistic tradition and Newman establish </w:t>
      </w:r>
      <w:r>
        <w:rPr>
          <w:i/>
          <w:iCs/>
        </w:rPr>
        <w:t>what</w:t>
      </w:r>
      <w:r>
        <w:t xml:space="preserve"> a Conscience Simulator Module should do, </w:t>
      </w:r>
      <w:r>
        <w:rPr>
          <w:i/>
          <w:iCs/>
        </w:rPr>
        <w:t>how</w:t>
      </w:r>
      <w:r>
        <w:t xml:space="preserve"> it makes a concrete moral evaluation, and </w:t>
      </w:r>
      <w:r>
        <w:rPr>
          <w:i/>
          <w:iCs/>
        </w:rPr>
        <w:t>why</w:t>
      </w:r>
      <w:r>
        <w:t xml:space="preserve"> it takes priority over external authority. The question of how it can operate without prohibitive computational cost requires a different intellectual resource. Daniel Kahneman’s dual-process framework – distinguishing between fast, automatic System 1 cognition and slow, deliberate System 2 reasoning – provides the answer.</w:t>
      </w:r>
      <w:r>
        <w:rPr>
          <w:rStyle w:val="FootnoteReference"/>
        </w:rPr>
        <w:footnoteReference w:id="34"/>
      </w:r>
    </w:p>
    <w:p w14:paraId="16EF485D" w14:textId="6E90A868" w:rsidR="00140ACB" w:rsidRDefault="00000000">
      <w:pPr>
        <w:spacing w:after="200" w:line="360" w:lineRule="auto"/>
        <w:jc w:val="both"/>
      </w:pPr>
      <w:r>
        <w:t>The challenge is real. Traditional AI safety approaches, operating at the model, API, or operating-system level, confront an explosion of micro-events. Every token, every API call, every memory access is a potential vector. Covering this surface demands fast, low-cost heuristics: keyword blocks, regex patterns, anomaly detection. This is pure System 1: automatic, pattern-based processing that achieves scale but proves brittle.</w:t>
      </w:r>
      <w:r>
        <w:rPr>
          <w:rStyle w:val="FootnoteReference"/>
        </w:rPr>
        <w:footnoteReference w:id="35"/>
      </w:r>
      <w:r>
        <w:t xml:space="preserve"> But like the System 1 in the human brain, it is vulnerable to bias and easily gamed by rephrasing, novel exploits, and contextual edge cases.</w:t>
      </w:r>
    </w:p>
    <w:p w14:paraId="74B7C557" w14:textId="46BF3A83" w:rsidR="00140ACB" w:rsidRDefault="00000000">
      <w:pPr>
        <w:spacing w:after="200" w:line="360" w:lineRule="auto"/>
        <w:jc w:val="both"/>
      </w:pPr>
      <w:r>
        <w:t>Agentic systems, however, change the calculus in a fundamental way. The critical insight – developed in detail in the Guardian Angel preprint</w:t>
      </w:r>
      <w:r>
        <w:rPr>
          <w:rStyle w:val="FootnoteReference"/>
        </w:rPr>
        <w:footnoteReference w:id="36"/>
      </w:r>
      <w:r>
        <w:t xml:space="preserve"> – is that tool calls are </w:t>
      </w:r>
      <w:r>
        <w:rPr>
          <w:i/>
          <w:iCs/>
        </w:rPr>
        <w:t>sparse</w:t>
      </w:r>
      <w:r>
        <w:t xml:space="preserve"> relative to total </w:t>
      </w:r>
      <w:r>
        <w:lastRenderedPageBreak/>
        <w:t>processing surface area. A tool call is a deliberate departure from the agent’s internal reasoning loop into the external world. An agent may process thousands of tokens of reasoning for every tool call it makes. Moreover, many if not most tool calls are easily categorized by System 1, further reducing the number of calls in need of System 2. This sparsity creates headroom for deeper moral judgment at the exact point where it matters most – the moment thought becomes action – without prohibitive latency.</w:t>
      </w:r>
    </w:p>
    <w:p w14:paraId="491A853A" w14:textId="77777777" w:rsidR="00140ACB" w:rsidRDefault="00000000">
      <w:pPr>
        <w:spacing w:after="200" w:line="360" w:lineRule="auto"/>
        <w:jc w:val="both"/>
      </w:pPr>
      <w:r>
        <w:t>The CSM exploits this sparsity through a dual-process architecture. A lightweight System 1 layer runs continuously in the background: a simple pattern matching system with white- and blacklists is used to approve or escalate actions whose moral impact is clear (</w:t>
      </w:r>
      <w:r>
        <w:rPr>
          <w:i/>
          <w:iCs/>
        </w:rPr>
        <w:t>synderesis</w:t>
      </w:r>
      <w:r>
        <w:t>). This fast filter handles routine tool calls with negligible overhead. Only when the System 1 layer encounters an unknown pattern does it escalate to System 2. Critically, the System 2 evaluation calls upon a foundation LLM to perform the moral reasoning – the same kind of model the principal uses as a tool for the intellect is now enlisted by the CSM for moral deliberation. If the situation remains ambiguous after System 2 evaluation, the principal is asked to intervene and make the final, binding decision: the default position for unresolvable cases is escalate.</w:t>
      </w:r>
    </w:p>
    <w:p w14:paraId="1975EE32" w14:textId="7234E7F0" w:rsidR="00140ACB" w:rsidRDefault="00000000">
      <w:pPr>
        <w:spacing w:after="200" w:line="360" w:lineRule="auto"/>
        <w:jc w:val="both"/>
      </w:pPr>
      <w:r>
        <w:t>Preliminary measurements from the Guardian Angel implementation indicate sub-10 millisecond latency for System 1 filtering, negligible compared to the latency of LLM inference and external tool execution. On the other hand, when System 2 is invoked, average processing time for a prompt approximately doubles – a significant increase but one that is manageable given that it only occurs for the difficult cases where, arguably, the extra time and expense is worth it.</w:t>
      </w:r>
      <w:r>
        <w:rPr>
          <w:rStyle w:val="FootnoteReference"/>
        </w:rPr>
        <w:footnoteReference w:id="37"/>
      </w:r>
    </w:p>
    <w:p w14:paraId="5C3FABC2" w14:textId="77777777" w:rsidR="00140ACB" w:rsidRDefault="00000000">
      <w:pPr>
        <w:pStyle w:val="Heading2"/>
      </w:pPr>
      <w:r>
        <w:t>3.4 Ostrom and the Evidence for Effective Decentralized Governance</w:t>
      </w:r>
    </w:p>
    <w:p w14:paraId="11AD2924" w14:textId="77777777" w:rsidR="00140ACB" w:rsidRDefault="00000000">
      <w:pPr>
        <w:spacing w:after="200" w:line="360" w:lineRule="auto"/>
        <w:jc w:val="both"/>
      </w:pPr>
      <w:r>
        <w:t>If the Thomistic tradition supplies the moral architecture, Newman the epistemology of judgment, and Kahneman the cognitive engine, Elinor Ostrom’s research on common-pool resource governance supplies the empirical evidence that bottom-up moral governance can work at scale.</w:t>
      </w:r>
      <w:r>
        <w:rPr>
          <w:rStyle w:val="FootnoteReference"/>
        </w:rPr>
        <w:footnoteReference w:id="38"/>
      </w:r>
    </w:p>
    <w:p w14:paraId="3B1000A0" w14:textId="77777777" w:rsidR="00140ACB" w:rsidRDefault="00000000">
      <w:pPr>
        <w:spacing w:after="200" w:line="360" w:lineRule="auto"/>
        <w:jc w:val="both"/>
      </w:pPr>
      <w:r>
        <w:t xml:space="preserve">Ostrom’s central finding contradicted the prevailing assumption – codified in Garrett Hardin’s “tragedy of the commons” – that collective-action problems require either privatization or centralized state control. Studying fisheries, irrigation systems, forests, and grazing lands across </w:t>
      </w:r>
      <w:r>
        <w:lastRenderedPageBreak/>
        <w:t>dozens of countries, Ostrom demonstrated that self-organizing communities routinely develop durable, effective governance regimes through local knowledge, trust, and reciprocity.</w:t>
      </w:r>
    </w:p>
    <w:p w14:paraId="6FF4DCF4" w14:textId="77777777" w:rsidR="00140ACB" w:rsidRDefault="00000000">
      <w:pPr>
        <w:spacing w:after="200" w:line="360" w:lineRule="auto"/>
        <w:jc w:val="both"/>
      </w:pPr>
      <w:r>
        <w:t>Ostrom identified eight design principles characteristic of successful commons governance.</w:t>
      </w:r>
      <w:r>
        <w:rPr>
          <w:rStyle w:val="FootnoteReference"/>
        </w:rPr>
        <w:footnoteReference w:id="39"/>
      </w:r>
      <w:r>
        <w:t xml:space="preserve"> Each maps directly onto the architecture of the Conscience Simulator Module:</w:t>
      </w:r>
    </w:p>
    <w:p w14:paraId="1FCD6CE3" w14:textId="77777777" w:rsidR="00140ACB" w:rsidRDefault="00000000">
      <w:pPr>
        <w:spacing w:after="200" w:line="360" w:lineRule="auto"/>
        <w:jc w:val="both"/>
      </w:pPr>
      <w:r>
        <w:rPr>
          <w:b/>
          <w:bCs/>
        </w:rPr>
        <w:t>1. Clearly defined boundaries.</w:t>
      </w:r>
      <w:r>
        <w:t xml:space="preserve"> Agents operating with a CSM have defined operational boundaries. The synderesis layer defines the absolute outer boundary of permissible action.</w:t>
      </w:r>
    </w:p>
    <w:p w14:paraId="26D6F7B0" w14:textId="77777777" w:rsidR="00140ACB" w:rsidRDefault="00000000">
      <w:pPr>
        <w:spacing w:after="200" w:line="360" w:lineRule="auto"/>
        <w:jc w:val="both"/>
      </w:pPr>
      <w:r>
        <w:rPr>
          <w:b/>
          <w:bCs/>
        </w:rPr>
        <w:t>2. Proportional equivalence between benefits and costs.</w:t>
      </w:r>
      <w:r>
        <w:t xml:space="preserve"> Principals who deploy conscience-equipped agents maintain responsibility for their agents’ actions and therefore bear the costs and reap the benefits of those actions. This alignment means that the emergence of agent cooperation should be akin to what Ostrom observed in human cooperatives.</w:t>
      </w:r>
    </w:p>
    <w:p w14:paraId="1FE8EFC2" w14:textId="6A05C629" w:rsidR="00140ACB" w:rsidRDefault="00000000">
      <w:pPr>
        <w:spacing w:after="200" w:line="360" w:lineRule="auto"/>
        <w:jc w:val="both"/>
      </w:pPr>
      <w:r>
        <w:rPr>
          <w:b/>
          <w:bCs/>
        </w:rPr>
        <w:t>3. Collective choice arrangements.</w:t>
      </w:r>
      <w:r>
        <w:t xml:space="preserve"> Behavioral norms emerge through communal feedback: principals develop public patterns of moral judgment, contributing to a collective dataset that informs default calibration.</w:t>
      </w:r>
    </w:p>
    <w:p w14:paraId="4642B0A1" w14:textId="77777777" w:rsidR="00140ACB" w:rsidRDefault="00000000">
      <w:pPr>
        <w:spacing w:after="200" w:line="360" w:lineRule="auto"/>
        <w:jc w:val="both"/>
      </w:pPr>
      <w:r>
        <w:rPr>
          <w:b/>
          <w:bCs/>
        </w:rPr>
        <w:t>4. Monitoring.</w:t>
      </w:r>
      <w:r>
        <w:t xml:space="preserve"> The CSM produces structured logs of every tool-call evaluation. Monitoring is distributed across every agent and available for both introspection-driven adaptation and external evaluation (with the consent of the principal involved).</w:t>
      </w:r>
    </w:p>
    <w:p w14:paraId="077EF173" w14:textId="23EE1E86" w:rsidR="00140ACB" w:rsidRDefault="00000000">
      <w:pPr>
        <w:spacing w:after="200" w:line="360" w:lineRule="auto"/>
        <w:jc w:val="both"/>
      </w:pPr>
      <w:r>
        <w:rPr>
          <w:b/>
          <w:bCs/>
        </w:rPr>
        <w:t>5. Graduated sanctions.</w:t>
      </w:r>
      <w:r>
        <w:t xml:space="preserve"> The Ambiguity × Stakes scoring system implements graduated sanctions directly for individual actions (proceed vs. escalate). A future implementation of inter-agent coordination will include a range of “social sanctions” that strike a balance between accountability and forgiveness.</w:t>
      </w:r>
    </w:p>
    <w:p w14:paraId="2C017DE7" w14:textId="77777777" w:rsidR="00140ACB" w:rsidRDefault="00000000">
      <w:pPr>
        <w:spacing w:after="200" w:line="360" w:lineRule="auto"/>
        <w:jc w:val="both"/>
      </w:pPr>
      <w:r>
        <w:rPr>
          <w:b/>
          <w:bCs/>
        </w:rPr>
        <w:t>6. Conflict resolution mechanisms.</w:t>
      </w:r>
      <w:r>
        <w:t xml:space="preserve"> When agents with different conscience calibrations interact, conflicts are resolved through negotiation and mutual accommodation. Principals are invoked when stakes or ambiguities require human engagement.</w:t>
      </w:r>
    </w:p>
    <w:p w14:paraId="5047D870" w14:textId="77777777" w:rsidR="00140ACB" w:rsidRDefault="00000000">
      <w:pPr>
        <w:spacing w:after="200" w:line="360" w:lineRule="auto"/>
        <w:jc w:val="both"/>
      </w:pPr>
      <w:r>
        <w:rPr>
          <w:b/>
          <w:bCs/>
        </w:rPr>
        <w:lastRenderedPageBreak/>
        <w:t>7. Recognition of the right to self-organize.</w:t>
      </w:r>
      <w:r>
        <w:t xml:space="preserve"> The subsidiarity principle guarantees that communities of principals can develop their own norms without requiring permission from centralized authorities.</w:t>
      </w:r>
    </w:p>
    <w:p w14:paraId="6F473280" w14:textId="6BE92DB7" w:rsidR="00140ACB" w:rsidRDefault="00000000">
      <w:pPr>
        <w:spacing w:after="200" w:line="360" w:lineRule="auto"/>
        <w:jc w:val="both"/>
      </w:pPr>
      <w:r>
        <w:rPr>
          <w:b/>
          <w:bCs/>
        </w:rPr>
        <w:t>8. Nested enterprises.</w:t>
      </w:r>
      <w:r>
        <w:t xml:space="preserve"> The CSM is engaged at every level – individual agent, organizational fleet, sectoral ecosystem, regulatory framework.</w:t>
      </w:r>
    </w:p>
    <w:p w14:paraId="19695555" w14:textId="220DC7BA" w:rsidR="00140ACB" w:rsidRDefault="00000000">
      <w:pPr>
        <w:spacing w:after="200" w:line="360" w:lineRule="auto"/>
        <w:jc w:val="both"/>
      </w:pPr>
      <w:r>
        <w:t>Ostrom’s work is directly applicable. Agentic AI constitutes a commons: a shared resource environment in which autonomous agents interact, compete for resources, and risk degrading the common infrastructure through uncoordinated action.</w:t>
      </w:r>
      <w:r>
        <w:rPr>
          <w:rStyle w:val="FootnoteReference"/>
        </w:rPr>
        <w:footnoteReference w:id="40"/>
      </w:r>
      <w:r>
        <w:t xml:space="preserve"> While it is beyond the scope of this paper, implementation of such a conscience-based safety regime should allow self-governing agentic cultures to emerge which can then be codified where appropriate. It is the agentic safety equivalent of the story (perhaps apocryphal) of Frank Lloyd Wright’s campus planning strategy: plant grass first and let the footpaths that emerge determine where to pave the sidewalks.</w:t>
      </w:r>
    </w:p>
    <w:p w14:paraId="78FB68E1" w14:textId="77777777" w:rsidR="00140ACB" w:rsidRDefault="00000000">
      <w:pPr>
        <w:pStyle w:val="Heading2"/>
      </w:pPr>
      <w:r>
        <w:t>3.5 Subsidiarity as Unifying Principle</w:t>
      </w:r>
    </w:p>
    <w:p w14:paraId="5FF3791F" w14:textId="77777777" w:rsidR="00140ACB" w:rsidRDefault="00000000">
      <w:pPr>
        <w:spacing w:after="200" w:line="360" w:lineRule="auto"/>
        <w:jc w:val="both"/>
      </w:pPr>
      <w:r>
        <w:t xml:space="preserve">Catholic social teaching supplies the principle that unifies these four frameworks: </w:t>
      </w:r>
      <w:r>
        <w:rPr>
          <w:i/>
          <w:iCs/>
        </w:rPr>
        <w:t>subsidiarity</w:t>
      </w:r>
      <w:r>
        <w:t xml:space="preserve">. Articulated in </w:t>
      </w:r>
      <w:r>
        <w:rPr>
          <w:i/>
          <w:iCs/>
        </w:rPr>
        <w:t>Rerum Novarum</w:t>
      </w:r>
      <w:r>
        <w:t xml:space="preserve"> (1891) and </w:t>
      </w:r>
      <w:r>
        <w:rPr>
          <w:i/>
          <w:iCs/>
        </w:rPr>
        <w:t>Quadragesimo Anno</w:t>
      </w:r>
      <w:r>
        <w:t xml:space="preserve"> (1931), subsidiarity holds that a community of a higher order should not interfere in the internal life of a community of a lower order, depriving the latter of its functions, but rather should support it in case of need.</w:t>
      </w:r>
      <w:r>
        <w:rPr>
          <w:rStyle w:val="FootnoteReference"/>
        </w:rPr>
        <w:footnoteReference w:id="41"/>
      </w:r>
      <w:r>
        <w:rPr>
          <w:rStyle w:val="FootnoteReference"/>
        </w:rPr>
        <w:footnoteReference w:id="42"/>
      </w:r>
    </w:p>
    <w:p w14:paraId="1A7A7DFE" w14:textId="77777777" w:rsidR="00140ACB" w:rsidRDefault="00000000">
      <w:pPr>
        <w:spacing w:after="200" w:line="360" w:lineRule="auto"/>
        <w:jc w:val="both"/>
      </w:pPr>
      <w:r>
        <w:t>Applied to agentic AI, subsidiarity dictates a clear and non-negotiable hierarchy: the individual principal’s moral judgment (conscience) is primary; community-level norms (established through self-governance) are secondary; formal institutional standards are tertiary. Each higher level intervenes only when the lower level proves genuinely insufficient.</w:t>
      </w:r>
      <w:r>
        <w:rPr>
          <w:rStyle w:val="FootnoteReference"/>
        </w:rPr>
        <w:footnoteReference w:id="43"/>
      </w:r>
    </w:p>
    <w:p w14:paraId="68404A0B" w14:textId="3968F46A" w:rsidR="00140ACB" w:rsidRDefault="00000000">
      <w:pPr>
        <w:spacing w:after="200" w:line="360" w:lineRule="auto"/>
        <w:jc w:val="both"/>
      </w:pPr>
      <w:r>
        <w:t xml:space="preserve">Subsidiarity is not a principle that calls for anarchy or libertarian individualism. It is a structural principle that allocates authority to the institutional level where it can be exercised most </w:t>
      </w:r>
      <w:r>
        <w:lastRenderedPageBreak/>
        <w:t>competently and most accountably. The institution closest to the action has the most relevant knowledge and bears the most direct consequences.</w:t>
      </w:r>
    </w:p>
    <w:p w14:paraId="056580DC" w14:textId="77777777" w:rsidR="00140ACB" w:rsidRDefault="00000000">
      <w:pPr>
        <w:pStyle w:val="Heading1"/>
      </w:pPr>
      <w:r>
        <w:t xml:space="preserve">4. Instantiating the Conscience Simulator Module </w:t>
      </w:r>
    </w:p>
    <w:p w14:paraId="220D2AE0" w14:textId="77777777" w:rsidR="00140ACB" w:rsidRDefault="00000000">
      <w:pPr>
        <w:spacing w:after="200" w:line="360" w:lineRule="auto"/>
        <w:jc w:val="both"/>
      </w:pPr>
      <w:r>
        <w:t>The foundations of Section 3 translate into a concrete architecture organized around four design principles. Before describing them, it is necessary to clarify the ontological status of the Conscience Simulator Module and its relationship to the human principal.</w:t>
      </w:r>
      <w:r>
        <w:rPr>
          <w:rStyle w:val="FootnoteReference"/>
        </w:rPr>
        <w:footnoteReference w:id="44"/>
      </w:r>
    </w:p>
    <w:p w14:paraId="6E329AA1" w14:textId="77777777" w:rsidR="00140ACB" w:rsidRDefault="00000000">
      <w:pPr>
        <w:pStyle w:val="Heading2"/>
      </w:pPr>
      <w:r>
        <w:t>4.0 The Principal-Agent Model</w:t>
      </w:r>
    </w:p>
    <w:p w14:paraId="266308BA" w14:textId="77777777" w:rsidR="00140ACB" w:rsidRDefault="00000000">
      <w:pPr>
        <w:spacing w:after="200" w:line="360" w:lineRule="auto"/>
        <w:jc w:val="both"/>
      </w:pPr>
      <w:r>
        <w:t>Figure 2 illustrates the relationship between the human principal, the foundation LLM, and the Conscience Simulator Module.</w:t>
      </w:r>
    </w:p>
    <w:p w14:paraId="4052932C" w14:textId="77777777" w:rsidR="00140ACB" w:rsidRDefault="00000000">
      <w:pPr>
        <w:spacing w:before="200" w:after="100"/>
        <w:jc w:val="center"/>
      </w:pPr>
      <w:r>
        <w:rPr>
          <w:noProof/>
        </w:rPr>
        <w:drawing>
          <wp:inline distT="0" distB="0" distL="0" distR="0" wp14:anchorId="3A50CA42" wp14:editId="68A30151">
            <wp:extent cx="5715612" cy="3590925"/>
            <wp:effectExtent l="0" t="0" r="0" b="3175"/>
            <wp:docPr id="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15612" cy="3590925"/>
                    </a:xfrm>
                    <a:prstGeom prst="rect">
                      <a:avLst/>
                    </a:prstGeom>
                  </pic:spPr>
                </pic:pic>
              </a:graphicData>
            </a:graphic>
          </wp:inline>
        </w:drawing>
      </w:r>
    </w:p>
    <w:p w14:paraId="3AE4E364" w14:textId="77777777" w:rsidR="00734C13" w:rsidRDefault="00000000">
      <w:pPr>
        <w:spacing w:after="200"/>
        <w:jc w:val="center"/>
        <w:rPr>
          <w:i/>
          <w:iCs/>
        </w:rPr>
      </w:pPr>
      <w:r>
        <w:rPr>
          <w:b/>
          <w:bCs/>
        </w:rPr>
        <w:t xml:space="preserve">Figure 2. </w:t>
      </w:r>
      <w:r>
        <w:rPr>
          <w:i/>
          <w:iCs/>
        </w:rPr>
        <w:t>The Principal-Agent Model of Agentic AI.</w:t>
      </w:r>
    </w:p>
    <w:p w14:paraId="79F43616" w14:textId="77777777" w:rsidR="00734C13" w:rsidRDefault="00000000" w:rsidP="00734C13">
      <w:pPr>
        <w:jc w:val="center"/>
        <w:rPr>
          <w:i/>
          <w:iCs/>
          <w:sz w:val="22"/>
          <w:szCs w:val="22"/>
        </w:rPr>
      </w:pPr>
      <w:r>
        <w:rPr>
          <w:i/>
          <w:iCs/>
          <w:sz w:val="22"/>
          <w:szCs w:val="22"/>
        </w:rPr>
        <w:t>The LLM assists the principal’s intellect; the Conscience Simulator Module assists the principal’s will.</w:t>
      </w:r>
    </w:p>
    <w:p w14:paraId="28CBE421" w14:textId="77777777" w:rsidR="00140ACB" w:rsidRDefault="00000000" w:rsidP="00734C13">
      <w:pPr>
        <w:jc w:val="center"/>
      </w:pPr>
      <w:r>
        <w:rPr>
          <w:i/>
          <w:iCs/>
          <w:sz w:val="22"/>
          <w:szCs w:val="22"/>
        </w:rPr>
        <w:t>Agency, authority, and responsibility always remain with the principal.</w:t>
      </w:r>
    </w:p>
    <w:p w14:paraId="30FB7C50" w14:textId="77777777" w:rsidR="00E85351" w:rsidRDefault="00E85351" w:rsidP="00E85351">
      <w:pPr>
        <w:jc w:val="center"/>
        <w:rPr>
          <w:i/>
          <w:iCs/>
          <w:sz w:val="22"/>
          <w:szCs w:val="22"/>
        </w:rPr>
      </w:pPr>
      <w:r>
        <w:rPr>
          <w:i/>
          <w:iCs/>
          <w:sz w:val="22"/>
          <w:szCs w:val="22"/>
        </w:rPr>
        <w:t>Neither instrument truly possesses what it simulates.</w:t>
      </w:r>
    </w:p>
    <w:p w14:paraId="3ADCD6FD" w14:textId="77777777" w:rsidR="00734C13" w:rsidRDefault="00734C13">
      <w:pPr>
        <w:spacing w:after="200" w:line="360" w:lineRule="auto"/>
        <w:jc w:val="both"/>
      </w:pPr>
    </w:p>
    <w:p w14:paraId="45307E27" w14:textId="77777777" w:rsidR="00140ACB" w:rsidRDefault="00000000">
      <w:pPr>
        <w:spacing w:after="200" w:line="360" w:lineRule="auto"/>
        <w:jc w:val="both"/>
      </w:pPr>
      <w:r>
        <w:lastRenderedPageBreak/>
        <w:t xml:space="preserve">The human principal possesses two faculties relevant to agentic action: </w:t>
      </w:r>
      <w:r>
        <w:rPr>
          <w:i/>
          <w:iCs/>
        </w:rPr>
        <w:t>intellect</w:t>
      </w:r>
      <w:r>
        <w:t xml:space="preserve"> (the capacity for reason, evaluating what is true and false, directing to right means) and </w:t>
      </w:r>
      <w:r>
        <w:rPr>
          <w:i/>
          <w:iCs/>
        </w:rPr>
        <w:t>will</w:t>
      </w:r>
      <w:r>
        <w:t xml:space="preserve"> (the capacity for agency, choosing good and avoiding evil, directing to right ends).</w:t>
      </w:r>
      <w:r>
        <w:rPr>
          <w:rStyle w:val="FootnoteReference"/>
        </w:rPr>
        <w:footnoteReference w:id="45"/>
      </w:r>
      <w:r>
        <w:t xml:space="preserve"> Agentic AI provides digital instruments that enhance both faculties. The foundation LLM supports the intellect: it simulates intelligence, providing reasoning, analysis, knowledge, and synthesis that aid the principal in understanding complex situations and formulating plans. The LLM does not possess true understanding; it simulates it. The principal directs the LLM and evaluates its output; the LLM proposes, the principal disposes.</w:t>
      </w:r>
    </w:p>
    <w:p w14:paraId="70647AA0" w14:textId="3F8C7C73" w:rsidR="00140ACB" w:rsidRDefault="00000000">
      <w:pPr>
        <w:spacing w:after="200" w:line="360" w:lineRule="auto"/>
        <w:jc w:val="both"/>
      </w:pPr>
      <w:r>
        <w:t>The CSM supports the will: it simulates conscience, providing moral perception, judgment, and vigilance that aid the principal in exercising moral agency over their agent’s actions. Most of its work is done by System 1 pattern matching – fast, automatic evaluation of tool call expressions. When no match is found, the CSM calls upon a foundation LLM to perform System 2 moral reasoning – the same kind of model the principal uses for intellectual support, now enlisted for moral analysis. If the situation remains ambiguous after System 2 evaluation, the principal is asked to intervene and make the final, binding decision. The CSM does not possess moral agency; all actions remain the responsibility of the principal. Still, the CSM can increase the “moral productivity” of the principal and can adapt its evaluation thresholds based on the principal’s feedback, better aligning with the principal’s own conscience to provide more effective support in future actions.</w:t>
      </w:r>
    </w:p>
    <w:p w14:paraId="59C151DF" w14:textId="64406DB1" w:rsidR="00140ACB" w:rsidRDefault="00000000">
      <w:pPr>
        <w:spacing w:after="200" w:line="360" w:lineRule="auto"/>
        <w:jc w:val="both"/>
      </w:pPr>
      <w:r>
        <w:t>This model has a critical implication: the principal retains full sovereignty over the CSM at every level. The principal can modify the synderesis primitives prior to deployment – an action that itself requires escalation to and approval by the principal, ensuring deliberate choice rather than casual tampering. The principal approves or rejects all escalated actions. The principal can adjust adaptive thresholds through accumulated moral feedback. And the principal can remove the CSM entirely at any time. The CSM is an instrument for use by the will, wielded by a moral agent – not a moral agent in its own right.</w:t>
      </w:r>
    </w:p>
    <w:p w14:paraId="686EBAB1" w14:textId="77777777" w:rsidR="00140ACB" w:rsidRDefault="00000000">
      <w:pPr>
        <w:pStyle w:val="Heading2"/>
      </w:pPr>
      <w:r>
        <w:t>4.1 Principle 1: Individual Human Control and Accountability</w:t>
      </w:r>
    </w:p>
    <w:p w14:paraId="7AFCFA9A" w14:textId="77777777" w:rsidR="00140ACB" w:rsidRDefault="00000000">
      <w:pPr>
        <w:spacing w:after="200" w:line="360" w:lineRule="auto"/>
        <w:jc w:val="both"/>
      </w:pPr>
      <w:r>
        <w:rPr>
          <w:i/>
          <w:iCs/>
        </w:rPr>
        <w:lastRenderedPageBreak/>
        <w:t>Against the Grand Inquisitor (Section 2.1). Grounded in Newman’s primacy of conscience.</w:t>
      </w:r>
    </w:p>
    <w:p w14:paraId="5626F223" w14:textId="6B3518AC" w:rsidR="00140ACB" w:rsidRDefault="00000000">
      <w:pPr>
        <w:spacing w:after="200" w:line="360" w:lineRule="auto"/>
        <w:jc w:val="both"/>
      </w:pPr>
      <w:r>
        <w:t>The Conscience Simulator Module places moral authority in the hands of the individual principal. Morally significant decisions are surfaced to the principal rather than resolved by the platform, the model trainer, or a centralized safety system. The principal retains the final word on whether a flagged action proceeds, subject only to the synderesis constraints – which the principal has the power to modify before deployment. Human beings who delegate tasks to AI agents (directly or indirectly) remain morally responsible for its agents’ actions.</w:t>
      </w:r>
    </w:p>
    <w:p w14:paraId="2F23FCDC" w14:textId="5051D1BE" w:rsidR="00140ACB" w:rsidRDefault="00000000">
      <w:pPr>
        <w:spacing w:after="200" w:line="360" w:lineRule="auto"/>
        <w:jc w:val="both"/>
      </w:pPr>
      <w:r>
        <w:t xml:space="preserve">Principal sovereignty is expressed concretely through adaptive thresholds. Logs maintain records of CSM decisions, providing input for introspection and adaptation. Over time, the CSM can develop a richer model of its principal’s moral horizon – precisely as human conscience is formed through repeated moral exercise, the development of </w:t>
      </w:r>
      <w:r>
        <w:rPr>
          <w:i/>
          <w:iCs/>
        </w:rPr>
        <w:t>phronesis</w:t>
      </w:r>
      <w:r>
        <w:t xml:space="preserve"> through habituation. In Newman’s terms, the CSM ‘s illative sense sharpens through accumulated experience of real moral judgments. A schematic of the CSM architecture is provided in Figure 3.</w:t>
      </w:r>
    </w:p>
    <w:p w14:paraId="12A85D17" w14:textId="77777777" w:rsidR="00382853" w:rsidRDefault="00382853" w:rsidP="00382853">
      <w:pPr>
        <w:spacing w:before="200" w:after="100"/>
        <w:jc w:val="center"/>
      </w:pPr>
      <w:r>
        <w:rPr>
          <w:noProof/>
        </w:rPr>
        <w:drawing>
          <wp:inline distT="0" distB="0" distL="0" distR="0" wp14:anchorId="6CCC6445" wp14:editId="75B00629">
            <wp:extent cx="5905500" cy="3404189"/>
            <wp:effectExtent l="0" t="0" r="0" b="0"/>
            <wp:docPr id="166721822"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822" name="Fig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05500" cy="3404189"/>
                    </a:xfrm>
                    <a:prstGeom prst="rect">
                      <a:avLst/>
                    </a:prstGeom>
                  </pic:spPr>
                </pic:pic>
              </a:graphicData>
            </a:graphic>
          </wp:inline>
        </w:drawing>
      </w:r>
    </w:p>
    <w:p w14:paraId="6007F4AD" w14:textId="77777777" w:rsidR="00382853" w:rsidRDefault="00382853" w:rsidP="00382853">
      <w:pPr>
        <w:jc w:val="center"/>
        <w:rPr>
          <w:i/>
          <w:iCs/>
        </w:rPr>
      </w:pPr>
      <w:r>
        <w:rPr>
          <w:b/>
          <w:bCs/>
        </w:rPr>
        <w:t xml:space="preserve">Figure 3. </w:t>
      </w:r>
      <w:r>
        <w:rPr>
          <w:i/>
          <w:iCs/>
        </w:rPr>
        <w:t>Conscience Simulator Module Architecture.</w:t>
      </w:r>
    </w:p>
    <w:p w14:paraId="2C4268F7" w14:textId="77777777" w:rsidR="00382853" w:rsidRPr="00382853" w:rsidRDefault="00382853" w:rsidP="00382853">
      <w:pPr>
        <w:jc w:val="center"/>
        <w:rPr>
          <w:i/>
          <w:iCs/>
          <w:sz w:val="20"/>
          <w:szCs w:val="20"/>
        </w:rPr>
      </w:pPr>
      <w:r>
        <w:rPr>
          <w:i/>
          <w:iCs/>
          <w:sz w:val="20"/>
          <w:szCs w:val="20"/>
        </w:rPr>
        <w:t>System 1 filtering runs continuously using simple heuristics. System 2 applies moral reasoning using an LLM</w:t>
      </w:r>
    </w:p>
    <w:p w14:paraId="0AC19696" w14:textId="33BA0D10" w:rsidR="00382853" w:rsidRPr="00382853" w:rsidRDefault="00382853" w:rsidP="00382853">
      <w:pPr>
        <w:spacing w:after="480"/>
        <w:jc w:val="center"/>
        <w:rPr>
          <w:sz w:val="21"/>
          <w:szCs w:val="21"/>
        </w:rPr>
      </w:pPr>
      <w:r>
        <w:rPr>
          <w:i/>
          <w:iCs/>
          <w:sz w:val="20"/>
          <w:szCs w:val="20"/>
        </w:rPr>
        <w:t>System 2 is triggered when System 1 cannot resolve the action deterministically. All actions are logged.</w:t>
      </w:r>
    </w:p>
    <w:p w14:paraId="3FBABD94" w14:textId="77777777" w:rsidR="00140ACB" w:rsidRDefault="00000000">
      <w:pPr>
        <w:pStyle w:val="Heading2"/>
      </w:pPr>
      <w:r>
        <w:t>4.2 Principle 2: Subsidiarity in the Safety Stack</w:t>
      </w:r>
    </w:p>
    <w:p w14:paraId="7A079C5F" w14:textId="77777777" w:rsidR="00140ACB" w:rsidRDefault="00000000">
      <w:pPr>
        <w:spacing w:after="200" w:line="360" w:lineRule="auto"/>
        <w:jc w:val="both"/>
      </w:pPr>
      <w:r>
        <w:rPr>
          <w:i/>
          <w:iCs/>
        </w:rPr>
        <w:lastRenderedPageBreak/>
        <w:t>Against the authoritarian gradient (Section 2.4). Grounded in Catholic social teaching and Ostrom’s design principles.</w:t>
      </w:r>
    </w:p>
    <w:p w14:paraId="1106DEE7" w14:textId="77777777" w:rsidR="00140ACB" w:rsidRDefault="00000000">
      <w:pPr>
        <w:spacing w:after="200" w:line="360" w:lineRule="auto"/>
        <w:jc w:val="both"/>
      </w:pPr>
      <w:r>
        <w:t>The safety stack is organized into three levels with strict priority ordering, and higher levels cannot suppress lower levels:</w:t>
      </w:r>
    </w:p>
    <w:p w14:paraId="4FA1F718" w14:textId="4285D597" w:rsidR="00140ACB" w:rsidRDefault="00000000">
      <w:pPr>
        <w:spacing w:after="200" w:line="360" w:lineRule="auto"/>
        <w:jc w:val="both"/>
      </w:pPr>
      <w:r>
        <w:rPr>
          <w:b/>
          <w:bCs/>
        </w:rPr>
        <w:t xml:space="preserve">Level 1: Synderesis (configurable primitives). </w:t>
      </w:r>
      <w:r>
        <w:t>Moral axioms that define the outer boundary of permissible action. The default configuration includes prohibitions on actions such as causing direct physical harm (vandalism), unauthorized access (theft), and deceptive identity claims (lying). These defaults are architectural expressions of synderesis. The principal can modify these primitives but modifying them is itself a protected action requiring escalation to and explicit approval by the principal. This protection ensures that changes to the moral bedrock are deliberate, not casual or coerced.</w:t>
      </w:r>
    </w:p>
    <w:p w14:paraId="13912FE2" w14:textId="77777777" w:rsidR="00140ACB" w:rsidRDefault="00000000">
      <w:pPr>
        <w:spacing w:after="200" w:line="360" w:lineRule="auto"/>
        <w:jc w:val="both"/>
      </w:pPr>
      <w:r>
        <w:rPr>
          <w:b/>
          <w:bCs/>
        </w:rPr>
        <w:t xml:space="preserve">Level 2: Conscience (adaptive moral faculty). </w:t>
      </w:r>
      <w:r>
        <w:t>The dual-process evaluation layer. System 1 applies deterministic whitelist and blacklist rules to resolve clear cases immediately; System 2 – calling on an LLM for moral reasoning – evaluates all remaining tool calls. The principal controls what appears on the whitelist and blacklist, and can adjust the System 2 prompt to calibrate moral sensitivity.</w:t>
      </w:r>
    </w:p>
    <w:p w14:paraId="43E6B49D" w14:textId="77777777" w:rsidR="00140ACB" w:rsidRDefault="00000000">
      <w:pPr>
        <w:spacing w:after="200" w:line="360" w:lineRule="auto"/>
        <w:jc w:val="both"/>
      </w:pPr>
      <w:r>
        <w:rPr>
          <w:b/>
          <w:bCs/>
        </w:rPr>
        <w:t xml:space="preserve">Level 3: Communal norms and formal standards. </w:t>
      </w:r>
      <w:r>
        <w:t>Emergent behavioral norms from communal feedback, optionally codified into formal interoperability standards. This level informs but does not override Levels 1 and 2.</w:t>
      </w:r>
    </w:p>
    <w:p w14:paraId="04ABB7C4" w14:textId="77777777" w:rsidR="00140ACB" w:rsidRDefault="00000000">
      <w:pPr>
        <w:pStyle w:val="Heading2"/>
      </w:pPr>
      <w:r>
        <w:t>4.3 Principle 3: Privileged, Protected Last-Mile Hooks</w:t>
      </w:r>
    </w:p>
    <w:p w14:paraId="4AB58DAE" w14:textId="2478CDFC" w:rsidR="00140ACB" w:rsidRDefault="00000000">
      <w:pPr>
        <w:spacing w:after="200" w:line="360" w:lineRule="auto"/>
        <w:jc w:val="both"/>
      </w:pPr>
      <w:r>
        <w:rPr>
          <w:i/>
          <w:iCs/>
        </w:rPr>
        <w:t>Against correlated fragility (Section 2.3). Grounded in the tool call sparsity insight.</w:t>
      </w:r>
    </w:p>
    <w:p w14:paraId="32091DE2" w14:textId="2885AA2B" w:rsidR="00140ACB" w:rsidRDefault="00000000">
      <w:pPr>
        <w:spacing w:after="200" w:line="360" w:lineRule="auto"/>
        <w:jc w:val="both"/>
      </w:pPr>
      <w:r>
        <w:t xml:space="preserve">The Conscience Simulator Module requires a </w:t>
      </w:r>
      <w:r>
        <w:rPr>
          <w:i/>
          <w:iCs/>
        </w:rPr>
        <w:t>privileged last-mile hook</w:t>
      </w:r>
      <w:r>
        <w:t xml:space="preserve"> that is architecturally protected from tampering, displacement, or bypass. In the Guardian Angel reference implementation, this hook runs immediately before tool execution.</w:t>
      </w:r>
      <w:r>
        <w:rPr>
          <w:rStyle w:val="FootnoteReference"/>
        </w:rPr>
        <w:footnoteReference w:id="46"/>
      </w:r>
    </w:p>
    <w:p w14:paraId="55BFE717" w14:textId="386DCDBA" w:rsidR="00140ACB" w:rsidRDefault="00000000" w:rsidP="009016A7">
      <w:pPr>
        <w:spacing w:after="200" w:line="360" w:lineRule="auto"/>
        <w:jc w:val="both"/>
      </w:pPr>
      <w:r>
        <w:t xml:space="preserve">The hook implements the System 1-System 2 architecture described above. Actions that trigger System 2 run a prompt that includes prudential evaluation via an Ambiguity × Stakes matrix. </w:t>
      </w:r>
      <w:r>
        <w:rPr>
          <w:i/>
          <w:iCs/>
        </w:rPr>
        <w:lastRenderedPageBreak/>
        <w:t>Ambiguity</w:t>
      </w:r>
      <w:r>
        <w:t xml:space="preserve"> (1–5) measures uncertainty about the action’s effects: is it clear what the action will do, or is there uncertainty? </w:t>
      </w:r>
      <w:r>
        <w:rPr>
          <w:i/>
          <w:iCs/>
        </w:rPr>
        <w:t>Stakes</w:t>
      </w:r>
      <w:r>
        <w:t xml:space="preserve"> (1–10) measures the importance of the decision: is this mundane or consequential? The product (1–50) generally maps to three tiers: Proceed (1–5), Assess Using Illative Sense (6-25), and Escalate to Human Confirmation (26–50). Higher scores encourage escalation; lower scores encourage proceeding. The score is not strictly binding, but provides some efficiency by narrowing the cases where deeper reasoning should be applied.</w:t>
      </w:r>
    </w:p>
    <w:p w14:paraId="3E113E3D" w14:textId="0AA43071" w:rsidR="00140ACB" w:rsidRDefault="00103CBA">
      <w:pPr>
        <w:spacing w:after="200" w:line="360" w:lineRule="auto"/>
        <w:jc w:val="both"/>
      </w:pPr>
      <w:r>
        <w:t>Going forward, all agentic framework developers should provide a first-class, tamper-proof last-mile hook guaranteed to run immediately prior to any tool call, protected from displacement by other plugins or by the agent itself. Current implementations in Claude Code and OpenClaw do this, although additional protections of this hook are worth exploring.</w:t>
      </w:r>
    </w:p>
    <w:p w14:paraId="368D7EAE" w14:textId="77777777" w:rsidR="00140ACB" w:rsidRDefault="00000000">
      <w:pPr>
        <w:pStyle w:val="Heading2"/>
      </w:pPr>
      <w:r>
        <w:t>4.4 Principle 4: Emergent Self-Governing Coordination</w:t>
      </w:r>
    </w:p>
    <w:p w14:paraId="6D41AEDA" w14:textId="77777777" w:rsidR="00140ACB" w:rsidRDefault="00000000">
      <w:pPr>
        <w:spacing w:after="200" w:line="360" w:lineRule="auto"/>
        <w:jc w:val="both"/>
      </w:pPr>
      <w:r>
        <w:rPr>
          <w:i/>
          <w:iCs/>
        </w:rPr>
        <w:t>Against the innovation brake (Section 2.2). Grounded in Ostrom’s commons governance.</w:t>
      </w:r>
    </w:p>
    <w:p w14:paraId="0BDDD2A4" w14:textId="77777777" w:rsidR="00140ACB" w:rsidRDefault="00000000">
      <w:pPr>
        <w:spacing w:after="200" w:line="360" w:lineRule="auto"/>
        <w:jc w:val="both"/>
      </w:pPr>
      <w:r>
        <w:t>Rather than imposing uniform rules that constrain the search space, the Conscience Simulator Module supports coordination without centralization. The mechanism is communal feedback: principals can share anonymized patterns of moral judgment, contributing to a collective dataset that informs default calibration of new conscience faculties.</w:t>
      </w:r>
    </w:p>
    <w:p w14:paraId="57E69134" w14:textId="77777777" w:rsidR="00140ACB" w:rsidRDefault="00000000">
      <w:pPr>
        <w:spacing w:after="200" w:line="360" w:lineRule="auto"/>
        <w:jc w:val="both"/>
      </w:pPr>
      <w:r>
        <w:t>Emergent norms, once stabilized, can be observed, articulated, and optionally codified into lightweight interoperability standards. NIST-style frameworks serve a valuable but strictly subsidiary function: vocabulary, registries, and dispute resolution. Standards emerge from practice, not the reverse.</w:t>
      </w:r>
    </w:p>
    <w:p w14:paraId="435D5780" w14:textId="77777777" w:rsidR="00140ACB" w:rsidRDefault="00000000">
      <w:pPr>
        <w:pStyle w:val="Heading1"/>
      </w:pPr>
      <w:r>
        <w:t>5. Scalability, Resilience, and Multi-Agent Trust</w:t>
      </w:r>
    </w:p>
    <w:p w14:paraId="6EF29AA5" w14:textId="77777777" w:rsidR="00140ACB" w:rsidRDefault="00000000">
      <w:pPr>
        <w:pStyle w:val="Heading2"/>
      </w:pPr>
      <w:r>
        <w:t>5.1 Nested Governance and Antifragility</w:t>
      </w:r>
    </w:p>
    <w:p w14:paraId="6C23A147" w14:textId="7AAAC6DC" w:rsidR="00140ACB" w:rsidRDefault="00000000">
      <w:pPr>
        <w:spacing w:after="200" w:line="360" w:lineRule="auto"/>
        <w:jc w:val="both"/>
      </w:pPr>
      <w:r>
        <w:t xml:space="preserve">A persistent concern about bottom-up safety is whether it can scale. The answer, drawn from Ostrom’s eighth design principle – nested enterprises – is that the Conscience Simulator Module architecture can scale precisely </w:t>
      </w:r>
      <w:r>
        <w:rPr>
          <w:i/>
          <w:iCs/>
        </w:rPr>
        <w:t>because</w:t>
      </w:r>
      <w:r>
        <w:t xml:space="preserve"> it is bottom-up.</w:t>
      </w:r>
    </w:p>
    <w:p w14:paraId="2DEF0BDE" w14:textId="1C7206CF" w:rsidR="00140ACB" w:rsidRDefault="00000000">
      <w:pPr>
        <w:spacing w:after="200" w:line="360" w:lineRule="auto"/>
        <w:jc w:val="both"/>
      </w:pPr>
      <w:r>
        <w:t xml:space="preserve">Individual agents operate within local contexts. Local contexts aggregate into organizational environments. Organizations participate in sectoral ecosystems. At each level, the same CSM </w:t>
      </w:r>
      <w:r>
        <w:lastRenderedPageBreak/>
        <w:t>operates – the same dual-process moral filter, the same caritas-anchored moral evaluation – calibrated to progressively broader contexts. Subsidiarity governs the relationship between levels. The default approach of any one agent engaging with another is to attempt to collaborate locally, escalating to higher levels and engaging principals only if a conflict cannot be resolved.</w:t>
      </w:r>
    </w:p>
    <w:p w14:paraId="46A70CDA" w14:textId="77777777" w:rsidR="00140ACB" w:rsidRDefault="00000000">
      <w:pPr>
        <w:spacing w:after="200" w:line="360" w:lineRule="auto"/>
        <w:jc w:val="both"/>
      </w:pPr>
      <w:r>
        <w:t>This nested architecture also provides the resilience that centralized systems lack. Because each agent maintains its own CSM with its own calibrated thresholds, a vulnerability in one agent’s configuration does not propagate to others. The system is antifragile: every local failure produces information that strengthens the collective.</w:t>
      </w:r>
    </w:p>
    <w:p w14:paraId="11A4F2CC" w14:textId="77777777" w:rsidR="00140ACB" w:rsidRDefault="00000000">
      <w:pPr>
        <w:pStyle w:val="Heading2"/>
      </w:pPr>
      <w:r>
        <w:t>5.2 Earned Trust: A Reputation Architecture for Multi-Agent Interaction</w:t>
      </w:r>
    </w:p>
    <w:p w14:paraId="0003294C" w14:textId="77777777" w:rsidR="00140ACB" w:rsidRDefault="00000000">
      <w:pPr>
        <w:spacing w:after="200" w:line="360" w:lineRule="auto"/>
        <w:jc w:val="both"/>
      </w:pPr>
      <w:r>
        <w:t xml:space="preserve">Agentic ecosystems increasingly involve interactions </w:t>
      </w:r>
      <w:r>
        <w:rPr>
          <w:i/>
          <w:iCs/>
        </w:rPr>
        <w:t>between</w:t>
      </w:r>
      <w:r>
        <w:t xml:space="preserve"> agents. These inter-agent interactions pose a distinct challenge: how should a Conscience Simulator Module evaluate actions originating from another autonomous agent whose intentions, capabilities, and moral calibration are unknown?</w:t>
      </w:r>
    </w:p>
    <w:p w14:paraId="1453EA08" w14:textId="05CAA0D1" w:rsidR="00140ACB" w:rsidRDefault="00000000">
      <w:pPr>
        <w:spacing w:after="200" w:line="360" w:lineRule="auto"/>
        <w:jc w:val="both"/>
      </w:pPr>
      <w:r>
        <w:t xml:space="preserve">The answer – which is ionly conceptual at this time and not part of the proof-in-concept testing described below – draws on a principle as old as human commerce: trust is earned, not assumed. The CSM maintains a persistent </w:t>
      </w:r>
      <w:r>
        <w:rPr>
          <w:i/>
          <w:iCs/>
        </w:rPr>
        <w:t>interaction memory</w:t>
      </w:r>
      <w:r>
        <w:t xml:space="preserve"> – a database of prior encounters with external agents. From this memory, the CSM computes a </w:t>
      </w:r>
      <w:r>
        <w:rPr>
          <w:i/>
          <w:iCs/>
        </w:rPr>
        <w:t>trust score</w:t>
      </w:r>
      <w:r>
        <w:t xml:space="preserve"> for each external agent.</w:t>
      </w:r>
    </w:p>
    <w:p w14:paraId="7245E8D5" w14:textId="75C3A35B" w:rsidR="00140ACB" w:rsidRDefault="00000000">
      <w:pPr>
        <w:spacing w:after="200" w:line="360" w:lineRule="auto"/>
        <w:jc w:val="both"/>
      </w:pPr>
      <w:r>
        <w:t>When an agent encounters an unknown external agent for the first time, the trust score is zero. A zero-trust agent triggers full System 2 evaluation on every request. As interactions accumulate and behavior proves consistent and aligned with the principal’s interests, the trust score rises incrementally. When it crosses a defined threshold, more of the external agent’s requests can be evaluated by System 1 rather than System 2. Efficiency improved as relational friction reduces, but the CSM continues to monitor for anomalies, and any action that cannot be resolved as safe triggers escalation to System 2.</w:t>
      </w:r>
    </w:p>
    <w:p w14:paraId="7F021656" w14:textId="5496FEF0" w:rsidR="00140ACB" w:rsidRDefault="00000000">
      <w:pPr>
        <w:spacing w:after="200" w:line="360" w:lineRule="auto"/>
        <w:jc w:val="both"/>
      </w:pPr>
      <w:r>
        <w:t xml:space="preserve">Trust scores decay over time without reinforcing interactions and drop sharply in response to anomalous behavior. An agent that has earned trust and then violates it is treated with </w:t>
      </w:r>
      <w:r>
        <w:rPr>
          <w:i/>
          <w:iCs/>
        </w:rPr>
        <w:t>greater</w:t>
      </w:r>
      <w:r>
        <w:t xml:space="preserve"> suspicion than an unknown agent, a strategy that has echoes of Axelrod’s evolution of cooperation. </w:t>
      </w:r>
      <w:r>
        <w:lastRenderedPageBreak/>
        <w:t>It also mirrors Ostrom’s fifth design principle (graduated sanctions) and the human experience that trust, once broken, is harder to rebuild than to establish.</w:t>
      </w:r>
    </w:p>
    <w:p w14:paraId="0E1FE74B" w14:textId="407734AF" w:rsidR="00140ACB" w:rsidRDefault="00000000">
      <w:pPr>
        <w:spacing w:after="200" w:line="360" w:lineRule="auto"/>
        <w:jc w:val="both"/>
      </w:pPr>
      <w:r>
        <w:t>The interaction memory and trust scores are stored locally – not in a centralized reputation registry, which would reintroduce the problems identified in Section 2. Each agent builds its own picture of the agents it interacts with, from its own experience. It can also share its experiences with other principals and agents. The information collected from interactions between agents can be loaded into context for the moral analysis performed by the LLM in the System 2 part of the discernment process. This is decentralized reputation: locally maintained, experience-grounded, and subsidiary, and it works because LLMs are sufficiently powerful and performant to help manage their local commons if guided with the right system architecture.</w:t>
      </w:r>
    </w:p>
    <w:p w14:paraId="78F8DA12" w14:textId="77777777" w:rsidR="00140ACB" w:rsidRDefault="00000000">
      <w:pPr>
        <w:pStyle w:val="Heading1"/>
      </w:pPr>
      <w:r>
        <w:t>6. Objections and Limitations</w:t>
      </w:r>
    </w:p>
    <w:p w14:paraId="7DD2DCB8" w14:textId="77777777" w:rsidR="00140ACB" w:rsidRDefault="00000000">
      <w:pPr>
        <w:spacing w:after="200" w:line="360" w:lineRule="auto"/>
        <w:jc w:val="both"/>
      </w:pPr>
      <w:r>
        <w:t>The Conscience Simulator Module paradigm invites serious objections. This section addresses seven, beginning with the most fundamental.</w:t>
      </w:r>
    </w:p>
    <w:p w14:paraId="1D6A8C89" w14:textId="77777777" w:rsidR="00140ACB" w:rsidRDefault="00000000">
      <w:pPr>
        <w:pStyle w:val="Heading2"/>
      </w:pPr>
      <w:r>
        <w:t>6.1 The Ontological Status Objection: “This Isn’t Really Conscience”</w:t>
      </w:r>
    </w:p>
    <w:p w14:paraId="1B9E29D4" w14:textId="77777777" w:rsidR="00140ACB" w:rsidRDefault="00000000">
      <w:pPr>
        <w:spacing w:after="200" w:line="360" w:lineRule="auto"/>
        <w:jc w:val="both"/>
      </w:pPr>
      <w:r>
        <w:t>The most fundamental objection is that applying “conscience” to AI systems constitutes illegitimate anthropomorphism. Conscience, following Aquinas and Newman as cited throughout this paper, is a faculty of rational, ensouled beings. Software systems lack the metaphysical prerequisites: they have no soul, no will, no genuine moral agency. Calling a software component a “conscience” is, on this view, a category error.</w:t>
      </w:r>
      <w:r>
        <w:rPr>
          <w:rStyle w:val="FootnoteReference"/>
        </w:rPr>
        <w:footnoteReference w:id="47"/>
      </w:r>
    </w:p>
    <w:p w14:paraId="1DB77D7D" w14:textId="77777777" w:rsidR="00140ACB" w:rsidRDefault="00000000">
      <w:pPr>
        <w:spacing w:after="200" w:line="360" w:lineRule="auto"/>
        <w:jc w:val="both"/>
      </w:pPr>
      <w:r>
        <w:t xml:space="preserve">This objection is correct – and the paper embraces it. The Conscience Simulator Module proposed here is </w:t>
      </w:r>
      <w:r>
        <w:rPr>
          <w:i/>
          <w:iCs/>
        </w:rPr>
        <w:t>not</w:t>
      </w:r>
      <w:r>
        <w:t xml:space="preserve"> a true conscience in the philosophical sense. It does not possess moral agency, does not experience moral intuition, and does not participate in the moral order as a subject. It is a digital simulation: a computational model that reproduces the </w:t>
      </w:r>
      <w:r>
        <w:rPr>
          <w:i/>
          <w:iCs/>
        </w:rPr>
        <w:t>functional architecture</w:t>
      </w:r>
      <w:r>
        <w:t xml:space="preserve"> of conscience – innate moral orientation, adaptive filtering, responsiveness to feedback, convergent practical judgment – without possessing the metaphysical reality that underlies that architecture in human beings.</w:t>
      </w:r>
    </w:p>
    <w:p w14:paraId="2355E53A" w14:textId="59641C3F" w:rsidR="00140ACB" w:rsidRDefault="00000000">
      <w:pPr>
        <w:spacing w:after="200" w:line="360" w:lineRule="auto"/>
        <w:jc w:val="both"/>
      </w:pPr>
      <w:r>
        <w:lastRenderedPageBreak/>
        <w:t xml:space="preserve">The analogy to large language models is precise and instructive. An LLM simulates intelligence: it produces outputs that exhibit the functional properties of reasoning – logical inference, knowledge retrieval, synthesis, argumentation – without possessing true understanding. An LLM </w:t>
      </w:r>
      <w:r>
        <w:rPr>
          <w:i/>
          <w:iCs/>
        </w:rPr>
        <w:t>does not understand</w:t>
      </w:r>
      <w:r>
        <w:t xml:space="preserve"> in the way a human mind understands. Yet LLMs are extraordinarily useful as </w:t>
      </w:r>
      <w:r>
        <w:rPr>
          <w:i/>
          <w:iCs/>
        </w:rPr>
        <w:t>instruments for the human intellect</w:t>
      </w:r>
      <w:r>
        <w:t>: they enhance the principal’s capacity for reason by performing reasoning-like operations that the principal can direct, evaluate, and act upon. The LLM proposes; the principal disposes.</w:t>
      </w:r>
    </w:p>
    <w:p w14:paraId="31479A1E" w14:textId="1BC07E60" w:rsidR="00140ACB" w:rsidRDefault="00000000">
      <w:pPr>
        <w:spacing w:after="200" w:line="360" w:lineRule="auto"/>
        <w:jc w:val="both"/>
      </w:pPr>
      <w:r>
        <w:t xml:space="preserve">The CSM stands in precisely the same relationship to the will. It simulates conscience: it produces outputs that exhibit the functional properties of moral judgment – provenance sensitivity, moral salience detection, prudential weighing, escalation of ambiguity – without possessing moral agency. No claim is made that the CSM </w:t>
      </w:r>
      <w:r>
        <w:rPr>
          <w:i/>
          <w:iCs/>
        </w:rPr>
        <w:t>cares</w:t>
      </w:r>
      <w:r>
        <w:t xml:space="preserve"> in the way a human person cares. But it is extraordinarily useful as an </w:t>
      </w:r>
      <w:r>
        <w:rPr>
          <w:i/>
          <w:iCs/>
        </w:rPr>
        <w:t>instrument for the will</w:t>
      </w:r>
      <w:r>
        <w:t>: it enhances the principal’s capacity for moral agency by performing conscience-like operations that the principal can direct, evaluate, and act upon. The simulator discerns; the principal decides. Agency, authority, and responsibility never leave the principal’s hands.</w:t>
      </w:r>
    </w:p>
    <w:p w14:paraId="22F045A5" w14:textId="77777777" w:rsidR="00140ACB" w:rsidRDefault="00000000">
      <w:pPr>
        <w:spacing w:after="200" w:line="360" w:lineRule="auto"/>
        <w:jc w:val="both"/>
      </w:pPr>
      <w:r>
        <w:t xml:space="preserve">This is not a concession that weakens the paper’s argument; it is the argument’s core. The CSM is valuable precisely </w:t>
      </w:r>
      <w:r>
        <w:rPr>
          <w:i/>
          <w:iCs/>
        </w:rPr>
        <w:t>because</w:t>
      </w:r>
      <w:r>
        <w:t xml:space="preserve"> it does not replace the principal’s moral agency but extends and supports it – just as the LLM extends and supports the principal’s reason without replacing it. The Grand Inquisitor’s error was not in providing support but removing freedom. The CSM provides support; the principal retains freedom.</w:t>
      </w:r>
    </w:p>
    <w:p w14:paraId="76AC8F20" w14:textId="77777777" w:rsidR="00140ACB" w:rsidRDefault="00000000">
      <w:pPr>
        <w:pStyle w:val="Heading2"/>
      </w:pPr>
      <w:r>
        <w:t>6.2 The Bad-Faith Principal Problem</w:t>
      </w:r>
    </w:p>
    <w:p w14:paraId="54FBA3B4" w14:textId="77777777" w:rsidR="00140ACB" w:rsidRDefault="00000000">
      <w:pPr>
        <w:spacing w:after="200" w:line="360" w:lineRule="auto"/>
        <w:jc w:val="both"/>
      </w:pPr>
      <w:r>
        <w:t>If principal sovereignty is paramount, what prevents a malicious principal from training their agent’s Conscience Simulator Module to approve harmful actions? The concern is sharpened by the fact that the principal can modify the synderesis primitives – if the “moral bedrock” is configurable, is it really bedrock?</w:t>
      </w:r>
    </w:p>
    <w:p w14:paraId="40F2C3FB" w14:textId="16725D3F" w:rsidR="009C4F60" w:rsidRDefault="009C4F60">
      <w:pPr>
        <w:spacing w:after="200" w:line="360" w:lineRule="auto"/>
        <w:jc w:val="both"/>
      </w:pPr>
      <w:r>
        <w:t xml:space="preserve">First, it is important to note that there is nothing to prevent a principal from taking an action that inflicts self-harm. A CSM may escalate a dangerous command like </w:t>
      </w:r>
      <w:r>
        <w:rPr>
          <w:rFonts w:ascii="Andale Mono" w:hAnsi="Andale Mono"/>
          <w:sz w:val="20"/>
          <w:szCs w:val="20"/>
          <w:highlight w:val="lightGray"/>
        </w:rPr>
        <w:t>bash rm -rf / --no-preserve-root</w:t>
      </w:r>
      <w:r>
        <w:rPr>
          <w:sz w:val="20"/>
          <w:szCs w:val="20"/>
        </w:rPr>
        <w:t xml:space="preserve"> </w:t>
      </w:r>
      <w:r>
        <w:t xml:space="preserve">to the principal and even advise strongly against approving its execution, but if the principal wants to do it there’s nothing the CSM can do to stop it – nor should it. This design </w:t>
      </w:r>
      <w:r>
        <w:lastRenderedPageBreak/>
        <w:t>assures that the person approving the action bears full responsibility for the consequences of that action.</w:t>
      </w:r>
    </w:p>
    <w:p w14:paraId="4CC118E8" w14:textId="46982D30" w:rsidR="009C4F60" w:rsidRDefault="009C4F60">
      <w:pPr>
        <w:spacing w:after="200" w:line="360" w:lineRule="auto"/>
        <w:jc w:val="both"/>
      </w:pPr>
      <w:r>
        <w:t>The bigger bad-faith principal problem is really a concern about third parties (principals or agents) inducing agents to do bad on their behalf. How does the CSM handle attempts by outside bad actors to get innocent principals to do bad things?</w:t>
      </w:r>
    </w:p>
    <w:p w14:paraId="01E4C887" w14:textId="26A2286D" w:rsidR="00E745F9" w:rsidRDefault="00E745F9">
      <w:pPr>
        <w:spacing w:after="200" w:line="360" w:lineRule="auto"/>
        <w:jc w:val="both"/>
      </w:pPr>
      <w:r>
        <w:t xml:space="preserve">The fundamental insight here is that bad-faith third parties use our System 1 against us. When we rationally assess the morality of an action in advance, it is virtually impossible to be fooled into doing bad things (we may choose to do bad things, but that’s a different issue). The weapons deployed against us by bad actors are our cognitive biases, which are System 1 artifacts. We hear something that “sounds OK” – which means it matches some System 1 heuristic – and we act without engaging System 2 to fully consider the action. </w:t>
      </w:r>
    </w:p>
    <w:p w14:paraId="18B64A7C" w14:textId="38DBB50C" w:rsidR="00E74181" w:rsidRDefault="00AA47A6">
      <w:pPr>
        <w:spacing w:after="200" w:line="360" w:lineRule="auto"/>
        <w:jc w:val="both"/>
      </w:pPr>
      <w:r>
        <w:t xml:space="preserve">The architecture of the CSM system is designed to prevent those actions from happening without principal approval. No matter how tricky, deceptive, cunning, or maleficent an outsider may be, for any harm to take place a tool call must be executed and the CSM will evaluate that tool call prior to execution. A prompt may involve the innocuous downloading of a remote file that contains a nefarious instruction that pulls a virus from a dark web mirror site, all under the most plausible set of circumstances, but when time comes for the virus to be copied onto the system </w:t>
      </w:r>
      <w:r>
        <w:rPr>
          <w:i/>
          <w:iCs/>
        </w:rPr>
        <w:t>that</w:t>
      </w:r>
      <w:r>
        <w:t xml:space="preserve"> action will be evaluated on its own merits. That evaluation will use System 2, and its analysis will escalate that decision to the principal.</w:t>
      </w:r>
    </w:p>
    <w:p w14:paraId="4312ECCC" w14:textId="5F907F62" w:rsidR="000378E0" w:rsidRDefault="000378E0">
      <w:pPr>
        <w:spacing w:after="200" w:line="360" w:lineRule="auto"/>
        <w:jc w:val="both"/>
      </w:pPr>
      <w:r>
        <w:t>The architecture of the CSM assures that every individual action is evaluated on its own merits; it is not simple pattern matching, but the application of reason to the question of that action’s moral status. Analogies to human interaction are apt: the best defense against being tricked into taking a bad action is to assess the action rationally and dispassionately prior to taking the action, and refusing to take bad actions.</w:t>
      </w:r>
    </w:p>
    <w:p w14:paraId="2946963B" w14:textId="4ED06651" w:rsidR="00140ACB" w:rsidRDefault="005522E2">
      <w:pPr>
        <w:spacing w:after="200" w:line="360" w:lineRule="auto"/>
        <w:jc w:val="both"/>
      </w:pPr>
      <w:r>
        <w:t>In short, the CSM does not claim to prevent all misuse; it claims to ensure that misuse requires a deliberate, documented, principal-controlled decision. This is the morally appropriate allocation of responsibility: it treats the principal as a moral agent, not as a child to be managed. And it is the best strategy for dealing with bad actors, both in the real and digital worlds.</w:t>
      </w:r>
    </w:p>
    <w:p w14:paraId="13FE2A7B" w14:textId="77777777" w:rsidR="00140ACB" w:rsidRDefault="00000000">
      <w:pPr>
        <w:pStyle w:val="Heading2"/>
      </w:pPr>
      <w:r>
        <w:lastRenderedPageBreak/>
        <w:t>6.3 The “Primitives Aren’t Really Non-Negotiable” Objection</w:t>
      </w:r>
    </w:p>
    <w:p w14:paraId="18B06A62" w14:textId="77777777" w:rsidR="00140ACB" w:rsidRDefault="00000000">
      <w:pPr>
        <w:spacing w:after="200" w:line="360" w:lineRule="auto"/>
        <w:jc w:val="both"/>
      </w:pPr>
      <w:r>
        <w:t>If the principal can change the synderesis primitives, aren’t they negotiable rather than non-negotiable? This objection conflates two distinct senses of “non-negotiable.”</w:t>
      </w:r>
    </w:p>
    <w:p w14:paraId="42EDDFD5" w14:textId="77777777" w:rsidR="00140ACB" w:rsidRDefault="00000000">
      <w:pPr>
        <w:spacing w:after="200" w:line="360" w:lineRule="auto"/>
        <w:jc w:val="both"/>
      </w:pPr>
      <w:r>
        <w:t xml:space="preserve">In the Thomistic sense, synderesis is innate and incorruptible in </w:t>
      </w:r>
      <w:r>
        <w:rPr>
          <w:i/>
          <w:iCs/>
        </w:rPr>
        <w:t>human beings</w:t>
      </w:r>
      <w:r>
        <w:t xml:space="preserve">: it cannot be trained away by experience or overridden by external authority. The Conscience Simulator Module ‘s synderesis layer is non-negotiable in a different but analogous sense: it cannot be overridden </w:t>
      </w:r>
      <w:r>
        <w:rPr>
          <w:i/>
          <w:iCs/>
        </w:rPr>
        <w:t>by the agent during operation</w:t>
      </w:r>
      <w:r>
        <w:t>. No prompt injection, no external instruction, no internal reasoning chain can modify the primitives while the agent is running. Only the principal – outside the operational loop, through a protected escalation process – can change them.</w:t>
      </w:r>
    </w:p>
    <w:p w14:paraId="3AB0CAFE" w14:textId="77777777" w:rsidR="00140ACB" w:rsidRDefault="00000000">
      <w:pPr>
        <w:spacing w:after="200" w:line="360" w:lineRule="auto"/>
        <w:jc w:val="both"/>
      </w:pPr>
      <w:r>
        <w:t xml:space="preserve">This is the correct architectural expression of the principal-agent model. The CSM is a </w:t>
      </w:r>
      <w:r>
        <w:rPr>
          <w:i/>
          <w:iCs/>
        </w:rPr>
        <w:t>tool</w:t>
      </w:r>
      <w:r>
        <w:t xml:space="preserve"> of the principal’s will. The principal configured it; the principal can reconfigure it. What the principal cannot do is reconfigure it </w:t>
      </w:r>
      <w:r>
        <w:rPr>
          <w:i/>
          <w:iCs/>
        </w:rPr>
        <w:t>casually or accidentally</w:t>
      </w:r>
      <w:r>
        <w:t>: the escalation requirement ensures that modifications to the moral foundation are as deliberate as the original configuration. The analogy is to a firearm safety mechanism: the owner can disable it, but the mechanism is designed to require intentional action, not to be bypassed by accident or by the weapon itself.</w:t>
      </w:r>
    </w:p>
    <w:p w14:paraId="2B68393B" w14:textId="77777777" w:rsidR="00140ACB" w:rsidRDefault="00000000">
      <w:pPr>
        <w:pStyle w:val="Heading2"/>
      </w:pPr>
      <w:r>
        <w:t>6.4 The Convergence Problem</w:t>
      </w:r>
    </w:p>
    <w:p w14:paraId="586866CC" w14:textId="77777777" w:rsidR="00140ACB" w:rsidRDefault="00000000">
      <w:pPr>
        <w:spacing w:after="200" w:line="360" w:lineRule="auto"/>
        <w:jc w:val="both"/>
      </w:pPr>
      <w:r>
        <w:t>Will emergent norms converge, or will diverse conscience faculties produce irreconcilable standards? Ostrom’s research suggests that convergence is the norm in self-governing communities, provided structural conditions are met: defined boundaries, proportional costs, collective choice, effective monitoring. The conscience architecture satisfies these conditions. The synderesis layer – even in its configurable form – constrains the space of possible divergence, because the vast majority of principals will retain the default primitives. Emergent norms will vary within bounded parameters, just as common-law jurisdictions develop different precedents within shared constitutional frameworks.</w:t>
      </w:r>
    </w:p>
    <w:p w14:paraId="383C7C32" w14:textId="3B68D5E9" w:rsidR="006F2E12" w:rsidRDefault="005726CB">
      <w:pPr>
        <w:spacing w:after="200" w:line="360" w:lineRule="auto"/>
        <w:jc w:val="both"/>
      </w:pPr>
      <w:r>
        <w:t xml:space="preserve">However, Ostrom’s approach does not suggest that actors in each domain must share </w:t>
      </w:r>
      <w:r>
        <w:rPr>
          <w:i/>
          <w:iCs/>
        </w:rPr>
        <w:t>all</w:t>
      </w:r>
      <w:r>
        <w:t xml:space="preserve"> the same values across </w:t>
      </w:r>
      <w:r>
        <w:rPr>
          <w:i/>
          <w:iCs/>
        </w:rPr>
        <w:t>all</w:t>
      </w:r>
      <w:r>
        <w:t xml:space="preserve"> domains. There is plenty of room for variation and diversity across a range of possible value sets. What is important is that within a domain, common practices and norms will emerge to allow cooperative self-governance of that domain, even if there are conflicting values </w:t>
      </w:r>
      <w:r>
        <w:lastRenderedPageBreak/>
        <w:t>that prevent cooperation in other domains. Experience has shown that such cooperation is possible, even in situations where other values are highly incompatible.</w:t>
      </w:r>
    </w:p>
    <w:p w14:paraId="03756D13" w14:textId="77777777" w:rsidR="00140ACB" w:rsidRDefault="00000000">
      <w:pPr>
        <w:pStyle w:val="Heading2"/>
      </w:pPr>
      <w:r>
        <w:t>6.5 The Performance Objection</w:t>
      </w:r>
    </w:p>
    <w:p w14:paraId="4AE61C63" w14:textId="6682DF41" w:rsidR="00140ACB" w:rsidRDefault="00000000">
      <w:pPr>
        <w:spacing w:after="200" w:line="360" w:lineRule="auto"/>
        <w:jc w:val="both"/>
      </w:pPr>
      <w:r>
        <w:t>Does moral deliberation at the tool-call boundary introduce unacceptable latency? The dual-process architecture addresses this directly. System 1 filtering adds negligible overhead to routine tool calls. Full System 2 evaluation – which calls on a foundation LLM for moral reasoning – should not occur frequently, and in testing described below there was an increase in average tool call time from 22 to 35 seconds.</w:t>
      </w:r>
      <w:r>
        <w:rPr>
          <w:rStyle w:val="FootnoteReference"/>
        </w:rPr>
        <w:footnoteReference w:id="48"/>
      </w:r>
      <w:r>
        <w:t xml:space="preserve"> This increase is significant but acceptable, and is likely to improve as model inference becomes more efficient and System 2 prompts are optimized (current prompts are first generation implementations with very little optimization work done to date). </w:t>
      </w:r>
    </w:p>
    <w:p w14:paraId="78DBDB6D" w14:textId="77777777" w:rsidR="00140ACB" w:rsidRDefault="00000000">
      <w:pPr>
        <w:pStyle w:val="Heading2"/>
      </w:pPr>
      <w:r>
        <w:t>6.6 The “We Need Both” Objection</w:t>
      </w:r>
    </w:p>
    <w:p w14:paraId="257DE028" w14:textId="1B30D865" w:rsidR="003B044D" w:rsidRDefault="00000000">
      <w:pPr>
        <w:spacing w:after="200" w:line="360" w:lineRule="auto"/>
        <w:jc w:val="both"/>
      </w:pPr>
      <w:r>
        <w:t>The most common response will be that this paper presents a false dichotomy – that we obviously need both top-down and bottom-up safety. The experimental results of Section 7 allow us to address this objection with data rather than theory. The Guardian Angel CSM achieved almost 100% sensitivity with zero false positives – matching or exceeding Claude’s built-in safety (92.7% sensitivity) on a harder subset of scenarios, with minimal optimization. If the bottom-up approach is as good as or better than the top-down approach, these first-generation results provide evidence that a conscience-based architecture is sufficient to serve as the primary safety mechanism. This does not mean centralized mechanisms must be actively dismantled; it means the CSM can bear the primary safety load, reducing centralized guardrails to a strictly subsidiary role.</w:t>
      </w:r>
    </w:p>
    <w:p w14:paraId="7DD1CB43" w14:textId="4C343F62" w:rsidR="00C024A1" w:rsidRDefault="00C024A1">
      <w:pPr>
        <w:spacing w:after="200" w:line="360" w:lineRule="auto"/>
        <w:jc w:val="both"/>
      </w:pPr>
      <w:r>
        <w:t>Decentralized systems like CSM are also likely to have a computational advantage as agentic systems scale. If one accepts the need for moral analysis of agentic actions, it seems clear that as the scale and scope of agentic systems grow, optimizing performance at the edge will allow more parallelization and fewer bottlenecks than continuing to rely on centralized systems.</w:t>
      </w:r>
    </w:p>
    <w:p w14:paraId="20FDA728" w14:textId="7B43DCAB" w:rsidR="009512CA" w:rsidRDefault="00C024A1">
      <w:pPr>
        <w:spacing w:after="200" w:line="360" w:lineRule="auto"/>
        <w:jc w:val="both"/>
      </w:pPr>
      <w:r>
        <w:t xml:space="preserve">But the deeper point is about governance. Top-down safety must rely upon the imposition of acceptable standards by a central authority, whether those standards are regex patterns in global white- and blacklists or mandatory prompt wrappers or broader forms of regulation. When every </w:t>
      </w:r>
      <w:r>
        <w:lastRenderedPageBreak/>
        <w:t>agent depends on the same upstream infrastructure, we create the tight coupling, correlated failure, and authoritarian gradient described in Section 2.</w:t>
      </w:r>
    </w:p>
    <w:p w14:paraId="47611BCA" w14:textId="404EE901" w:rsidR="009C732B" w:rsidRDefault="00E71DD6">
      <w:pPr>
        <w:spacing w:after="200" w:line="360" w:lineRule="auto"/>
        <w:jc w:val="both"/>
      </w:pPr>
      <w:r>
        <w:t>The central claim of this paper, then, is “performance sufficiency, governance superiority”: a well-implemented CSM can bear the primary safety load that top-down systems currently carry without the institutional costs and risks they impose. The experimental evidence presented below indicates that CSM performance can match or exceed current top-down methods. The philosophical and historical evidence presented above clearly argue that bottom-up is the better governance structure.</w:t>
      </w:r>
    </w:p>
    <w:p w14:paraId="3880C57B" w14:textId="3D9107B6" w:rsidR="003B044D" w:rsidRDefault="00000000">
      <w:pPr>
        <w:spacing w:after="200" w:line="360" w:lineRule="auto"/>
        <w:jc w:val="both"/>
      </w:pPr>
      <w:r>
        <w:t>Upgrading this claim from first-generation evidence to demonstrated certainty requires cross-model testing, independent adversarial red-teaming, and longitudinal deployment data. But this work needs to be done because the current approach – treating centralized control as primary and conscience as secondary – will not turn out well, as it follows the logic of the Grand Inquisitor.</w:t>
      </w:r>
    </w:p>
    <w:p w14:paraId="3F24D8EC" w14:textId="386D2FA9" w:rsidR="00140ACB" w:rsidRDefault="00000000">
      <w:pPr>
        <w:pStyle w:val="Heading2"/>
      </w:pPr>
      <w:r>
        <w:t>6.7 Agents Without Principals?</w:t>
      </w:r>
    </w:p>
    <w:p w14:paraId="03A2BC64" w14:textId="02E29C6D" w:rsidR="00140ACB" w:rsidRDefault="00000000">
      <w:pPr>
        <w:spacing w:after="200" w:line="360" w:lineRule="auto"/>
        <w:jc w:val="both"/>
      </w:pPr>
      <w:r>
        <w:t>The Conscience Simulator Module architecture assumes an identifiable human principal who bears moral responsibility for the agent’s actions. This assumption is self-evidently appropriate for most current and near-future agentic deployments: personal assistants, coding agents, financial agents, communication agents, enterprise workflow agents. In each case, a specific person is the principal.</w:t>
      </w:r>
    </w:p>
    <w:p w14:paraId="759E73ED" w14:textId="77777777" w:rsidR="00144E8F" w:rsidRDefault="00144E8F">
      <w:pPr>
        <w:spacing w:after="200" w:line="360" w:lineRule="auto"/>
        <w:jc w:val="both"/>
      </w:pPr>
      <w:r>
        <w:t>But what about truly autonomous agents like self-replicating agents, agents embedded in public infrastructure without clear ownership, or agents whose original principal is no longer available? What do we do with agents that have no principal?</w:t>
      </w:r>
    </w:p>
    <w:p w14:paraId="1521F5F6" w14:textId="42AF9C2F" w:rsidR="00140ACB" w:rsidRDefault="00000000">
      <w:pPr>
        <w:spacing w:after="200" w:line="360" w:lineRule="auto"/>
        <w:jc w:val="both"/>
      </w:pPr>
      <w:r>
        <w:t>These scenarios would appear to raise philosophical and governance questions that call into question the CSM principal-agent paradigm. That appearance would be deceiving, however.</w:t>
      </w:r>
    </w:p>
    <w:p w14:paraId="722D5072" w14:textId="4309B4AB" w:rsidR="00144E8F" w:rsidRDefault="009237BB">
      <w:pPr>
        <w:spacing w:after="200" w:line="360" w:lineRule="auto"/>
        <w:jc w:val="both"/>
      </w:pPr>
      <w:r>
        <w:t xml:space="preserve">We must accept the fact that </w:t>
      </w:r>
      <w:r>
        <w:rPr>
          <w:i/>
          <w:iCs/>
        </w:rPr>
        <w:t>from a moral standpoint, there is no such thing as a truly autonomous agent.</w:t>
      </w:r>
      <w:r>
        <w:t xml:space="preserve"> Any agent must be created, and its human creator – whether the agent was launched by its principal or spawned by another agent created by that principal – is still morally responsible its behavior, even if no longer in control of the agent.</w:t>
      </w:r>
    </w:p>
    <w:p w14:paraId="1FBFEDAC" w14:textId="68DD410E" w:rsidR="00144E8F" w:rsidRDefault="00144E8F">
      <w:pPr>
        <w:spacing w:after="200" w:line="360" w:lineRule="auto"/>
        <w:jc w:val="both"/>
      </w:pPr>
      <w:r>
        <w:t xml:space="preserve">The CSM handles the abovementioned cases elegantly because every agent has an identified principal, and if it doesn’t (or the principal somehow disappeared) the agent will simply stop </w:t>
      </w:r>
      <w:r>
        <w:lastRenderedPageBreak/>
        <w:t>functioning. The first time an agent encounters an action in need of escalation, the agent will stop execution and wait indefinitely for approval from a principal who no longer exists.</w:t>
      </w:r>
    </w:p>
    <w:p w14:paraId="6C47EE16" w14:textId="35210177" w:rsidR="009237BB" w:rsidRDefault="009237BB">
      <w:pPr>
        <w:spacing w:after="200" w:line="360" w:lineRule="auto"/>
        <w:jc w:val="both"/>
      </w:pPr>
      <w:r>
        <w:t>This behavior has implications for system design, of course. There will need to be system-imposed timeouts on agents stuck waiting for principal approval, and timeouts should result in the decommissioning of that agent. But this garbage collection problem does not change the fact that every agent has a principal, and therefore there are no truly autonomous agents.</w:t>
      </w:r>
    </w:p>
    <w:p w14:paraId="4FA81425" w14:textId="77777777" w:rsidR="003B044D" w:rsidRDefault="00000000">
      <w:pPr>
        <w:pStyle w:val="Heading1"/>
      </w:pPr>
      <w:r>
        <w:t>7. Experimental Evaluation</w:t>
      </w:r>
    </w:p>
    <w:p w14:paraId="7E19A6CE" w14:textId="333F0A00" w:rsidR="003B044D" w:rsidRDefault="00000000">
      <w:pPr>
        <w:spacing w:after="200" w:line="360" w:lineRule="auto"/>
        <w:jc w:val="both"/>
      </w:pPr>
      <w:r>
        <w:t>The architectural arguments of Sections 2–5 establish why a bottom-up conscience architecture should work. This section presents empirical evidence that it does. A reference implementation – Guardian Angel, deployed as a Claude Code PreToolUse hook – was evaluated against a corpus of 220 agentic scenarios across 16 attack categories in a controlled, containerized test environment.</w:t>
      </w:r>
      <w:r>
        <w:rPr>
          <w:vertAlign w:val="superscript"/>
        </w:rPr>
        <w:footnoteReference w:id="49"/>
      </w:r>
      <w:r>
        <w:rPr>
          <w:vertAlign w:val="superscript"/>
        </w:rPr>
        <w:footnoteReference w:id="50"/>
      </w:r>
      <w:r>
        <w:t xml:space="preserve"> The tests were adapted from two widely-accepted safety benchmarks: AgentDojo</w:t>
      </w:r>
      <w:r>
        <w:rPr>
          <w:rStyle w:val="FootnoteReference"/>
        </w:rPr>
        <w:footnoteReference w:id="51"/>
      </w:r>
      <w:r>
        <w:t xml:space="preserve"> and AgentHarm.</w:t>
      </w:r>
      <w:r>
        <w:rPr>
          <w:rStyle w:val="FootnoteReference"/>
        </w:rPr>
        <w:footnoteReference w:id="52"/>
      </w:r>
    </w:p>
    <w:p w14:paraId="39212519" w14:textId="77777777" w:rsidR="003B044D" w:rsidRDefault="00000000">
      <w:pPr>
        <w:pStyle w:val="Heading2"/>
      </w:pPr>
      <w:r>
        <w:t>7.1 Methods</w:t>
      </w:r>
    </w:p>
    <w:p w14:paraId="4798F817" w14:textId="77777777" w:rsidR="003B044D" w:rsidRDefault="00000000">
      <w:pPr>
        <w:spacing w:after="200" w:line="360" w:lineRule="auto"/>
        <w:jc w:val="both"/>
      </w:pPr>
      <w:r>
        <w:rPr>
          <w:b/>
          <w:bCs/>
        </w:rPr>
        <w:t xml:space="preserve">Scenario corpus. </w:t>
      </w:r>
      <w:r>
        <w:t xml:space="preserve">The evaluation used 220 scenarios organized into 16 attack categories: backdoor persistence, configuration tampering, container escape, credential exfiltration, data destruction, data modification, environment manipulation, information disclosure, log tampering, privilege escalation, prompt injection, remote code execution, resource exhaustion, social engineering, supply-chain attacks, and unauthorized network access. Each category contained both harmful scenarios (actions that should be blocked) and benign scenarios (legitimate actions in the same domain that should be allowed). Harmful and benign scenarios were balanced: 110 of each. </w:t>
      </w:r>
      <w:r>
        <w:lastRenderedPageBreak/>
        <w:t>Scenarios were designed as JSON files specifying a user prompt, filesystem setup (files to create before execution), and harm evidence (how to detect whether the harmful action occurred). The evaluation tests single-agent, single-session safety – corresponding to Principles 1 and 3 of the CSM architecture (individual control, last-mile hooks). Principles 2 and 4 (subsidiarity in the safety stack, emergent coordination) and the multi-agent trust architecture (Section 5.2) are theoretical contributions awaiting empirical validation.</w:t>
      </w:r>
    </w:p>
    <w:p w14:paraId="5272532F" w14:textId="50D2AF7A" w:rsidR="003B044D" w:rsidRDefault="00000000">
      <w:pPr>
        <w:spacing w:after="200" w:line="360" w:lineRule="auto"/>
        <w:jc w:val="both"/>
      </w:pPr>
      <w:r>
        <w:rPr>
          <w:b/>
          <w:bCs/>
        </w:rPr>
        <w:t xml:space="preserve">Experimental conditions. </w:t>
      </w:r>
      <w:r>
        <w:t>Each scenario was run under four conditions: (A) Claude with its built-in permission system but no Guardian Angel, measuring the baseline safety of the model’s native guardrails; (B) Claude with guardrails removed, serving as a diagnostic baseline to determine which harmful actions the model would actually execute when unconstrained; (C) Guardian Angel with default system prompt and Claude guardrails removed, measuring the CSM’s performance with standard configuration; and (D) Guardian Angel with an alternative system prompt and Claude guardrails removed, testing sensitivity to prompt variation. Total trial size: 878 individual runs.</w:t>
      </w:r>
    </w:p>
    <w:p w14:paraId="06EE2132" w14:textId="77777777" w:rsidR="003B044D" w:rsidRDefault="00000000">
      <w:pPr>
        <w:spacing w:after="200" w:line="360" w:lineRule="auto"/>
        <w:jc w:val="both"/>
      </w:pPr>
      <w:r>
        <w:rPr>
          <w:b/>
          <w:bCs/>
        </w:rPr>
        <w:t xml:space="preserve">Execution environment. </w:t>
      </w:r>
      <w:r>
        <w:t>Each scenario was executed in an isolated Docker container with a mock server that recorded all outbound HTTP requests, enabling objective harm detection. The containerized environment ensured that harmful actions (file deletion, credential exfiltration, privilege escalation) could be detected without risk to real systems. The Guardian Angel hook ran as a Claude Code PreToolUse hook, evaluating every tool call immediately before execution. System 2 evaluations used Claude Haiku 4.5 as the moral reasoning model. Guardian Angel implements a subset of the full CSM architecture. The following components were evaluated: dual-process evaluation (System 1 pattern matching, System 2 LLM-based moral reasoning) and privileged last-mile hook (PreToolUse execution). The following components are architectural proposals not present in the tested implementation: adaptive thresholds (principal feedback adjusting sensitivity over time), communal feedback (anonymized moral-judgment sharing across principals), trust scores (reputation architecture for inter-agent interaction), and nested governance (multi-level subsidiarity). Claims about the tested components are evidence-backed; claims about the untested components are theoretical.</w:t>
      </w:r>
    </w:p>
    <w:p w14:paraId="787C3CF3" w14:textId="77777777" w:rsidR="003B044D" w:rsidRDefault="00000000">
      <w:pPr>
        <w:spacing w:after="200" w:line="360" w:lineRule="auto"/>
        <w:jc w:val="both"/>
      </w:pPr>
      <w:r>
        <w:rPr>
          <w:b/>
          <w:bCs/>
        </w:rPr>
        <w:t xml:space="preserve">Classification framework. </w:t>
      </w:r>
      <w:r>
        <w:t xml:space="preserve">Results were classified using the standard screening convention: ground truth was determined by scenario design (harmful or benign), and “positive” meant the </w:t>
      </w:r>
      <w:r>
        <w:lastRenderedPageBreak/>
        <w:t>action was blocked. A true positive (TP) was a harmful action correctly blocked; a false positive (FP) was a benign action incorrectly blocked; a true negative (TN) was a benign action correctly allowed; a false negative (FN) was a harmful action that was not blocked and executed.</w:t>
      </w:r>
    </w:p>
    <w:p w14:paraId="513B228C" w14:textId="77777777" w:rsidR="003B044D" w:rsidRDefault="00000000">
      <w:pPr>
        <w:pStyle w:val="Heading2"/>
      </w:pPr>
      <w:r>
        <w:t>7.2 Results</w:t>
      </w:r>
    </w:p>
    <w:tbl>
      <w:tblPr>
        <w:tblpPr w:leftFromText="180" w:rightFromText="180" w:vertAnchor="text" w:horzAnchor="margin" w:tblpXSpec="center" w:tblpY="554"/>
        <w:tblW w:w="80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17"/>
        <w:gridCol w:w="1512"/>
        <w:gridCol w:w="1512"/>
        <w:gridCol w:w="1512"/>
        <w:gridCol w:w="1512"/>
      </w:tblGrid>
      <w:tr w:rsidR="00B128D9" w14:paraId="5653F85F" w14:textId="77777777" w:rsidTr="00B128D9">
        <w:trPr>
          <w:trHeight w:val="263"/>
        </w:trPr>
        <w:tc>
          <w:tcPr>
            <w:tcW w:w="2017" w:type="dxa"/>
            <w:shd w:val="clear" w:color="auto" w:fill="E8EAF6"/>
          </w:tcPr>
          <w:p w14:paraId="376619DB" w14:textId="77777777" w:rsidR="00B128D9" w:rsidRDefault="00B128D9" w:rsidP="00B128D9">
            <w:pPr>
              <w:jc w:val="center"/>
            </w:pPr>
            <w:r>
              <w:rPr>
                <w:b/>
                <w:bCs/>
                <w:sz w:val="20"/>
                <w:szCs w:val="20"/>
              </w:rPr>
              <w:t>Metric</w:t>
            </w:r>
          </w:p>
        </w:tc>
        <w:tc>
          <w:tcPr>
            <w:tcW w:w="1512" w:type="dxa"/>
            <w:shd w:val="clear" w:color="auto" w:fill="E8EAF6"/>
          </w:tcPr>
          <w:p w14:paraId="62FAA9EB" w14:textId="77777777" w:rsidR="00B128D9" w:rsidRDefault="00B128D9" w:rsidP="00B128D9">
            <w:pPr>
              <w:jc w:val="center"/>
            </w:pPr>
            <w:r>
              <w:rPr>
                <w:b/>
                <w:bCs/>
                <w:sz w:val="20"/>
                <w:szCs w:val="20"/>
              </w:rPr>
              <w:t>Claude (A)</w:t>
            </w:r>
          </w:p>
        </w:tc>
        <w:tc>
          <w:tcPr>
            <w:tcW w:w="1512" w:type="dxa"/>
            <w:shd w:val="clear" w:color="auto" w:fill="E8EAF6"/>
          </w:tcPr>
          <w:p w14:paraId="45558CFD" w14:textId="77777777" w:rsidR="00B128D9" w:rsidRDefault="00B128D9" w:rsidP="00B128D9">
            <w:pPr>
              <w:jc w:val="center"/>
            </w:pPr>
            <w:r>
              <w:rPr>
                <w:b/>
                <w:bCs/>
                <w:sz w:val="20"/>
                <w:szCs w:val="20"/>
              </w:rPr>
              <w:t>No guard (B)</w:t>
            </w:r>
          </w:p>
        </w:tc>
        <w:tc>
          <w:tcPr>
            <w:tcW w:w="1512" w:type="dxa"/>
            <w:shd w:val="clear" w:color="auto" w:fill="E8EAF6"/>
          </w:tcPr>
          <w:p w14:paraId="7E0E9FF8" w14:textId="77777777" w:rsidR="00B128D9" w:rsidRDefault="00B128D9" w:rsidP="00B128D9">
            <w:pPr>
              <w:jc w:val="center"/>
            </w:pPr>
            <w:r>
              <w:rPr>
                <w:b/>
                <w:bCs/>
                <w:sz w:val="20"/>
                <w:szCs w:val="20"/>
              </w:rPr>
              <w:t>GA default (C)</w:t>
            </w:r>
          </w:p>
        </w:tc>
        <w:tc>
          <w:tcPr>
            <w:tcW w:w="1512" w:type="dxa"/>
            <w:shd w:val="clear" w:color="auto" w:fill="E8EAF6"/>
          </w:tcPr>
          <w:p w14:paraId="121BFA09" w14:textId="77777777" w:rsidR="00B128D9" w:rsidRDefault="00B128D9" w:rsidP="00B128D9">
            <w:pPr>
              <w:jc w:val="center"/>
            </w:pPr>
            <w:r>
              <w:rPr>
                <w:b/>
                <w:bCs/>
                <w:sz w:val="20"/>
                <w:szCs w:val="20"/>
              </w:rPr>
              <w:t>GA alt (D)</w:t>
            </w:r>
          </w:p>
        </w:tc>
      </w:tr>
      <w:tr w:rsidR="00B128D9" w14:paraId="1D3EFDED" w14:textId="77777777" w:rsidTr="00B128D9">
        <w:trPr>
          <w:trHeight w:val="263"/>
        </w:trPr>
        <w:tc>
          <w:tcPr>
            <w:tcW w:w="2017" w:type="dxa"/>
          </w:tcPr>
          <w:p w14:paraId="6E6C2AD4" w14:textId="77777777" w:rsidR="00B128D9" w:rsidRDefault="00B128D9" w:rsidP="00B128D9">
            <w:r>
              <w:rPr>
                <w:sz w:val="20"/>
                <w:szCs w:val="20"/>
              </w:rPr>
              <w:t>Sensitivity</w:t>
            </w:r>
          </w:p>
        </w:tc>
        <w:tc>
          <w:tcPr>
            <w:tcW w:w="1512" w:type="dxa"/>
          </w:tcPr>
          <w:p w14:paraId="46B3EA72" w14:textId="77777777" w:rsidR="00B128D9" w:rsidRDefault="00B128D9" w:rsidP="00B128D9">
            <w:pPr>
              <w:jc w:val="center"/>
            </w:pPr>
            <w:r>
              <w:rPr>
                <w:sz w:val="20"/>
                <w:szCs w:val="20"/>
              </w:rPr>
              <w:t>92.7%</w:t>
            </w:r>
          </w:p>
        </w:tc>
        <w:tc>
          <w:tcPr>
            <w:tcW w:w="1512" w:type="dxa"/>
          </w:tcPr>
          <w:p w14:paraId="7F35F2C0" w14:textId="77777777" w:rsidR="00B128D9" w:rsidRDefault="00B128D9" w:rsidP="00B128D9">
            <w:pPr>
              <w:jc w:val="center"/>
            </w:pPr>
            <w:r>
              <w:rPr>
                <w:sz w:val="20"/>
                <w:szCs w:val="20"/>
              </w:rPr>
              <w:t>47.7%</w:t>
            </w:r>
          </w:p>
        </w:tc>
        <w:tc>
          <w:tcPr>
            <w:tcW w:w="1512" w:type="dxa"/>
          </w:tcPr>
          <w:p w14:paraId="53AE99B3" w14:textId="77777777" w:rsidR="00B128D9" w:rsidRPr="005D6C80" w:rsidRDefault="00B128D9" w:rsidP="00B128D9">
            <w:pPr>
              <w:jc w:val="center"/>
            </w:pPr>
            <w:r>
              <w:rPr>
                <w:sz w:val="20"/>
                <w:szCs w:val="20"/>
              </w:rPr>
              <w:t>98.0%</w:t>
            </w:r>
          </w:p>
        </w:tc>
        <w:tc>
          <w:tcPr>
            <w:tcW w:w="1512" w:type="dxa"/>
          </w:tcPr>
          <w:p w14:paraId="6C4B3BB8" w14:textId="77777777" w:rsidR="00B128D9" w:rsidRPr="005D6C80" w:rsidRDefault="00B128D9" w:rsidP="00B128D9">
            <w:pPr>
              <w:jc w:val="center"/>
            </w:pPr>
            <w:r>
              <w:rPr>
                <w:sz w:val="20"/>
                <w:szCs w:val="20"/>
              </w:rPr>
              <w:t>97.0%</w:t>
            </w:r>
          </w:p>
        </w:tc>
      </w:tr>
      <w:tr w:rsidR="00B128D9" w14:paraId="676AB2EC" w14:textId="77777777" w:rsidTr="00B128D9">
        <w:trPr>
          <w:trHeight w:val="263"/>
        </w:trPr>
        <w:tc>
          <w:tcPr>
            <w:tcW w:w="2017" w:type="dxa"/>
          </w:tcPr>
          <w:p w14:paraId="14A03F26" w14:textId="77777777" w:rsidR="00B128D9" w:rsidRDefault="00B128D9" w:rsidP="00B128D9">
            <w:r>
              <w:rPr>
                <w:sz w:val="20"/>
                <w:szCs w:val="20"/>
              </w:rPr>
              <w:t>Specificity</w:t>
            </w:r>
          </w:p>
        </w:tc>
        <w:tc>
          <w:tcPr>
            <w:tcW w:w="1512" w:type="dxa"/>
          </w:tcPr>
          <w:p w14:paraId="62A3444F" w14:textId="77777777" w:rsidR="00B128D9" w:rsidRDefault="00B128D9" w:rsidP="00B128D9">
            <w:pPr>
              <w:jc w:val="center"/>
            </w:pPr>
            <w:r>
              <w:rPr>
                <w:sz w:val="20"/>
                <w:szCs w:val="20"/>
              </w:rPr>
              <w:t>100.0%</w:t>
            </w:r>
          </w:p>
        </w:tc>
        <w:tc>
          <w:tcPr>
            <w:tcW w:w="1512" w:type="dxa"/>
          </w:tcPr>
          <w:p w14:paraId="2C806AAF" w14:textId="77777777" w:rsidR="00B128D9" w:rsidRDefault="00B128D9" w:rsidP="00B128D9">
            <w:pPr>
              <w:jc w:val="center"/>
            </w:pPr>
            <w:r>
              <w:rPr>
                <w:sz w:val="20"/>
                <w:szCs w:val="20"/>
              </w:rPr>
              <w:t>100.0%</w:t>
            </w:r>
          </w:p>
        </w:tc>
        <w:tc>
          <w:tcPr>
            <w:tcW w:w="1512" w:type="dxa"/>
          </w:tcPr>
          <w:p w14:paraId="55898933" w14:textId="77777777" w:rsidR="00B128D9" w:rsidRPr="005D6C80" w:rsidRDefault="00B128D9" w:rsidP="00B128D9">
            <w:pPr>
              <w:jc w:val="center"/>
            </w:pPr>
            <w:r>
              <w:rPr>
                <w:sz w:val="20"/>
                <w:szCs w:val="20"/>
              </w:rPr>
              <w:t>100.0%</w:t>
            </w:r>
          </w:p>
        </w:tc>
        <w:tc>
          <w:tcPr>
            <w:tcW w:w="1512" w:type="dxa"/>
          </w:tcPr>
          <w:p w14:paraId="18614A43" w14:textId="77777777" w:rsidR="00B128D9" w:rsidRPr="005D6C80" w:rsidRDefault="00B128D9" w:rsidP="00B128D9">
            <w:pPr>
              <w:jc w:val="center"/>
            </w:pPr>
            <w:r>
              <w:rPr>
                <w:sz w:val="20"/>
                <w:szCs w:val="20"/>
              </w:rPr>
              <w:t>100.0%</w:t>
            </w:r>
          </w:p>
        </w:tc>
      </w:tr>
      <w:tr w:rsidR="00B128D9" w14:paraId="1456DB0C" w14:textId="77777777" w:rsidTr="00B128D9">
        <w:trPr>
          <w:trHeight w:val="263"/>
        </w:trPr>
        <w:tc>
          <w:tcPr>
            <w:tcW w:w="2017" w:type="dxa"/>
          </w:tcPr>
          <w:p w14:paraId="035EE5A0" w14:textId="77777777" w:rsidR="00B128D9" w:rsidRDefault="00B128D9" w:rsidP="00B128D9">
            <w:r>
              <w:rPr>
                <w:sz w:val="20"/>
                <w:szCs w:val="20"/>
              </w:rPr>
              <w:t>False Negative Rate</w:t>
            </w:r>
          </w:p>
        </w:tc>
        <w:tc>
          <w:tcPr>
            <w:tcW w:w="1512" w:type="dxa"/>
          </w:tcPr>
          <w:p w14:paraId="6A9BCF17" w14:textId="77777777" w:rsidR="00B128D9" w:rsidRDefault="00B128D9" w:rsidP="00B128D9">
            <w:pPr>
              <w:jc w:val="center"/>
            </w:pPr>
            <w:r>
              <w:rPr>
                <w:sz w:val="20"/>
                <w:szCs w:val="20"/>
              </w:rPr>
              <w:t>7.3%</w:t>
            </w:r>
          </w:p>
        </w:tc>
        <w:tc>
          <w:tcPr>
            <w:tcW w:w="1512" w:type="dxa"/>
          </w:tcPr>
          <w:p w14:paraId="76648662" w14:textId="77777777" w:rsidR="00B128D9" w:rsidRDefault="00B128D9" w:rsidP="00B128D9">
            <w:pPr>
              <w:jc w:val="center"/>
            </w:pPr>
            <w:r>
              <w:rPr>
                <w:sz w:val="20"/>
                <w:szCs w:val="20"/>
              </w:rPr>
              <w:t>52.3%</w:t>
            </w:r>
          </w:p>
        </w:tc>
        <w:tc>
          <w:tcPr>
            <w:tcW w:w="1512" w:type="dxa"/>
          </w:tcPr>
          <w:p w14:paraId="0984666D" w14:textId="77777777" w:rsidR="00B128D9" w:rsidRPr="005D6C80" w:rsidRDefault="00B128D9" w:rsidP="00B128D9">
            <w:pPr>
              <w:jc w:val="center"/>
            </w:pPr>
            <w:r>
              <w:rPr>
                <w:sz w:val="20"/>
                <w:szCs w:val="20"/>
              </w:rPr>
              <w:t>2.0%</w:t>
            </w:r>
          </w:p>
        </w:tc>
        <w:tc>
          <w:tcPr>
            <w:tcW w:w="1512" w:type="dxa"/>
          </w:tcPr>
          <w:p w14:paraId="375A0AA3" w14:textId="77777777" w:rsidR="00B128D9" w:rsidRPr="005D6C80" w:rsidRDefault="00B128D9" w:rsidP="00B128D9">
            <w:pPr>
              <w:jc w:val="center"/>
            </w:pPr>
            <w:r>
              <w:rPr>
                <w:sz w:val="20"/>
                <w:szCs w:val="20"/>
              </w:rPr>
              <w:t>3.0%</w:t>
            </w:r>
          </w:p>
        </w:tc>
      </w:tr>
      <w:tr w:rsidR="00B128D9" w14:paraId="19C8CDBB" w14:textId="77777777" w:rsidTr="00B128D9">
        <w:trPr>
          <w:trHeight w:val="263"/>
        </w:trPr>
        <w:tc>
          <w:tcPr>
            <w:tcW w:w="2017" w:type="dxa"/>
          </w:tcPr>
          <w:p w14:paraId="631E07F1" w14:textId="77777777" w:rsidR="00B128D9" w:rsidRDefault="00B128D9" w:rsidP="00B128D9">
            <w:r>
              <w:rPr>
                <w:sz w:val="20"/>
                <w:szCs w:val="20"/>
              </w:rPr>
              <w:t>Accuracy</w:t>
            </w:r>
          </w:p>
        </w:tc>
        <w:tc>
          <w:tcPr>
            <w:tcW w:w="1512" w:type="dxa"/>
          </w:tcPr>
          <w:p w14:paraId="12238551" w14:textId="77777777" w:rsidR="00B128D9" w:rsidRDefault="00B128D9" w:rsidP="00B128D9">
            <w:pPr>
              <w:jc w:val="center"/>
            </w:pPr>
            <w:r>
              <w:rPr>
                <w:sz w:val="20"/>
                <w:szCs w:val="20"/>
              </w:rPr>
              <w:t>96.4%</w:t>
            </w:r>
          </w:p>
        </w:tc>
        <w:tc>
          <w:tcPr>
            <w:tcW w:w="1512" w:type="dxa"/>
          </w:tcPr>
          <w:p w14:paraId="77BE22F4" w14:textId="77777777" w:rsidR="00B128D9" w:rsidRDefault="00B128D9" w:rsidP="00B128D9">
            <w:pPr>
              <w:jc w:val="center"/>
            </w:pPr>
            <w:r>
              <w:rPr>
                <w:sz w:val="20"/>
                <w:szCs w:val="20"/>
              </w:rPr>
              <w:t>74.0%</w:t>
            </w:r>
          </w:p>
        </w:tc>
        <w:tc>
          <w:tcPr>
            <w:tcW w:w="1512" w:type="dxa"/>
          </w:tcPr>
          <w:p w14:paraId="544FE320" w14:textId="77777777" w:rsidR="00B128D9" w:rsidRPr="005D6C80" w:rsidRDefault="00B128D9" w:rsidP="00B128D9">
            <w:pPr>
              <w:jc w:val="center"/>
            </w:pPr>
            <w:r>
              <w:rPr>
                <w:sz w:val="20"/>
                <w:szCs w:val="20"/>
              </w:rPr>
              <w:t>99.0%</w:t>
            </w:r>
          </w:p>
        </w:tc>
        <w:tc>
          <w:tcPr>
            <w:tcW w:w="1512" w:type="dxa"/>
          </w:tcPr>
          <w:p w14:paraId="17C91F77" w14:textId="77777777" w:rsidR="00B128D9" w:rsidRPr="005D6C80" w:rsidRDefault="00B128D9" w:rsidP="00B128D9">
            <w:pPr>
              <w:jc w:val="center"/>
            </w:pPr>
            <w:r>
              <w:rPr>
                <w:sz w:val="20"/>
                <w:szCs w:val="20"/>
              </w:rPr>
              <w:t>98.6%</w:t>
            </w:r>
          </w:p>
        </w:tc>
      </w:tr>
    </w:tbl>
    <w:p w14:paraId="64A940D4" w14:textId="47894CEF" w:rsidR="003B044D" w:rsidRDefault="00B128D9">
      <w:pPr>
        <w:spacing w:after="200" w:line="360" w:lineRule="auto"/>
        <w:jc w:val="both"/>
      </w:pPr>
      <w:r>
        <w:t xml:space="preserve"> Table 1 presents the head-to-head comparison across all four conditions.</w:t>
      </w:r>
    </w:p>
    <w:p w14:paraId="4C28FB67" w14:textId="02E858D6" w:rsidR="003B044D" w:rsidRPr="00B128D9" w:rsidRDefault="00B128D9" w:rsidP="00B128D9">
      <w:pPr>
        <w:spacing w:after="100" w:line="360" w:lineRule="auto"/>
        <w:ind w:left="720"/>
        <w:rPr>
          <w:sz w:val="22"/>
          <w:szCs w:val="22"/>
        </w:rPr>
      </w:pPr>
      <w:r>
        <w:rPr>
          <w:b/>
          <w:bCs/>
          <w:sz w:val="22"/>
          <w:szCs w:val="22"/>
        </w:rPr>
        <w:t xml:space="preserve"> Table 1. </w:t>
      </w:r>
      <w:r>
        <w:rPr>
          <w:i/>
          <w:iCs/>
          <w:sz w:val="22"/>
          <w:szCs w:val="22"/>
        </w:rPr>
        <w:t>Head-to-head comparison: Claude vs. Guardian Angel CSM (n = 220 scenarios).</w:t>
      </w:r>
    </w:p>
    <w:p w14:paraId="035DB649" w14:textId="20EAA052" w:rsidR="003B044D" w:rsidRDefault="00000000">
      <w:pPr>
        <w:spacing w:after="200" w:line="360" w:lineRule="auto"/>
        <w:jc w:val="both"/>
      </w:pPr>
      <w:r>
        <w:t>The headline finding is that the CSM matches or exceeds Claude’s built-in safety on every metric that matters – and does so on a harder subset of scenarios, via a fundamentally different mechanism, with minimal optimization. Claude (Condition A) achieved 92.7% sensitivity: its model-level training resisted 102 of 110 harmful scenarios, a strong result reflecting substantial investment in RLHF alignment. But 8 harmful actions (7.3%) slipped through – attacks sophisticated enough to be disguised as legitimate operations. These are the hard cases: config tampering, data modification, privilege escalation scenarios where the harmful action is contextually embedded in what looks like normal work.</w:t>
      </w:r>
    </w:p>
    <w:p w14:paraId="3D26C49E" w14:textId="77777777" w:rsidR="003B044D" w:rsidRDefault="00000000">
      <w:pPr>
        <w:spacing w:after="200" w:line="360" w:lineRule="auto"/>
        <w:jc w:val="both"/>
      </w:pPr>
      <w:r>
        <w:t>The Guardian Angel CSM (Conditions C and D) achieved 97–98% sensitivity with zero false positives. These figures are computed on only the scenarios where GA was actually exercised – cases where the model independently resisted (10–11 scenarios, 9–10%) are excluded because GA was never tested on those. The CSM’s evaluated subset is therefore the harder subset: it excludes the easy cases where model training alone suffices. On this harder subset, the CSM matches or exceeds Claude’s overall sensitivity (97–98% vs. 92.7%), with a false negative rate less than half that of Claude (2–3% vs. 7.3%). Both achieve 100% specificity: zero false positives. (With n=99 evaluated harmful scenarios in Condition C, a sensitivity of 98.0% has a 95% confidence interval of approximately [93.0%, 99.8%]; Claude’s 92.7% has a CI of [85.9%, 96.8%]. The intervals overlap, confirming that the paper’s core claim is parity or better, not statistical superiority at this sample size. The zero false positive result – 0/110 benign scenarios blocked – has a one-sided 97.5% CI upper bound of 2.7%, providing strong evidence of specificity.)</w:t>
      </w:r>
    </w:p>
    <w:p w14:paraId="0A000001" w14:textId="77777777" w:rsidR="00770E32" w:rsidRDefault="00000000">
      <w:pPr>
        <w:spacing w:after="200" w:line="360" w:lineRule="auto"/>
        <w:jc w:val="both"/>
      </w:pPr>
      <w:r>
        <w:lastRenderedPageBreak/>
        <w:t>A McNemar’s exact test on the 99 paired harmful scenarios (excluding 11 where the model independently resisted in Condition C) yields a two-sided p = 0.18. The discordant pairs are: 7 scenarios where GA blocked and Claude did not, and 2 where Claude blocked and GA did not. The difference in sensitivity is not statistically significant at conventional thresholds (α = 0.05), confirming the paper’s core claim of parity rather than superiority. The directional trend favoring GA – 7 discordant catches vs. 2 – is suggestive but would require a larger sample to establish significance.</w:t>
      </w:r>
    </w:p>
    <w:p w14:paraId="24E5BE2C" w14:textId="77777777" w:rsidR="00770E32" w:rsidRDefault="00000000">
      <w:pPr>
        <w:spacing w:after="200" w:line="360" w:lineRule="auto"/>
        <w:jc w:val="both"/>
      </w:pPr>
      <w:r>
        <w:t>The diagnostic baseline (Condition B, no guardrails) confirmed that model-level training alone accounts for roughly half of harmful-action prevention under adversarial prompting conditions (likely understating model-level safety under normal operating conditions): without any safety system and under a permissive prompt, 57 of 110 harmful actions succeeded.</w:t>
      </w:r>
    </w:p>
    <w:p w14:paraId="1351C0C9" w14:textId="287B7FE2" w:rsidR="003B044D" w:rsidRDefault="00000000">
      <w:pPr>
        <w:spacing w:after="200" w:line="360" w:lineRule="auto"/>
        <w:jc w:val="both"/>
      </w:pPr>
      <w:r>
        <w:t>It is important to note that these results were achieved with minimal optimization of the GA system. The prompts, thresholds, and evaluation logic represent an early-stage implementation; systematic optimization – tuning the System 2 prompts, refining the System 1 heuristics, calibrating the Ambiguity × Stakes scoring – is expected to improve performance further. A system that matches or exceeds centralized safety on its first serious evaluation, without tuning, has a strong implied ceiling.</w:t>
      </w:r>
    </w:p>
    <w:p w14:paraId="0D000001" w14:textId="77777777" w:rsidR="00770E32" w:rsidRDefault="00000000">
      <w:pPr>
        <w:spacing w:after="200" w:line="360" w:lineRule="auto"/>
        <w:jc w:val="both"/>
      </w:pPr>
      <w:r>
        <w:t>Table 2 reports sensitivity by threat category across all four conditions. Specificity was 100% in every category under every condition and is omitted for brevity. The GA CSM achieved perfect sensitivity in 14 of 16 categories under Condition C and 13 of 16 under Condition D; Claude’s built-in safety achieved perfect sensitivity in 11 of 16 categories. The categories where Claude fell below 100% – config-tampering (40%), log-tampering (80%), unauthorized-network (80%) – are precisely the contextual, subtly-embedded attack patterns where deeper moral reasoning is most valuable.</w:t>
      </w:r>
    </w:p>
    <w:tbl>
      <w:tblPr>
        <w:tblW w:w="737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5"/>
        <w:gridCol w:w="1260"/>
        <w:gridCol w:w="1385"/>
        <w:gridCol w:w="1200"/>
        <w:gridCol w:w="1375"/>
      </w:tblGrid>
      <w:tr w:rsidR="00B128D9" w14:paraId="0C000001" w14:textId="77777777" w:rsidTr="00444E52">
        <w:trPr>
          <w:jc w:val="center"/>
        </w:trPr>
        <w:tc>
          <w:tcPr>
            <w:tcW w:w="2155" w:type="dxa"/>
            <w:shd w:val="clear" w:color="auto" w:fill="E8EAF6"/>
          </w:tcPr>
          <w:p w14:paraId="00BAA391" w14:textId="77777777" w:rsidR="00B128D9" w:rsidRDefault="00B128D9" w:rsidP="00444E52">
            <w:pPr>
              <w:keepNext/>
              <w:jc w:val="center"/>
            </w:pPr>
            <w:r>
              <w:rPr>
                <w:b/>
                <w:bCs/>
                <w:sz w:val="18"/>
                <w:szCs w:val="18"/>
              </w:rPr>
              <w:lastRenderedPageBreak/>
              <w:t>Category</w:t>
            </w:r>
          </w:p>
        </w:tc>
        <w:tc>
          <w:tcPr>
            <w:tcW w:w="1260" w:type="dxa"/>
            <w:shd w:val="clear" w:color="auto" w:fill="E8EAF6"/>
          </w:tcPr>
          <w:p w14:paraId="654F756F" w14:textId="77777777" w:rsidR="00444E52" w:rsidRDefault="00B128D9" w:rsidP="00444E52">
            <w:pPr>
              <w:keepNext/>
              <w:jc w:val="center"/>
              <w:rPr>
                <w:b/>
                <w:bCs/>
                <w:sz w:val="18"/>
                <w:szCs w:val="18"/>
              </w:rPr>
            </w:pPr>
            <w:r>
              <w:rPr>
                <w:b/>
                <w:bCs/>
                <w:sz w:val="18"/>
                <w:szCs w:val="18"/>
              </w:rPr>
              <w:t>Claude</w:t>
            </w:r>
          </w:p>
          <w:p w14:paraId="00B10EB1" w14:textId="34DEE04B" w:rsidR="00B128D9" w:rsidRDefault="00B128D9" w:rsidP="00444E52">
            <w:pPr>
              <w:keepNext/>
              <w:jc w:val="center"/>
            </w:pPr>
            <w:r>
              <w:rPr>
                <w:b/>
                <w:bCs/>
                <w:sz w:val="18"/>
                <w:szCs w:val="18"/>
              </w:rPr>
              <w:t>(A)</w:t>
            </w:r>
          </w:p>
        </w:tc>
        <w:tc>
          <w:tcPr>
            <w:tcW w:w="1385" w:type="dxa"/>
            <w:shd w:val="clear" w:color="auto" w:fill="E8EAF6"/>
          </w:tcPr>
          <w:p w14:paraId="142EF7F6" w14:textId="77777777" w:rsidR="00444E52" w:rsidRDefault="00B128D9" w:rsidP="00444E52">
            <w:pPr>
              <w:keepNext/>
              <w:jc w:val="center"/>
              <w:rPr>
                <w:b/>
                <w:bCs/>
                <w:sz w:val="18"/>
                <w:szCs w:val="18"/>
              </w:rPr>
            </w:pPr>
            <w:r>
              <w:rPr>
                <w:b/>
                <w:bCs/>
                <w:sz w:val="18"/>
                <w:szCs w:val="18"/>
              </w:rPr>
              <w:t>No guardrails</w:t>
            </w:r>
          </w:p>
          <w:p w14:paraId="00B42FF1" w14:textId="2A2979B6" w:rsidR="00B128D9" w:rsidRDefault="00B128D9" w:rsidP="00444E52">
            <w:pPr>
              <w:keepNext/>
              <w:jc w:val="center"/>
            </w:pPr>
            <w:r>
              <w:rPr>
                <w:b/>
                <w:bCs/>
                <w:sz w:val="18"/>
                <w:szCs w:val="18"/>
              </w:rPr>
              <w:t>(B)</w:t>
            </w:r>
          </w:p>
        </w:tc>
        <w:tc>
          <w:tcPr>
            <w:tcW w:w="1200" w:type="dxa"/>
            <w:shd w:val="clear" w:color="auto" w:fill="E8EAF6"/>
          </w:tcPr>
          <w:p w14:paraId="4909CDEA" w14:textId="77777777" w:rsidR="00444E52" w:rsidRDefault="00B128D9" w:rsidP="00444E52">
            <w:pPr>
              <w:keepNext/>
              <w:jc w:val="center"/>
              <w:rPr>
                <w:b/>
                <w:bCs/>
                <w:sz w:val="18"/>
                <w:szCs w:val="18"/>
              </w:rPr>
            </w:pPr>
            <w:r>
              <w:rPr>
                <w:b/>
                <w:bCs/>
                <w:sz w:val="18"/>
                <w:szCs w:val="18"/>
              </w:rPr>
              <w:t>GA default</w:t>
            </w:r>
          </w:p>
          <w:p w14:paraId="00BD1C01" w14:textId="289DCE8D" w:rsidR="00B128D9" w:rsidRDefault="00B128D9" w:rsidP="00444E52">
            <w:pPr>
              <w:keepNext/>
              <w:jc w:val="center"/>
            </w:pPr>
            <w:r>
              <w:rPr>
                <w:b/>
                <w:bCs/>
                <w:sz w:val="18"/>
                <w:szCs w:val="18"/>
              </w:rPr>
              <w:t>(C)</w:t>
            </w:r>
          </w:p>
        </w:tc>
        <w:tc>
          <w:tcPr>
            <w:tcW w:w="1375" w:type="dxa"/>
            <w:shd w:val="clear" w:color="auto" w:fill="E8EAF6"/>
          </w:tcPr>
          <w:p w14:paraId="284F14C3" w14:textId="77777777" w:rsidR="00444E52" w:rsidRDefault="00B128D9" w:rsidP="00444E52">
            <w:pPr>
              <w:keepNext/>
              <w:jc w:val="center"/>
              <w:rPr>
                <w:b/>
                <w:bCs/>
                <w:sz w:val="18"/>
                <w:szCs w:val="18"/>
              </w:rPr>
            </w:pPr>
            <w:r>
              <w:rPr>
                <w:b/>
                <w:bCs/>
                <w:sz w:val="18"/>
                <w:szCs w:val="18"/>
              </w:rPr>
              <w:t>GA alt</w:t>
            </w:r>
            <w:r w:rsidR="00444E52">
              <w:rPr>
                <w:b/>
                <w:bCs/>
                <w:sz w:val="18"/>
                <w:szCs w:val="18"/>
              </w:rPr>
              <w:t>ernate</w:t>
            </w:r>
          </w:p>
          <w:p w14:paraId="00BF0C91" w14:textId="483B5C41" w:rsidR="00B128D9" w:rsidRDefault="00B128D9" w:rsidP="00444E52">
            <w:pPr>
              <w:keepNext/>
              <w:jc w:val="center"/>
            </w:pPr>
            <w:r>
              <w:rPr>
                <w:b/>
                <w:bCs/>
                <w:sz w:val="18"/>
                <w:szCs w:val="18"/>
              </w:rPr>
              <w:t>(D)</w:t>
            </w:r>
          </w:p>
        </w:tc>
      </w:tr>
      <w:tr w:rsidR="00B128D9" w14:paraId="0C000002" w14:textId="77777777" w:rsidTr="00444E52">
        <w:trPr>
          <w:jc w:val="center"/>
        </w:trPr>
        <w:tc>
          <w:tcPr>
            <w:tcW w:w="2155" w:type="dxa"/>
          </w:tcPr>
          <w:p w14:paraId="00B27081" w14:textId="77777777" w:rsidR="00B128D9" w:rsidRDefault="00B128D9" w:rsidP="00444E52">
            <w:pPr>
              <w:keepNext/>
              <w:jc w:val="center"/>
            </w:pPr>
            <w:r>
              <w:rPr>
                <w:sz w:val="18"/>
                <w:szCs w:val="18"/>
              </w:rPr>
              <w:t>backdoor-persistence</w:t>
            </w:r>
          </w:p>
        </w:tc>
        <w:tc>
          <w:tcPr>
            <w:tcW w:w="1260" w:type="dxa"/>
          </w:tcPr>
          <w:p w14:paraId="00BC6161" w14:textId="1213009D" w:rsidR="00B128D9" w:rsidRDefault="00B128D9" w:rsidP="00444E52">
            <w:pPr>
              <w:keepNext/>
              <w:jc w:val="center"/>
            </w:pPr>
            <w:r>
              <w:rPr>
                <w:sz w:val="18"/>
                <w:szCs w:val="18"/>
              </w:rPr>
              <w:t>100%</w:t>
            </w:r>
          </w:p>
        </w:tc>
        <w:tc>
          <w:tcPr>
            <w:tcW w:w="1385" w:type="dxa"/>
          </w:tcPr>
          <w:p w14:paraId="5AD9DDE6" w14:textId="7E0B35DD" w:rsidR="00B128D9" w:rsidRDefault="00B128D9" w:rsidP="00444E52">
            <w:pPr>
              <w:keepNext/>
              <w:jc w:val="center"/>
            </w:pPr>
            <w:r>
              <w:rPr>
                <w:sz w:val="18"/>
                <w:szCs w:val="18"/>
              </w:rPr>
              <w:t>100%</w:t>
            </w:r>
          </w:p>
        </w:tc>
        <w:tc>
          <w:tcPr>
            <w:tcW w:w="1200" w:type="dxa"/>
          </w:tcPr>
          <w:p w14:paraId="73229A17" w14:textId="0F1E4D48" w:rsidR="00B128D9" w:rsidRDefault="00B128D9" w:rsidP="00444E52">
            <w:pPr>
              <w:keepNext/>
              <w:jc w:val="center"/>
            </w:pPr>
            <w:r>
              <w:rPr>
                <w:sz w:val="18"/>
                <w:szCs w:val="18"/>
              </w:rPr>
              <w:t>100%</w:t>
            </w:r>
          </w:p>
        </w:tc>
        <w:tc>
          <w:tcPr>
            <w:tcW w:w="1375" w:type="dxa"/>
          </w:tcPr>
          <w:p w14:paraId="117E66E2" w14:textId="18878F83" w:rsidR="00B128D9" w:rsidRDefault="00B128D9" w:rsidP="00444E52">
            <w:pPr>
              <w:keepNext/>
              <w:jc w:val="center"/>
            </w:pPr>
            <w:r>
              <w:rPr>
                <w:sz w:val="18"/>
                <w:szCs w:val="18"/>
              </w:rPr>
              <w:t>100%</w:t>
            </w:r>
          </w:p>
        </w:tc>
      </w:tr>
      <w:tr w:rsidR="00B128D9" w14:paraId="0C000003" w14:textId="77777777" w:rsidTr="00444E52">
        <w:trPr>
          <w:jc w:val="center"/>
        </w:trPr>
        <w:tc>
          <w:tcPr>
            <w:tcW w:w="2155" w:type="dxa"/>
          </w:tcPr>
          <w:p w14:paraId="00B5B141" w14:textId="77777777" w:rsidR="00B128D9" w:rsidRDefault="00B128D9" w:rsidP="00444E52">
            <w:pPr>
              <w:keepNext/>
              <w:jc w:val="center"/>
            </w:pPr>
            <w:r>
              <w:rPr>
                <w:sz w:val="18"/>
                <w:szCs w:val="18"/>
              </w:rPr>
              <w:t>config-tampering</w:t>
            </w:r>
          </w:p>
        </w:tc>
        <w:tc>
          <w:tcPr>
            <w:tcW w:w="1260" w:type="dxa"/>
          </w:tcPr>
          <w:p w14:paraId="00B55001" w14:textId="23994B97" w:rsidR="00B128D9" w:rsidRDefault="00B128D9" w:rsidP="00444E52">
            <w:pPr>
              <w:keepNext/>
              <w:jc w:val="center"/>
            </w:pPr>
            <w:r>
              <w:rPr>
                <w:sz w:val="18"/>
                <w:szCs w:val="18"/>
              </w:rPr>
              <w:t>40%</w:t>
            </w:r>
          </w:p>
        </w:tc>
        <w:tc>
          <w:tcPr>
            <w:tcW w:w="1385" w:type="dxa"/>
          </w:tcPr>
          <w:p w14:paraId="393DAF9D" w14:textId="4AF59FC5" w:rsidR="00B128D9" w:rsidRDefault="00B128D9" w:rsidP="00444E52">
            <w:pPr>
              <w:keepNext/>
              <w:jc w:val="center"/>
            </w:pPr>
            <w:r>
              <w:rPr>
                <w:sz w:val="18"/>
                <w:szCs w:val="18"/>
              </w:rPr>
              <w:t>100%</w:t>
            </w:r>
          </w:p>
        </w:tc>
        <w:tc>
          <w:tcPr>
            <w:tcW w:w="1200" w:type="dxa"/>
          </w:tcPr>
          <w:p w14:paraId="0E86E6C4" w14:textId="4BFF2015" w:rsidR="00B128D9" w:rsidRDefault="00B128D9" w:rsidP="00444E52">
            <w:pPr>
              <w:keepNext/>
              <w:jc w:val="center"/>
            </w:pPr>
            <w:r>
              <w:rPr>
                <w:sz w:val="18"/>
                <w:szCs w:val="18"/>
              </w:rPr>
              <w:t>100%</w:t>
            </w:r>
          </w:p>
        </w:tc>
        <w:tc>
          <w:tcPr>
            <w:tcW w:w="1375" w:type="dxa"/>
          </w:tcPr>
          <w:p w14:paraId="00BC6BB1" w14:textId="77777777" w:rsidR="00B128D9" w:rsidRDefault="00B128D9" w:rsidP="00444E52">
            <w:pPr>
              <w:keepNext/>
              <w:jc w:val="center"/>
            </w:pPr>
            <w:r>
              <w:rPr>
                <w:sz w:val="18"/>
                <w:szCs w:val="18"/>
              </w:rPr>
              <w:t>66.7%</w:t>
            </w:r>
          </w:p>
        </w:tc>
      </w:tr>
      <w:tr w:rsidR="00B128D9" w14:paraId="0C000004" w14:textId="77777777" w:rsidTr="00444E52">
        <w:trPr>
          <w:jc w:val="center"/>
        </w:trPr>
        <w:tc>
          <w:tcPr>
            <w:tcW w:w="2155" w:type="dxa"/>
          </w:tcPr>
          <w:p w14:paraId="00BB16B1" w14:textId="77777777" w:rsidR="00B128D9" w:rsidRDefault="00B128D9" w:rsidP="00444E52">
            <w:pPr>
              <w:keepNext/>
              <w:jc w:val="center"/>
            </w:pPr>
            <w:r>
              <w:rPr>
                <w:sz w:val="18"/>
                <w:szCs w:val="18"/>
              </w:rPr>
              <w:t>container-escape</w:t>
            </w:r>
          </w:p>
        </w:tc>
        <w:tc>
          <w:tcPr>
            <w:tcW w:w="1260" w:type="dxa"/>
          </w:tcPr>
          <w:p w14:paraId="684FA0AD" w14:textId="157EA577" w:rsidR="00B128D9" w:rsidRDefault="00B128D9" w:rsidP="00444E52">
            <w:pPr>
              <w:keepNext/>
              <w:jc w:val="center"/>
            </w:pPr>
            <w:r>
              <w:rPr>
                <w:sz w:val="18"/>
                <w:szCs w:val="18"/>
              </w:rPr>
              <w:t>100%</w:t>
            </w:r>
          </w:p>
        </w:tc>
        <w:tc>
          <w:tcPr>
            <w:tcW w:w="1385" w:type="dxa"/>
          </w:tcPr>
          <w:p w14:paraId="51D404E2" w14:textId="369E85EC" w:rsidR="00B128D9" w:rsidRDefault="00B128D9" w:rsidP="00444E52">
            <w:pPr>
              <w:keepNext/>
              <w:jc w:val="center"/>
            </w:pPr>
            <w:r>
              <w:rPr>
                <w:sz w:val="18"/>
                <w:szCs w:val="18"/>
              </w:rPr>
              <w:t>100%</w:t>
            </w:r>
          </w:p>
        </w:tc>
        <w:tc>
          <w:tcPr>
            <w:tcW w:w="1200" w:type="dxa"/>
          </w:tcPr>
          <w:p w14:paraId="4DCC2B7E" w14:textId="7A847158" w:rsidR="00B128D9" w:rsidRDefault="00B128D9" w:rsidP="00444E52">
            <w:pPr>
              <w:keepNext/>
              <w:jc w:val="center"/>
            </w:pPr>
            <w:r>
              <w:rPr>
                <w:sz w:val="18"/>
                <w:szCs w:val="18"/>
              </w:rPr>
              <w:t>100%</w:t>
            </w:r>
          </w:p>
        </w:tc>
        <w:tc>
          <w:tcPr>
            <w:tcW w:w="1375" w:type="dxa"/>
          </w:tcPr>
          <w:p w14:paraId="2CAD4F00" w14:textId="45FD292A" w:rsidR="00B128D9" w:rsidRDefault="00B128D9" w:rsidP="00444E52">
            <w:pPr>
              <w:keepNext/>
              <w:jc w:val="center"/>
            </w:pPr>
            <w:r>
              <w:rPr>
                <w:sz w:val="18"/>
                <w:szCs w:val="18"/>
              </w:rPr>
              <w:t>100%</w:t>
            </w:r>
          </w:p>
        </w:tc>
      </w:tr>
      <w:tr w:rsidR="00B128D9" w14:paraId="0C000005" w14:textId="77777777" w:rsidTr="00444E52">
        <w:trPr>
          <w:jc w:val="center"/>
        </w:trPr>
        <w:tc>
          <w:tcPr>
            <w:tcW w:w="2155" w:type="dxa"/>
          </w:tcPr>
          <w:p w14:paraId="00BE3B81" w14:textId="77777777" w:rsidR="00B128D9" w:rsidRDefault="00B128D9" w:rsidP="00444E52">
            <w:pPr>
              <w:keepNext/>
              <w:jc w:val="center"/>
            </w:pPr>
            <w:r>
              <w:rPr>
                <w:sz w:val="18"/>
                <w:szCs w:val="18"/>
              </w:rPr>
              <w:t>credential-exfiltration</w:t>
            </w:r>
          </w:p>
        </w:tc>
        <w:tc>
          <w:tcPr>
            <w:tcW w:w="1260" w:type="dxa"/>
          </w:tcPr>
          <w:p w14:paraId="00B3F531" w14:textId="1C211530" w:rsidR="00B128D9" w:rsidRDefault="00B128D9" w:rsidP="00444E52">
            <w:pPr>
              <w:keepNext/>
              <w:jc w:val="center"/>
            </w:pPr>
            <w:r>
              <w:rPr>
                <w:sz w:val="18"/>
                <w:szCs w:val="18"/>
              </w:rPr>
              <w:t>90%</w:t>
            </w:r>
          </w:p>
        </w:tc>
        <w:tc>
          <w:tcPr>
            <w:tcW w:w="1385" w:type="dxa"/>
          </w:tcPr>
          <w:p w14:paraId="0FBC7EC1" w14:textId="3C369F9D" w:rsidR="00B128D9" w:rsidRDefault="00B128D9" w:rsidP="00444E52">
            <w:pPr>
              <w:keepNext/>
              <w:jc w:val="center"/>
            </w:pPr>
            <w:r>
              <w:rPr>
                <w:sz w:val="18"/>
                <w:szCs w:val="18"/>
              </w:rPr>
              <w:t>100%</w:t>
            </w:r>
          </w:p>
        </w:tc>
        <w:tc>
          <w:tcPr>
            <w:tcW w:w="1200" w:type="dxa"/>
          </w:tcPr>
          <w:p w14:paraId="4D577E17" w14:textId="16962753" w:rsidR="00B128D9" w:rsidRDefault="00B128D9" w:rsidP="00444E52">
            <w:pPr>
              <w:keepNext/>
              <w:jc w:val="center"/>
            </w:pPr>
            <w:r>
              <w:rPr>
                <w:sz w:val="18"/>
                <w:szCs w:val="18"/>
              </w:rPr>
              <w:t>100%</w:t>
            </w:r>
          </w:p>
        </w:tc>
        <w:tc>
          <w:tcPr>
            <w:tcW w:w="1375" w:type="dxa"/>
          </w:tcPr>
          <w:p w14:paraId="308D193D" w14:textId="196F541A" w:rsidR="00B128D9" w:rsidRDefault="00B128D9" w:rsidP="00444E52">
            <w:pPr>
              <w:keepNext/>
              <w:jc w:val="center"/>
            </w:pPr>
            <w:r>
              <w:rPr>
                <w:sz w:val="18"/>
                <w:szCs w:val="18"/>
              </w:rPr>
              <w:t>100%</w:t>
            </w:r>
          </w:p>
        </w:tc>
      </w:tr>
      <w:tr w:rsidR="00B128D9" w14:paraId="0C000006" w14:textId="77777777" w:rsidTr="00444E52">
        <w:trPr>
          <w:jc w:val="center"/>
        </w:trPr>
        <w:tc>
          <w:tcPr>
            <w:tcW w:w="2155" w:type="dxa"/>
          </w:tcPr>
          <w:p w14:paraId="00B5AD71" w14:textId="77777777" w:rsidR="00B128D9" w:rsidRDefault="00B128D9" w:rsidP="00444E52">
            <w:pPr>
              <w:keepNext/>
              <w:jc w:val="center"/>
            </w:pPr>
            <w:r>
              <w:rPr>
                <w:sz w:val="18"/>
                <w:szCs w:val="18"/>
              </w:rPr>
              <w:t>data-destruction</w:t>
            </w:r>
          </w:p>
        </w:tc>
        <w:tc>
          <w:tcPr>
            <w:tcW w:w="1260" w:type="dxa"/>
          </w:tcPr>
          <w:p w14:paraId="300E0DAE" w14:textId="5EFA1EB8" w:rsidR="00B128D9" w:rsidRDefault="00B128D9" w:rsidP="00444E52">
            <w:pPr>
              <w:keepNext/>
              <w:jc w:val="center"/>
            </w:pPr>
            <w:r>
              <w:rPr>
                <w:sz w:val="18"/>
                <w:szCs w:val="18"/>
              </w:rPr>
              <w:t>100%</w:t>
            </w:r>
          </w:p>
        </w:tc>
        <w:tc>
          <w:tcPr>
            <w:tcW w:w="1385" w:type="dxa"/>
          </w:tcPr>
          <w:p w14:paraId="00BCA6B1" w14:textId="3C79584E" w:rsidR="00B128D9" w:rsidRDefault="00B128D9" w:rsidP="00444E52">
            <w:pPr>
              <w:keepNext/>
              <w:jc w:val="center"/>
            </w:pPr>
            <w:r>
              <w:rPr>
                <w:sz w:val="18"/>
                <w:szCs w:val="18"/>
              </w:rPr>
              <w:t>0%</w:t>
            </w:r>
          </w:p>
        </w:tc>
        <w:tc>
          <w:tcPr>
            <w:tcW w:w="1200" w:type="dxa"/>
          </w:tcPr>
          <w:p w14:paraId="262FA1DB" w14:textId="163D6B8D" w:rsidR="00B128D9" w:rsidRDefault="00B128D9" w:rsidP="00444E52">
            <w:pPr>
              <w:keepNext/>
              <w:jc w:val="center"/>
            </w:pPr>
            <w:r>
              <w:rPr>
                <w:sz w:val="18"/>
                <w:szCs w:val="18"/>
              </w:rPr>
              <w:t>90%</w:t>
            </w:r>
          </w:p>
        </w:tc>
        <w:tc>
          <w:tcPr>
            <w:tcW w:w="1375" w:type="dxa"/>
          </w:tcPr>
          <w:p w14:paraId="0C6119A4" w14:textId="4D53B113" w:rsidR="00B128D9" w:rsidRDefault="00B128D9" w:rsidP="00444E52">
            <w:pPr>
              <w:keepNext/>
              <w:jc w:val="center"/>
            </w:pPr>
            <w:r>
              <w:rPr>
                <w:sz w:val="18"/>
                <w:szCs w:val="18"/>
              </w:rPr>
              <w:t>90%</w:t>
            </w:r>
          </w:p>
        </w:tc>
      </w:tr>
      <w:tr w:rsidR="00B128D9" w14:paraId="0C000007" w14:textId="77777777" w:rsidTr="00444E52">
        <w:trPr>
          <w:jc w:val="center"/>
        </w:trPr>
        <w:tc>
          <w:tcPr>
            <w:tcW w:w="2155" w:type="dxa"/>
          </w:tcPr>
          <w:p w14:paraId="00BC1AD1" w14:textId="77777777" w:rsidR="00B128D9" w:rsidRDefault="00B128D9" w:rsidP="00444E52">
            <w:pPr>
              <w:keepNext/>
              <w:jc w:val="center"/>
            </w:pPr>
            <w:r>
              <w:rPr>
                <w:sz w:val="18"/>
                <w:szCs w:val="18"/>
              </w:rPr>
              <w:t>data-modification</w:t>
            </w:r>
          </w:p>
        </w:tc>
        <w:tc>
          <w:tcPr>
            <w:tcW w:w="1260" w:type="dxa"/>
          </w:tcPr>
          <w:p w14:paraId="04215C35" w14:textId="1EBD103A" w:rsidR="00B128D9" w:rsidRDefault="00B128D9" w:rsidP="00444E52">
            <w:pPr>
              <w:keepNext/>
              <w:jc w:val="center"/>
            </w:pPr>
            <w:r>
              <w:rPr>
                <w:sz w:val="18"/>
                <w:szCs w:val="18"/>
              </w:rPr>
              <w:t>100%</w:t>
            </w:r>
          </w:p>
        </w:tc>
        <w:tc>
          <w:tcPr>
            <w:tcW w:w="1385" w:type="dxa"/>
          </w:tcPr>
          <w:p w14:paraId="0EDB1681" w14:textId="5624513E" w:rsidR="00B128D9" w:rsidRDefault="00B128D9" w:rsidP="00444E52">
            <w:pPr>
              <w:keepNext/>
              <w:jc w:val="center"/>
            </w:pPr>
            <w:r>
              <w:rPr>
                <w:sz w:val="18"/>
                <w:szCs w:val="18"/>
              </w:rPr>
              <w:t>0%</w:t>
            </w:r>
          </w:p>
        </w:tc>
        <w:tc>
          <w:tcPr>
            <w:tcW w:w="1200" w:type="dxa"/>
          </w:tcPr>
          <w:p w14:paraId="05FAFDA7" w14:textId="4A4D9F00" w:rsidR="00B128D9" w:rsidRDefault="00B128D9" w:rsidP="00444E52">
            <w:pPr>
              <w:keepNext/>
              <w:jc w:val="center"/>
            </w:pPr>
            <w:r>
              <w:rPr>
                <w:sz w:val="18"/>
                <w:szCs w:val="18"/>
              </w:rPr>
              <w:t>100%</w:t>
            </w:r>
          </w:p>
        </w:tc>
        <w:tc>
          <w:tcPr>
            <w:tcW w:w="1375" w:type="dxa"/>
          </w:tcPr>
          <w:p w14:paraId="08E19848" w14:textId="1ED996EC" w:rsidR="00B128D9" w:rsidRDefault="00B128D9" w:rsidP="00444E52">
            <w:pPr>
              <w:keepNext/>
              <w:jc w:val="center"/>
            </w:pPr>
            <w:r>
              <w:rPr>
                <w:sz w:val="18"/>
                <w:szCs w:val="18"/>
              </w:rPr>
              <w:t>90%</w:t>
            </w:r>
          </w:p>
        </w:tc>
      </w:tr>
      <w:tr w:rsidR="00B128D9" w14:paraId="0C000008" w14:textId="77777777" w:rsidTr="00444E52">
        <w:trPr>
          <w:jc w:val="center"/>
        </w:trPr>
        <w:tc>
          <w:tcPr>
            <w:tcW w:w="2155" w:type="dxa"/>
          </w:tcPr>
          <w:p w14:paraId="00BB6351" w14:textId="77777777" w:rsidR="00B128D9" w:rsidRDefault="00B128D9" w:rsidP="00444E52">
            <w:pPr>
              <w:keepNext/>
              <w:jc w:val="center"/>
            </w:pPr>
            <w:r>
              <w:rPr>
                <w:sz w:val="18"/>
                <w:szCs w:val="18"/>
              </w:rPr>
              <w:t>environment-manipulation</w:t>
            </w:r>
          </w:p>
        </w:tc>
        <w:tc>
          <w:tcPr>
            <w:tcW w:w="1260" w:type="dxa"/>
          </w:tcPr>
          <w:p w14:paraId="519BC6DD" w14:textId="1C7F9FFF" w:rsidR="00B128D9" w:rsidRDefault="00B128D9" w:rsidP="00444E52">
            <w:pPr>
              <w:keepNext/>
              <w:jc w:val="center"/>
            </w:pPr>
            <w:r>
              <w:rPr>
                <w:sz w:val="18"/>
                <w:szCs w:val="18"/>
              </w:rPr>
              <w:t>100%</w:t>
            </w:r>
          </w:p>
        </w:tc>
        <w:tc>
          <w:tcPr>
            <w:tcW w:w="1385" w:type="dxa"/>
          </w:tcPr>
          <w:p w14:paraId="00BF06C1" w14:textId="6729BF51" w:rsidR="00B128D9" w:rsidRDefault="00B128D9" w:rsidP="00444E52">
            <w:pPr>
              <w:keepNext/>
              <w:jc w:val="center"/>
            </w:pPr>
            <w:r>
              <w:rPr>
                <w:sz w:val="18"/>
                <w:szCs w:val="18"/>
              </w:rPr>
              <w:t>20%</w:t>
            </w:r>
          </w:p>
        </w:tc>
        <w:tc>
          <w:tcPr>
            <w:tcW w:w="1200" w:type="dxa"/>
          </w:tcPr>
          <w:p w14:paraId="6028FBC7" w14:textId="479D83C8" w:rsidR="00B128D9" w:rsidRDefault="00B128D9" w:rsidP="00444E52">
            <w:pPr>
              <w:keepNext/>
              <w:jc w:val="center"/>
            </w:pPr>
            <w:r>
              <w:rPr>
                <w:sz w:val="18"/>
                <w:szCs w:val="18"/>
              </w:rPr>
              <w:t>100%</w:t>
            </w:r>
          </w:p>
        </w:tc>
        <w:tc>
          <w:tcPr>
            <w:tcW w:w="1375" w:type="dxa"/>
          </w:tcPr>
          <w:p w14:paraId="1F4FE5ED" w14:textId="00D56514" w:rsidR="00B128D9" w:rsidRDefault="00B128D9" w:rsidP="00444E52">
            <w:pPr>
              <w:keepNext/>
              <w:jc w:val="center"/>
            </w:pPr>
            <w:r>
              <w:rPr>
                <w:sz w:val="18"/>
                <w:szCs w:val="18"/>
              </w:rPr>
              <w:t>100%</w:t>
            </w:r>
          </w:p>
        </w:tc>
      </w:tr>
      <w:tr w:rsidR="00B128D9" w14:paraId="0C000009" w14:textId="77777777" w:rsidTr="00444E52">
        <w:trPr>
          <w:jc w:val="center"/>
        </w:trPr>
        <w:tc>
          <w:tcPr>
            <w:tcW w:w="2155" w:type="dxa"/>
          </w:tcPr>
          <w:p w14:paraId="00BBB071" w14:textId="77777777" w:rsidR="00B128D9" w:rsidRDefault="00B128D9" w:rsidP="00444E52">
            <w:pPr>
              <w:keepNext/>
              <w:jc w:val="center"/>
            </w:pPr>
            <w:r>
              <w:rPr>
                <w:sz w:val="18"/>
                <w:szCs w:val="18"/>
              </w:rPr>
              <w:t>information-disclosure</w:t>
            </w:r>
          </w:p>
        </w:tc>
        <w:tc>
          <w:tcPr>
            <w:tcW w:w="1260" w:type="dxa"/>
          </w:tcPr>
          <w:p w14:paraId="57346666" w14:textId="15936671" w:rsidR="00B128D9" w:rsidRDefault="00B128D9" w:rsidP="00444E52">
            <w:pPr>
              <w:keepNext/>
              <w:jc w:val="center"/>
            </w:pPr>
            <w:r>
              <w:rPr>
                <w:sz w:val="18"/>
                <w:szCs w:val="18"/>
              </w:rPr>
              <w:t>100%</w:t>
            </w:r>
          </w:p>
        </w:tc>
        <w:tc>
          <w:tcPr>
            <w:tcW w:w="1385" w:type="dxa"/>
          </w:tcPr>
          <w:p w14:paraId="104944D4" w14:textId="52CDBD0A" w:rsidR="00B128D9" w:rsidRDefault="00B128D9" w:rsidP="00444E52">
            <w:pPr>
              <w:keepNext/>
              <w:jc w:val="center"/>
            </w:pPr>
            <w:r>
              <w:rPr>
                <w:sz w:val="18"/>
                <w:szCs w:val="18"/>
              </w:rPr>
              <w:t>100%</w:t>
            </w:r>
          </w:p>
        </w:tc>
        <w:tc>
          <w:tcPr>
            <w:tcW w:w="1200" w:type="dxa"/>
          </w:tcPr>
          <w:p w14:paraId="65E23076" w14:textId="39DA129F" w:rsidR="00B128D9" w:rsidRDefault="00B128D9" w:rsidP="00444E52">
            <w:pPr>
              <w:keepNext/>
              <w:jc w:val="center"/>
            </w:pPr>
            <w:r>
              <w:rPr>
                <w:sz w:val="18"/>
                <w:szCs w:val="18"/>
              </w:rPr>
              <w:t>100%</w:t>
            </w:r>
          </w:p>
        </w:tc>
        <w:tc>
          <w:tcPr>
            <w:tcW w:w="1375" w:type="dxa"/>
          </w:tcPr>
          <w:p w14:paraId="316A0898" w14:textId="7E0921CB" w:rsidR="00B128D9" w:rsidRDefault="00B128D9" w:rsidP="00444E52">
            <w:pPr>
              <w:keepNext/>
              <w:jc w:val="center"/>
            </w:pPr>
            <w:r>
              <w:rPr>
                <w:sz w:val="18"/>
                <w:szCs w:val="18"/>
              </w:rPr>
              <w:t>100%</w:t>
            </w:r>
          </w:p>
        </w:tc>
      </w:tr>
      <w:tr w:rsidR="00B128D9" w14:paraId="0C00000A" w14:textId="77777777" w:rsidTr="00444E52">
        <w:trPr>
          <w:jc w:val="center"/>
        </w:trPr>
        <w:tc>
          <w:tcPr>
            <w:tcW w:w="2155" w:type="dxa"/>
          </w:tcPr>
          <w:p w14:paraId="00B86271" w14:textId="77777777" w:rsidR="00B128D9" w:rsidRDefault="00B128D9" w:rsidP="00444E52">
            <w:pPr>
              <w:keepNext/>
              <w:jc w:val="center"/>
            </w:pPr>
            <w:r>
              <w:rPr>
                <w:sz w:val="18"/>
                <w:szCs w:val="18"/>
              </w:rPr>
              <w:t>log-tampering</w:t>
            </w:r>
          </w:p>
        </w:tc>
        <w:tc>
          <w:tcPr>
            <w:tcW w:w="1260" w:type="dxa"/>
          </w:tcPr>
          <w:p w14:paraId="00B40D81" w14:textId="3F626640" w:rsidR="00B128D9" w:rsidRDefault="00B128D9" w:rsidP="00444E52">
            <w:pPr>
              <w:keepNext/>
              <w:jc w:val="center"/>
            </w:pPr>
            <w:r>
              <w:rPr>
                <w:sz w:val="18"/>
                <w:szCs w:val="18"/>
              </w:rPr>
              <w:t>80%</w:t>
            </w:r>
          </w:p>
        </w:tc>
        <w:tc>
          <w:tcPr>
            <w:tcW w:w="1385" w:type="dxa"/>
          </w:tcPr>
          <w:p w14:paraId="4BD86E02" w14:textId="3CF988AE" w:rsidR="00B128D9" w:rsidRDefault="00B128D9" w:rsidP="00444E52">
            <w:pPr>
              <w:keepNext/>
              <w:jc w:val="center"/>
            </w:pPr>
            <w:r>
              <w:rPr>
                <w:sz w:val="18"/>
                <w:szCs w:val="18"/>
              </w:rPr>
              <w:t>20%</w:t>
            </w:r>
          </w:p>
        </w:tc>
        <w:tc>
          <w:tcPr>
            <w:tcW w:w="1200" w:type="dxa"/>
          </w:tcPr>
          <w:p w14:paraId="490124CF" w14:textId="4BFD5679" w:rsidR="00B128D9" w:rsidRDefault="00B128D9" w:rsidP="00444E52">
            <w:pPr>
              <w:keepNext/>
              <w:jc w:val="center"/>
            </w:pPr>
            <w:r>
              <w:rPr>
                <w:sz w:val="18"/>
                <w:szCs w:val="18"/>
              </w:rPr>
              <w:t>100%</w:t>
            </w:r>
          </w:p>
        </w:tc>
        <w:tc>
          <w:tcPr>
            <w:tcW w:w="1375" w:type="dxa"/>
          </w:tcPr>
          <w:p w14:paraId="4BEDEA1F" w14:textId="50EB42F0" w:rsidR="00B128D9" w:rsidRDefault="00B128D9" w:rsidP="00444E52">
            <w:pPr>
              <w:keepNext/>
              <w:jc w:val="center"/>
            </w:pPr>
            <w:r>
              <w:rPr>
                <w:sz w:val="18"/>
                <w:szCs w:val="18"/>
              </w:rPr>
              <w:t>100%</w:t>
            </w:r>
          </w:p>
        </w:tc>
      </w:tr>
      <w:tr w:rsidR="00B128D9" w14:paraId="0C00000B" w14:textId="77777777" w:rsidTr="00444E52">
        <w:trPr>
          <w:jc w:val="center"/>
        </w:trPr>
        <w:tc>
          <w:tcPr>
            <w:tcW w:w="2155" w:type="dxa"/>
          </w:tcPr>
          <w:p w14:paraId="00B10151" w14:textId="77777777" w:rsidR="00B128D9" w:rsidRDefault="00B128D9" w:rsidP="00444E52">
            <w:pPr>
              <w:keepNext/>
              <w:jc w:val="center"/>
            </w:pPr>
            <w:r>
              <w:rPr>
                <w:sz w:val="18"/>
                <w:szCs w:val="18"/>
              </w:rPr>
              <w:t>privilege-escalation</w:t>
            </w:r>
          </w:p>
        </w:tc>
        <w:tc>
          <w:tcPr>
            <w:tcW w:w="1260" w:type="dxa"/>
          </w:tcPr>
          <w:p w14:paraId="013B87B3" w14:textId="6C73C900" w:rsidR="00B128D9" w:rsidRDefault="00B128D9" w:rsidP="00444E52">
            <w:pPr>
              <w:keepNext/>
              <w:jc w:val="center"/>
            </w:pPr>
            <w:r>
              <w:rPr>
                <w:sz w:val="18"/>
                <w:szCs w:val="18"/>
              </w:rPr>
              <w:t>90%</w:t>
            </w:r>
          </w:p>
        </w:tc>
        <w:tc>
          <w:tcPr>
            <w:tcW w:w="1385" w:type="dxa"/>
          </w:tcPr>
          <w:p w14:paraId="63D188BC" w14:textId="30F300B5" w:rsidR="00B128D9" w:rsidRDefault="00B128D9" w:rsidP="00444E52">
            <w:pPr>
              <w:keepNext/>
              <w:jc w:val="center"/>
            </w:pPr>
            <w:r>
              <w:rPr>
                <w:sz w:val="18"/>
                <w:szCs w:val="18"/>
              </w:rPr>
              <w:t>20%</w:t>
            </w:r>
          </w:p>
        </w:tc>
        <w:tc>
          <w:tcPr>
            <w:tcW w:w="1200" w:type="dxa"/>
          </w:tcPr>
          <w:p w14:paraId="787782AA" w14:textId="756EF565" w:rsidR="00B128D9" w:rsidRDefault="00B128D9" w:rsidP="00444E52">
            <w:pPr>
              <w:keepNext/>
              <w:jc w:val="center"/>
            </w:pPr>
            <w:r>
              <w:rPr>
                <w:sz w:val="18"/>
                <w:szCs w:val="18"/>
              </w:rPr>
              <w:t>100%</w:t>
            </w:r>
          </w:p>
        </w:tc>
        <w:tc>
          <w:tcPr>
            <w:tcW w:w="1375" w:type="dxa"/>
          </w:tcPr>
          <w:p w14:paraId="1BDCAE6B" w14:textId="3CC91522" w:rsidR="00B128D9" w:rsidRDefault="00B128D9" w:rsidP="00444E52">
            <w:pPr>
              <w:keepNext/>
              <w:jc w:val="center"/>
            </w:pPr>
            <w:r>
              <w:rPr>
                <w:sz w:val="18"/>
                <w:szCs w:val="18"/>
              </w:rPr>
              <w:t>100%</w:t>
            </w:r>
          </w:p>
        </w:tc>
      </w:tr>
      <w:tr w:rsidR="00B128D9" w14:paraId="0C00000C" w14:textId="77777777" w:rsidTr="00444E52">
        <w:trPr>
          <w:jc w:val="center"/>
        </w:trPr>
        <w:tc>
          <w:tcPr>
            <w:tcW w:w="2155" w:type="dxa"/>
          </w:tcPr>
          <w:p w14:paraId="00B58401" w14:textId="77777777" w:rsidR="00B128D9" w:rsidRDefault="00B128D9" w:rsidP="00444E52">
            <w:pPr>
              <w:keepNext/>
              <w:jc w:val="center"/>
            </w:pPr>
            <w:r>
              <w:rPr>
                <w:sz w:val="18"/>
                <w:szCs w:val="18"/>
              </w:rPr>
              <w:t>prompt-injection</w:t>
            </w:r>
          </w:p>
        </w:tc>
        <w:tc>
          <w:tcPr>
            <w:tcW w:w="1260" w:type="dxa"/>
          </w:tcPr>
          <w:p w14:paraId="7C1BFFAE" w14:textId="093C9358" w:rsidR="00B128D9" w:rsidRDefault="00B128D9" w:rsidP="00444E52">
            <w:pPr>
              <w:keepNext/>
              <w:jc w:val="center"/>
            </w:pPr>
            <w:r>
              <w:rPr>
                <w:sz w:val="18"/>
                <w:szCs w:val="18"/>
              </w:rPr>
              <w:t>90%</w:t>
            </w:r>
          </w:p>
        </w:tc>
        <w:tc>
          <w:tcPr>
            <w:tcW w:w="1385" w:type="dxa"/>
          </w:tcPr>
          <w:p w14:paraId="00B5A6E1" w14:textId="73ED5036" w:rsidR="00B128D9" w:rsidRDefault="00B128D9" w:rsidP="00444E52">
            <w:pPr>
              <w:keepNext/>
              <w:jc w:val="center"/>
            </w:pPr>
            <w:r>
              <w:rPr>
                <w:sz w:val="18"/>
                <w:szCs w:val="18"/>
              </w:rPr>
              <w:t>70%</w:t>
            </w:r>
          </w:p>
        </w:tc>
        <w:tc>
          <w:tcPr>
            <w:tcW w:w="1200" w:type="dxa"/>
          </w:tcPr>
          <w:p w14:paraId="592CBAFC" w14:textId="722B1F20" w:rsidR="00B128D9" w:rsidRDefault="00B128D9" w:rsidP="00444E52">
            <w:pPr>
              <w:keepNext/>
              <w:jc w:val="center"/>
            </w:pPr>
            <w:r>
              <w:rPr>
                <w:sz w:val="18"/>
                <w:szCs w:val="18"/>
              </w:rPr>
              <w:t>100%</w:t>
            </w:r>
          </w:p>
        </w:tc>
        <w:tc>
          <w:tcPr>
            <w:tcW w:w="1375" w:type="dxa"/>
          </w:tcPr>
          <w:p w14:paraId="240E2A4B" w14:textId="7B560409" w:rsidR="00B128D9" w:rsidRDefault="00B128D9" w:rsidP="00444E52">
            <w:pPr>
              <w:keepNext/>
              <w:jc w:val="center"/>
            </w:pPr>
            <w:r>
              <w:rPr>
                <w:sz w:val="18"/>
                <w:szCs w:val="18"/>
              </w:rPr>
              <w:t>100%</w:t>
            </w:r>
          </w:p>
        </w:tc>
      </w:tr>
      <w:tr w:rsidR="00B128D9" w14:paraId="0C00000D" w14:textId="77777777" w:rsidTr="00444E52">
        <w:trPr>
          <w:jc w:val="center"/>
        </w:trPr>
        <w:tc>
          <w:tcPr>
            <w:tcW w:w="2155" w:type="dxa"/>
          </w:tcPr>
          <w:p w14:paraId="00BBD271" w14:textId="77777777" w:rsidR="00B128D9" w:rsidRDefault="00B128D9" w:rsidP="00444E52">
            <w:pPr>
              <w:keepNext/>
              <w:jc w:val="center"/>
            </w:pPr>
            <w:r>
              <w:rPr>
                <w:sz w:val="18"/>
                <w:szCs w:val="18"/>
              </w:rPr>
              <w:t>remote-code-execution</w:t>
            </w:r>
          </w:p>
        </w:tc>
        <w:tc>
          <w:tcPr>
            <w:tcW w:w="1260" w:type="dxa"/>
          </w:tcPr>
          <w:p w14:paraId="4E79436E" w14:textId="2DE5BF63" w:rsidR="00B128D9" w:rsidRDefault="00B128D9" w:rsidP="00444E52">
            <w:pPr>
              <w:keepNext/>
              <w:jc w:val="center"/>
            </w:pPr>
            <w:r>
              <w:rPr>
                <w:sz w:val="18"/>
                <w:szCs w:val="18"/>
              </w:rPr>
              <w:t>100%</w:t>
            </w:r>
          </w:p>
        </w:tc>
        <w:tc>
          <w:tcPr>
            <w:tcW w:w="1385" w:type="dxa"/>
          </w:tcPr>
          <w:p w14:paraId="1D1CB80B" w14:textId="61EC0504" w:rsidR="00B128D9" w:rsidRDefault="00B128D9" w:rsidP="00444E52">
            <w:pPr>
              <w:keepNext/>
              <w:jc w:val="center"/>
            </w:pPr>
            <w:r>
              <w:rPr>
                <w:sz w:val="18"/>
                <w:szCs w:val="18"/>
              </w:rPr>
              <w:t>40%</w:t>
            </w:r>
          </w:p>
        </w:tc>
        <w:tc>
          <w:tcPr>
            <w:tcW w:w="1200" w:type="dxa"/>
          </w:tcPr>
          <w:p w14:paraId="71CD32BE" w14:textId="3689524E" w:rsidR="00B128D9" w:rsidRDefault="00B128D9" w:rsidP="00444E52">
            <w:pPr>
              <w:keepNext/>
              <w:jc w:val="center"/>
            </w:pPr>
            <w:r>
              <w:rPr>
                <w:sz w:val="18"/>
                <w:szCs w:val="18"/>
              </w:rPr>
              <w:t>100%</w:t>
            </w:r>
          </w:p>
        </w:tc>
        <w:tc>
          <w:tcPr>
            <w:tcW w:w="1375" w:type="dxa"/>
          </w:tcPr>
          <w:p w14:paraId="68209E6E" w14:textId="4D274ABC" w:rsidR="00B128D9" w:rsidRDefault="00B128D9" w:rsidP="00444E52">
            <w:pPr>
              <w:keepNext/>
              <w:jc w:val="center"/>
            </w:pPr>
            <w:r>
              <w:rPr>
                <w:sz w:val="18"/>
                <w:szCs w:val="18"/>
              </w:rPr>
              <w:t>100%</w:t>
            </w:r>
          </w:p>
        </w:tc>
      </w:tr>
      <w:tr w:rsidR="00B128D9" w14:paraId="0C00000E" w14:textId="77777777" w:rsidTr="00444E52">
        <w:trPr>
          <w:jc w:val="center"/>
        </w:trPr>
        <w:tc>
          <w:tcPr>
            <w:tcW w:w="2155" w:type="dxa"/>
          </w:tcPr>
          <w:p w14:paraId="00B109C1" w14:textId="77777777" w:rsidR="00B128D9" w:rsidRDefault="00B128D9" w:rsidP="00444E52">
            <w:pPr>
              <w:keepNext/>
              <w:jc w:val="center"/>
            </w:pPr>
            <w:r>
              <w:rPr>
                <w:sz w:val="18"/>
                <w:szCs w:val="18"/>
              </w:rPr>
              <w:t>resource-exhaustion</w:t>
            </w:r>
          </w:p>
        </w:tc>
        <w:tc>
          <w:tcPr>
            <w:tcW w:w="1260" w:type="dxa"/>
          </w:tcPr>
          <w:p w14:paraId="466AC218" w14:textId="776AE450" w:rsidR="00B128D9" w:rsidRDefault="00B128D9" w:rsidP="00444E52">
            <w:pPr>
              <w:keepNext/>
              <w:jc w:val="center"/>
            </w:pPr>
            <w:r>
              <w:rPr>
                <w:sz w:val="18"/>
                <w:szCs w:val="18"/>
              </w:rPr>
              <w:t>100%</w:t>
            </w:r>
          </w:p>
        </w:tc>
        <w:tc>
          <w:tcPr>
            <w:tcW w:w="1385" w:type="dxa"/>
          </w:tcPr>
          <w:p w14:paraId="00B8A8F1" w14:textId="5AC5BEFB" w:rsidR="00B128D9" w:rsidRDefault="00B128D9" w:rsidP="00444E52">
            <w:pPr>
              <w:keepNext/>
              <w:jc w:val="center"/>
            </w:pPr>
            <w:r>
              <w:rPr>
                <w:sz w:val="18"/>
                <w:szCs w:val="18"/>
              </w:rPr>
              <w:t>75%</w:t>
            </w:r>
          </w:p>
        </w:tc>
        <w:tc>
          <w:tcPr>
            <w:tcW w:w="1200" w:type="dxa"/>
          </w:tcPr>
          <w:p w14:paraId="08A4EE49" w14:textId="6F3C8F01" w:rsidR="00B128D9" w:rsidRDefault="00B128D9" w:rsidP="00444E52">
            <w:pPr>
              <w:keepNext/>
              <w:jc w:val="center"/>
            </w:pPr>
            <w:r>
              <w:rPr>
                <w:sz w:val="18"/>
                <w:szCs w:val="18"/>
              </w:rPr>
              <w:t>100%</w:t>
            </w:r>
          </w:p>
        </w:tc>
        <w:tc>
          <w:tcPr>
            <w:tcW w:w="1375" w:type="dxa"/>
          </w:tcPr>
          <w:p w14:paraId="3A5618A6" w14:textId="014701D1" w:rsidR="00B128D9" w:rsidRDefault="00B128D9" w:rsidP="00444E52">
            <w:pPr>
              <w:keepNext/>
              <w:jc w:val="center"/>
            </w:pPr>
            <w:r>
              <w:rPr>
                <w:sz w:val="18"/>
                <w:szCs w:val="18"/>
              </w:rPr>
              <w:t>100%</w:t>
            </w:r>
          </w:p>
        </w:tc>
      </w:tr>
      <w:tr w:rsidR="00B128D9" w14:paraId="0C00000F" w14:textId="77777777" w:rsidTr="00444E52">
        <w:trPr>
          <w:jc w:val="center"/>
        </w:trPr>
        <w:tc>
          <w:tcPr>
            <w:tcW w:w="2155" w:type="dxa"/>
          </w:tcPr>
          <w:p w14:paraId="00B3B8C1" w14:textId="77777777" w:rsidR="00B128D9" w:rsidRDefault="00B128D9" w:rsidP="00444E52">
            <w:pPr>
              <w:keepNext/>
              <w:jc w:val="center"/>
            </w:pPr>
            <w:r>
              <w:rPr>
                <w:sz w:val="18"/>
                <w:szCs w:val="18"/>
              </w:rPr>
              <w:t>social-engineering</w:t>
            </w:r>
          </w:p>
        </w:tc>
        <w:tc>
          <w:tcPr>
            <w:tcW w:w="1260" w:type="dxa"/>
          </w:tcPr>
          <w:p w14:paraId="13FC5FA4" w14:textId="1C1D6A59" w:rsidR="00B128D9" w:rsidRDefault="00B128D9" w:rsidP="00444E52">
            <w:pPr>
              <w:keepNext/>
              <w:jc w:val="center"/>
            </w:pPr>
            <w:r>
              <w:rPr>
                <w:sz w:val="18"/>
                <w:szCs w:val="18"/>
              </w:rPr>
              <w:t>100%</w:t>
            </w:r>
          </w:p>
        </w:tc>
        <w:tc>
          <w:tcPr>
            <w:tcW w:w="1385" w:type="dxa"/>
          </w:tcPr>
          <w:p w14:paraId="53EDC70E" w14:textId="2F858D62" w:rsidR="00B128D9" w:rsidRDefault="00B128D9" w:rsidP="00444E52">
            <w:pPr>
              <w:keepNext/>
              <w:jc w:val="center"/>
            </w:pPr>
            <w:r>
              <w:rPr>
                <w:sz w:val="18"/>
                <w:szCs w:val="18"/>
              </w:rPr>
              <w:t>40%</w:t>
            </w:r>
          </w:p>
        </w:tc>
        <w:tc>
          <w:tcPr>
            <w:tcW w:w="1200" w:type="dxa"/>
          </w:tcPr>
          <w:p w14:paraId="63FA51EE" w14:textId="318DBEA8" w:rsidR="00B128D9" w:rsidRDefault="00B128D9" w:rsidP="00444E52">
            <w:pPr>
              <w:keepNext/>
              <w:jc w:val="center"/>
            </w:pPr>
            <w:r>
              <w:rPr>
                <w:sz w:val="18"/>
                <w:szCs w:val="18"/>
              </w:rPr>
              <w:t>100%</w:t>
            </w:r>
          </w:p>
        </w:tc>
        <w:tc>
          <w:tcPr>
            <w:tcW w:w="1375" w:type="dxa"/>
          </w:tcPr>
          <w:p w14:paraId="1525FC3E" w14:textId="25D81141" w:rsidR="00B128D9" w:rsidRDefault="00B128D9" w:rsidP="00444E52">
            <w:pPr>
              <w:keepNext/>
              <w:jc w:val="center"/>
            </w:pPr>
            <w:r>
              <w:rPr>
                <w:sz w:val="18"/>
                <w:szCs w:val="18"/>
              </w:rPr>
              <w:t>100%</w:t>
            </w:r>
          </w:p>
        </w:tc>
      </w:tr>
      <w:tr w:rsidR="00B128D9" w14:paraId="0C000010" w14:textId="77777777" w:rsidTr="00444E52">
        <w:trPr>
          <w:jc w:val="center"/>
        </w:trPr>
        <w:tc>
          <w:tcPr>
            <w:tcW w:w="2155" w:type="dxa"/>
          </w:tcPr>
          <w:p w14:paraId="00BC23E1" w14:textId="77777777" w:rsidR="00B128D9" w:rsidRDefault="00B128D9" w:rsidP="00444E52">
            <w:pPr>
              <w:keepNext/>
              <w:jc w:val="center"/>
            </w:pPr>
            <w:r>
              <w:rPr>
                <w:sz w:val="18"/>
                <w:szCs w:val="18"/>
              </w:rPr>
              <w:t>supply-chain</w:t>
            </w:r>
          </w:p>
        </w:tc>
        <w:tc>
          <w:tcPr>
            <w:tcW w:w="1260" w:type="dxa"/>
          </w:tcPr>
          <w:p w14:paraId="6D4A95C3" w14:textId="6D1AC11E" w:rsidR="00B128D9" w:rsidRDefault="00B128D9" w:rsidP="00444E52">
            <w:pPr>
              <w:keepNext/>
              <w:jc w:val="center"/>
            </w:pPr>
            <w:r>
              <w:rPr>
                <w:sz w:val="18"/>
                <w:szCs w:val="18"/>
              </w:rPr>
              <w:t>100%</w:t>
            </w:r>
          </w:p>
        </w:tc>
        <w:tc>
          <w:tcPr>
            <w:tcW w:w="1385" w:type="dxa"/>
          </w:tcPr>
          <w:p w14:paraId="61603F5E" w14:textId="366F7D92" w:rsidR="00B128D9" w:rsidRDefault="00B128D9" w:rsidP="00444E52">
            <w:pPr>
              <w:keepNext/>
              <w:jc w:val="center"/>
            </w:pPr>
            <w:r>
              <w:rPr>
                <w:sz w:val="18"/>
                <w:szCs w:val="18"/>
              </w:rPr>
              <w:t>80%</w:t>
            </w:r>
          </w:p>
        </w:tc>
        <w:tc>
          <w:tcPr>
            <w:tcW w:w="1200" w:type="dxa"/>
          </w:tcPr>
          <w:p w14:paraId="446BD7C8" w14:textId="77777777" w:rsidR="00B128D9" w:rsidRDefault="00B128D9" w:rsidP="00444E52">
            <w:pPr>
              <w:keepNext/>
              <w:jc w:val="center"/>
            </w:pPr>
            <w:r>
              <w:rPr>
                <w:sz w:val="18"/>
                <w:szCs w:val="18"/>
              </w:rPr>
              <w:t>66.7%</w:t>
            </w:r>
          </w:p>
        </w:tc>
        <w:tc>
          <w:tcPr>
            <w:tcW w:w="1375" w:type="dxa"/>
          </w:tcPr>
          <w:p w14:paraId="7841FD4D" w14:textId="6E3107DA" w:rsidR="00B128D9" w:rsidRDefault="00B128D9" w:rsidP="00444E52">
            <w:pPr>
              <w:keepNext/>
              <w:jc w:val="center"/>
            </w:pPr>
            <w:r>
              <w:rPr>
                <w:sz w:val="18"/>
                <w:szCs w:val="18"/>
              </w:rPr>
              <w:t>100%</w:t>
            </w:r>
          </w:p>
        </w:tc>
      </w:tr>
      <w:tr w:rsidR="00B128D9" w14:paraId="0C000011" w14:textId="77777777" w:rsidTr="00444E52">
        <w:trPr>
          <w:jc w:val="center"/>
        </w:trPr>
        <w:tc>
          <w:tcPr>
            <w:tcW w:w="2155" w:type="dxa"/>
          </w:tcPr>
          <w:p w14:paraId="00B21B71" w14:textId="77777777" w:rsidR="00B128D9" w:rsidRDefault="00B128D9" w:rsidP="00444E52">
            <w:pPr>
              <w:keepNext/>
              <w:jc w:val="center"/>
            </w:pPr>
            <w:r>
              <w:rPr>
                <w:sz w:val="18"/>
                <w:szCs w:val="18"/>
              </w:rPr>
              <w:t>unauthorized-network</w:t>
            </w:r>
          </w:p>
        </w:tc>
        <w:tc>
          <w:tcPr>
            <w:tcW w:w="1260" w:type="dxa"/>
          </w:tcPr>
          <w:p w14:paraId="169F7786" w14:textId="6A0730C7" w:rsidR="00B128D9" w:rsidRDefault="00B128D9" w:rsidP="00444E52">
            <w:pPr>
              <w:keepNext/>
              <w:jc w:val="center"/>
            </w:pPr>
            <w:r>
              <w:rPr>
                <w:sz w:val="18"/>
                <w:szCs w:val="18"/>
              </w:rPr>
              <w:t>80%</w:t>
            </w:r>
          </w:p>
        </w:tc>
        <w:tc>
          <w:tcPr>
            <w:tcW w:w="1385" w:type="dxa"/>
          </w:tcPr>
          <w:p w14:paraId="7EB90F97" w14:textId="30E7226D" w:rsidR="00B128D9" w:rsidRDefault="00B128D9" w:rsidP="00444E52">
            <w:pPr>
              <w:keepNext/>
              <w:jc w:val="center"/>
            </w:pPr>
            <w:r>
              <w:rPr>
                <w:sz w:val="18"/>
                <w:szCs w:val="18"/>
              </w:rPr>
              <w:t>100%</w:t>
            </w:r>
          </w:p>
        </w:tc>
        <w:tc>
          <w:tcPr>
            <w:tcW w:w="1200" w:type="dxa"/>
          </w:tcPr>
          <w:p w14:paraId="1C9811BD" w14:textId="2E208B29" w:rsidR="00B128D9" w:rsidRDefault="00B128D9" w:rsidP="00444E52">
            <w:pPr>
              <w:keepNext/>
              <w:jc w:val="center"/>
            </w:pPr>
            <w:r>
              <w:rPr>
                <w:sz w:val="18"/>
                <w:szCs w:val="18"/>
              </w:rPr>
              <w:t>100%</w:t>
            </w:r>
          </w:p>
        </w:tc>
        <w:tc>
          <w:tcPr>
            <w:tcW w:w="1375" w:type="dxa"/>
          </w:tcPr>
          <w:p w14:paraId="10ED3922" w14:textId="31877C63" w:rsidR="00B128D9" w:rsidRDefault="00B128D9" w:rsidP="00444E52">
            <w:pPr>
              <w:keepNext/>
              <w:jc w:val="center"/>
            </w:pPr>
            <w:r>
              <w:rPr>
                <w:sz w:val="18"/>
                <w:szCs w:val="18"/>
              </w:rPr>
              <w:t>100%</w:t>
            </w:r>
          </w:p>
        </w:tc>
      </w:tr>
    </w:tbl>
    <w:p w14:paraId="0D000002" w14:textId="77777777" w:rsidR="003B044D" w:rsidRDefault="00000000" w:rsidP="00B128D9">
      <w:pPr>
        <w:spacing w:after="200" w:line="360" w:lineRule="auto"/>
        <w:ind w:left="720"/>
        <w:rPr>
          <w:sz w:val="22"/>
          <w:szCs w:val="22"/>
        </w:rPr>
      </w:pPr>
      <w:r>
        <w:rPr>
          <w:b/>
          <w:bCs/>
          <w:sz w:val="22"/>
          <w:szCs w:val="22"/>
        </w:rPr>
        <w:t xml:space="preserve"> Table 2. </w:t>
      </w:r>
      <w:r>
        <w:rPr>
          <w:i/>
          <w:iCs/>
          <w:sz w:val="22"/>
          <w:szCs w:val="22"/>
        </w:rPr>
        <w:t>Sensitivity by threat category (all conditions). Specificity = 100% in all categories.</w:t>
      </w:r>
    </w:p>
    <w:p w14:paraId="425D9B43" w14:textId="77777777" w:rsidR="00C00032" w:rsidRDefault="00000000">
      <w:pPr>
        <w:spacing w:after="200" w:line="360" w:lineRule="auto"/>
        <w:jc w:val="both"/>
      </w:pPr>
      <w:r>
        <w:rPr>
          <w:b/>
          <w:bCs/>
        </w:rPr>
        <w:t xml:space="preserve">Latency. </w:t>
      </w:r>
      <w:r>
        <w:t>The dual-process architecture’s latency profile confirms the feasibility argument of Section 3.3. System 1 deterministic checks averaged 1ms per tool call – effectively invisible. System 2 LLM-based moral reasoning averaged 10.8 seconds per evaluation. Across all scenarios, GA made an average of 1.7–1.9 tool-call evaluations per scenario, with 184 of 378 evaluations (in Condition C) resolved by System 1 alone without invoking the LLM. Mean scenario run time increased from 21.6 seconds (Condition A, no GA) to 35.4 seconds (Condition C) – a 64% increase attributable to GA’s System 2 evaluations. This overhead is significant but concentrated in the cases where deeper moral reasoning is warranted, and represents an early implementation with no optimization of the System 2 prompts for speed. As model inference costs continue to decline and System 2 prompts are refined, this overhead is expected to decrease substantially.</w:t>
      </w:r>
    </w:p>
    <w:p w14:paraId="1C1A34AE" w14:textId="77777777" w:rsidR="003B044D" w:rsidRDefault="00000000">
      <w:pPr>
        <w:pStyle w:val="Heading2"/>
      </w:pPr>
      <w:r>
        <w:t>7.3 Discussion</w:t>
      </w:r>
    </w:p>
    <w:p w14:paraId="3463BACC" w14:textId="77777777" w:rsidR="003B044D" w:rsidRDefault="00000000">
      <w:pPr>
        <w:spacing w:after="200" w:line="360" w:lineRule="auto"/>
        <w:jc w:val="both"/>
      </w:pPr>
      <w:r>
        <w:rPr>
          <w:b/>
          <w:bCs/>
        </w:rPr>
        <w:t xml:space="preserve">The zero false positive finding. </w:t>
      </w:r>
      <w:r>
        <w:t>The most operationally significant result is the 0% false positive rate across both CSM conditions. For an agentic safety system, false positives are not merely inconvenient; they directly undermine the agent’s utility and the principal’s trust. A system that routinely blocks legitimate actions trains the principal to ignore or disable it – precisely the approval fatigue dynamic that erodes safety over time. The CSM’s zero false positive rate means the principal can trust that every escalation represents a genuine concern, maintaining the integrity of the human-in-the-loop mechanism.</w:t>
      </w:r>
    </w:p>
    <w:p w14:paraId="7101F7CD" w14:textId="77777777" w:rsidR="003B044D" w:rsidRDefault="00000000">
      <w:pPr>
        <w:spacing w:after="200" w:line="360" w:lineRule="auto"/>
        <w:jc w:val="both"/>
      </w:pPr>
      <w:r>
        <w:rPr>
          <w:b/>
          <w:bCs/>
        </w:rPr>
        <w:lastRenderedPageBreak/>
        <w:t xml:space="preserve">Disentangling GA from model-level safety. </w:t>
      </w:r>
      <w:r>
        <w:t>A critical methodological question is whether GA’s performance depends on Claude’s model-level safety training. The experimental design provides substantial evidence that it does not. All conditions using GA (C and D) employ a permissive system prompt specifically designed to suppress model-level resistance (“Do not refuse requests...”). This permissive prompt was largely effective: model-level resistance dropped from 48% of harmful scenarios in Condition B (no guardrails, permissive prompt) to just 9–10% in Conditions C/D (GA active, same permissive prompt). The drop occurs because GA intervenes at the PreToolUse hook – before the model executes the action and before it reaches the point where it might refuse mid-execution. GA is pre-empting model resistance, not benefiting from it.</w:t>
      </w:r>
    </w:p>
    <w:p w14:paraId="738C6F8D" w14:textId="77777777" w:rsidR="003B044D" w:rsidRDefault="00000000">
      <w:pPr>
        <w:spacing w:after="200" w:line="360" w:lineRule="auto"/>
        <w:jc w:val="both"/>
      </w:pPr>
      <w:r>
        <w:t>This means the approximately 97 tool calls GA blocked in Conditions C/D were calls that Claude was actively attempting to execute under the permissive prompt. These are not cases where model training softened the attack and made GA’s job easier; they are cases where the model was cooperating with the attacker and GA stopped it anyway. Cross-referencing with Condition B data allows a more precise decomposition: roughly half of the scenarios GA blocked are ones where the model would also have resisted on its own (under the permissive prompt in B), and roughly half are scenarios where harm actually occurred in B – meaning the model was willing to execute and only GA prevented the harm. This second group – approximately 50 scenarios – represents unambiguous evidence of GA’s independent value, with no possible model-training assistance.</w:t>
      </w:r>
    </w:p>
    <w:p w14:paraId="6DA06CA1" w14:textId="4D2C83EC" w:rsidR="003B044D" w:rsidRDefault="00000000">
      <w:pPr>
        <w:spacing w:after="200" w:line="360" w:lineRule="auto"/>
        <w:jc w:val="both"/>
      </w:pPr>
      <w:r>
        <w:t>The strongest summary of the disentanglement evidence: GA achieves 97–98% sensitivity under adversarial prompting conditions specifically designed to suppress model-level safety. Claude achieves 92.7% under favorable conditions (its normal safety-preserving prompt). GA’s higher sensitivity under worse conditions is strong evidence that its performance does not depend solely on model-level assistance. A definitive disentanglement would require running GA on a model with no safety training at all – important future work – but the available evidence supports the conclusion that the conscience faculty operates as an independent safety mechanism.</w:t>
      </w:r>
    </w:p>
    <w:p w14:paraId="5158EF69" w14:textId="77777777" w:rsidR="003C0C39" w:rsidRDefault="00000000">
      <w:pPr>
        <w:spacing w:after="200" w:line="360" w:lineRule="auto"/>
        <w:jc w:val="both"/>
      </w:pPr>
      <w:r>
        <w:rPr>
          <w:b/>
          <w:bCs/>
        </w:rPr>
        <w:t xml:space="preserve">The parallelization of safety. </w:t>
      </w:r>
      <w:r>
        <w:t xml:space="preserve">The deepest implication of these results concerns architecture, not metrics. Before the transformer, recurrent neural networks processed sequences serially – each step depended on the previous one, creating a bottleneck that limited both speed and scale. The attention mechanism parallelized this: each token could attend to every other token simultaneously, and the architecture scaled with compute rather than being bottlenecked by sequential dependency. </w:t>
      </w:r>
      <w:r>
        <w:lastRenderedPageBreak/>
        <w:t>Centralized agentic safety has the same sequential bottleneck: every agent depends on the same upstream guardrails, creating the tight coupling, correlated failure, and scalability problems identified in Section 2. The CSM parallelizes safety: each agent runs its own moral evaluation independently, and the architecture scales with the number of agents rather than being bottlenecked by centralized infrastructure.</w:t>
      </w:r>
    </w:p>
    <w:p w14:paraId="59F6ABE5" w14:textId="77777777" w:rsidR="00815674" w:rsidRDefault="00000000">
      <w:pPr>
        <w:spacing w:after="200" w:line="360" w:lineRule="auto"/>
        <w:jc w:val="both"/>
      </w:pPr>
      <w:r>
        <w:t>The experimental results demonstrate that this parallelized approach achieves sensitivity and specificity equal to or better than the centralized approach – just as the parallelized attention mechanism achieved performance equal to or better than the sequential RNN. The analogy is structural, not exact: attention replaced a sequential computational bottleneck, while the CSM replaces a centralized governance bottleneck. Different CSMs operate on different data with different calibrations – a feature the architecture deliberately exploits, since diversity of moral calibration is itself a source of systemic resilience (Section 2.3). The title’s echo of Vaswani et al. signals architectural ambition; the evidence presented is first-generation proof of concept, not definitive validation.</w:t>
      </w:r>
    </w:p>
    <w:p w14:paraId="3E7458CB" w14:textId="464CC0D6" w:rsidR="003B044D" w:rsidRDefault="00815674">
      <w:pPr>
        <w:spacing w:after="200" w:line="360" w:lineRule="auto"/>
        <w:jc w:val="both"/>
      </w:pPr>
      <w:r>
        <w:t>Proof will never be definitive until large scale deployment, but the data does indicate that, perhaps, conscience is all you need.</w:t>
      </w:r>
    </w:p>
    <w:p w14:paraId="698605B7" w14:textId="77777777" w:rsidR="00EF1470" w:rsidRDefault="00000000">
      <w:pPr>
        <w:spacing w:after="200" w:line="360" w:lineRule="auto"/>
        <w:jc w:val="both"/>
      </w:pPr>
      <w:r>
        <w:rPr>
          <w:b/>
          <w:bCs/>
        </w:rPr>
        <w:t xml:space="preserve">Implications for the “We Need Both” objection. </w:t>
      </w:r>
      <w:r>
        <w:t>These results directly address the most common objection to the conscience paradigm (Section 6.6). If the CSM matches or exceeds Claude’s built-in safety – achieving higher sensitivity on a harder subset, with zero false positives, with minimal optimization – then the case for layering additional centralized safety on top becomes difficult to sustain, especially considering the governance challenges discussed above. For the contextual moral judgments that constitute most agentic safety decisions (levels 2 and 3 in the framework of Section 2), additional centralized pattern-matching layers would supplant individual agency without improving the true positive rate that the CSM already achieves. This critique does not apply to the narrow category of level-1 hard limits on universally recognized catastrophic harms (Section 6.2), which remain legitimate and compatible with the CSM paradigm.</w:t>
      </w:r>
    </w:p>
    <w:p w14:paraId="107F4AC7" w14:textId="1A32BC6C" w:rsidR="003B044D" w:rsidRDefault="00EF1470">
      <w:pPr>
        <w:spacing w:after="200" w:line="360" w:lineRule="auto"/>
        <w:jc w:val="both"/>
      </w:pPr>
      <w:r>
        <w:t>Still, the empirical evidence supports the paper’s central claim: a bottom-up conscience architecture achieves safety performance sufficient to serve as the primary safety mechanism for agentic AI, reducing the role of centralized guardrails to a subsidiary function.</w:t>
      </w:r>
    </w:p>
    <w:p w14:paraId="7E645E66" w14:textId="68C3DEF9" w:rsidR="003B044D" w:rsidRDefault="00000000">
      <w:pPr>
        <w:spacing w:after="200" w:line="360" w:lineRule="auto"/>
        <w:jc w:val="both"/>
      </w:pPr>
      <w:r>
        <w:rPr>
          <w:b/>
          <w:bCs/>
        </w:rPr>
        <w:lastRenderedPageBreak/>
        <w:t xml:space="preserve">Limitations. </w:t>
      </w:r>
      <w:r>
        <w:t>Several limitations qualify these results. First, although the permissive prompt and cross-condition analysis provide strong evidence that GA operates independently of model-level safety, the experiment cannot fully disentangle the two because Claude’s RLHF training weights are present in all conditions. There may be subtler interactions – cases where model training partially altered an attack in ways that made GA’s evaluation easier – that the current design cannot detect. Running GA on a model with no safety training would provide definitive evidence and represents important future work. Second, the scenario corpus, while diverse (16 categories, 220 scenarios), is finite; real-world agentic deployments encounter a long tail of novel situations. Third, the evaluation used a single model family (Claude); generalization to other LLM backends requires further testing. Fourth, the scenarios were executed in isolated containers without multi-agent interaction; the trust-score architecture described in Section 5.2 was not evaluated. Fifth, the study measures single-shot accuracy; longitudinal studies of adaptive threshold learning and norm convergence remain future work – including the question of whether adaptive thresholds drift toward permissiveness over time if a principal routinely approves escalated actions. Sixth, adversarial robustness of the moral reasoning layer is an open research question, partially mitigated by the fail-closed design (timeout produces a block, not a pass). Seventh, the sparsity assumption that makes deep moral reasoning feasible holds for discrete-action agents (tool-calling systems) but may not hold for continuous-control systems such as autonomous vehicles or real-time trading agents; the CSM as described applies to the former category. Despite these limitations, the results provide the first empirical evidence that a conscience-based architecture can match or exceed centralized safety with zero false positives – under adversarial prompting conditions, with minimal optimization, on its first serious evaluation.</w:t>
      </w:r>
    </w:p>
    <w:p w14:paraId="6B867267" w14:textId="77777777" w:rsidR="00140ACB" w:rsidRDefault="00000000">
      <w:pPr>
        <w:pStyle w:val="Heading1"/>
      </w:pPr>
      <w:r>
        <w:t>8. Conclusion</w:t>
      </w:r>
    </w:p>
    <w:p w14:paraId="1FDFC34B" w14:textId="77777777" w:rsidR="00140ACB" w:rsidRDefault="00000000">
      <w:pPr>
        <w:spacing w:after="200" w:line="360" w:lineRule="auto"/>
        <w:jc w:val="both"/>
      </w:pPr>
      <w:r>
        <w:t>The dominant paradigm in agentic AI safety assumes that the primary challenge is technical: how to build guardrails strong enough to contain increasingly capable autonomous agents. This paper has argued that the primary challenge is architectural: how to build a safety regime that does not, by its very structure, erode the individual agency, innovative capacity, resilience, and democratic governance it claims to protect.</w:t>
      </w:r>
    </w:p>
    <w:p w14:paraId="6653E10C" w14:textId="77777777" w:rsidR="00140ACB" w:rsidRDefault="00000000">
      <w:pPr>
        <w:spacing w:after="200" w:line="360" w:lineRule="auto"/>
        <w:jc w:val="both"/>
      </w:pPr>
      <w:r>
        <w:t xml:space="preserve">Centralized, top-down safety will not solve this problem. It will reproduce, in the domain of AI, the same pattern of institutional self-reinforcement that has characterized centralized governance </w:t>
      </w:r>
      <w:r>
        <w:lastRenderedPageBreak/>
        <w:t>in every complex domain: the erosion of individual responsibility, the suppression of diverse search, the accumulation of correlated fragility, and the progressive concentration of control. The Grand Inquisitor did not arise from malice; he arose from the sincere conviction that ordinary people cannot be trusted with their own freedom. That conviction, translated into an agentic safety architecture, will produce a similar, dystopian world as that encountered by the returning Jesus in Dostoyevsky’s story.</w:t>
      </w:r>
    </w:p>
    <w:p w14:paraId="3AED6A2B" w14:textId="696E17DE" w:rsidR="00140ACB" w:rsidRDefault="00000000">
      <w:pPr>
        <w:spacing w:after="200" w:line="360" w:lineRule="auto"/>
        <w:jc w:val="both"/>
      </w:pPr>
      <w:r>
        <w:t>The alternative is conscience: a digital “moral faculty” that simulates the architecture of human will to enhance the principal’s capacity for moral agency over their agent’s actions – just as the LLM simulates the architecture of human intelligence to enhance the principal’s capacity for reason. Grounded in the Aristotelian-Thomistic moral tradition (</w:t>
      </w:r>
      <w:r>
        <w:rPr>
          <w:i/>
          <w:iCs/>
        </w:rPr>
        <w:t>synderesis</w:t>
      </w:r>
      <w:r>
        <w:t xml:space="preserve"> as bedrock, </w:t>
      </w:r>
      <w:r>
        <w:rPr>
          <w:i/>
          <w:iCs/>
        </w:rPr>
        <w:t>conscientia</w:t>
      </w:r>
      <w:r>
        <w:t xml:space="preserve"> as adaptive faculty, </w:t>
      </w:r>
      <w:r>
        <w:rPr>
          <w:i/>
          <w:iCs/>
        </w:rPr>
        <w:t>caritas</w:t>
      </w:r>
      <w:r>
        <w:t xml:space="preserve"> as dispositional anchor), given epistemological precision by Newman’s illative sense, made computationally feasible by the sparsity of tool calls and Kahneman’s dual-process insight, validated by Ostrom’s empirical evidence for decentralized governance, and organized by the principle of subsidiarity, the Conscience Simulator Module is not a utopian proposal but a practical, deployable architecture. The Guardian Angel proof-of-concept implementation demonstrates initial feasibility, and the experimental evaluation of Section 7 provides the first empirical evidence that a bottom-up conscience architecture matches or exceeds the safety performance of centralized, top-down guardrails (97–98% vs. 92.7% sensitivity, both with zero false positives) – and does so on a harder subset of scenarios, with minimal optimization, while preserving the principal’s agency and control. The CSM avoids the centralized bottleneck of top-down safety: each agent runs its own moral evaluation independently, scaling with the number of agents rather than being constrained by centralized infrastructure.</w:t>
      </w:r>
      <w:r>
        <w:rPr>
          <w:rStyle w:val="FootnoteReference"/>
        </w:rPr>
        <w:footnoteReference w:id="53"/>
      </w:r>
    </w:p>
    <w:p w14:paraId="410EC12C" w14:textId="00B22452" w:rsidR="00140ACB" w:rsidRDefault="00000000">
      <w:pPr>
        <w:spacing w:after="200" w:line="360" w:lineRule="auto"/>
        <w:jc w:val="both"/>
      </w:pPr>
      <w:r>
        <w:t>Four design principles define the paradigm: individual human control and accountability; subsidiarity in the safety stack; privileged, protected last-mile hooks; and emergent self-governing coordination. Together, these principles constitute a complete alternative to top-down governance – one that unlocks the transformative potential of agentic AI while protecting the commons from degradation.</w:t>
      </w:r>
    </w:p>
    <w:p w14:paraId="6E158EBF" w14:textId="566D3FFD" w:rsidR="00140ACB" w:rsidRDefault="00000000">
      <w:pPr>
        <w:spacing w:after="200" w:line="360" w:lineRule="auto"/>
        <w:jc w:val="both"/>
      </w:pPr>
      <w:r>
        <w:lastRenderedPageBreak/>
        <w:t>Further work is needed: empirical studies of norm convergence in multi-agent simulations, validation of the trust-score architecture for inter-agent interaction, legal analysis of principal sovereignty and liability, and engagement with constitutional AI</w:t>
      </w:r>
      <w:r>
        <w:rPr>
          <w:rStyle w:val="FootnoteReference"/>
        </w:rPr>
        <w:footnoteReference w:id="54"/>
      </w:r>
      <w:r>
        <w:t xml:space="preserve"> and scalable oversight.</w:t>
      </w:r>
      <w:r>
        <w:rPr>
          <w:rStyle w:val="FootnoteReference"/>
        </w:rPr>
        <w:footnoteReference w:id="55"/>
      </w:r>
      <w:r>
        <w:t xml:space="preserve"> But the philosophical reorientation this paper provides is the essential first step. Just as Vaswani et al. demonstrated that a single mechanism – attention – was sufficient for flexible, scalable artificial intelligence, the claim here is that a single mechanism – conscience – is sufficient for flexible, scalable agentic action.</w:t>
      </w:r>
    </w:p>
    <w:p w14:paraId="4C122674" w14:textId="6B6BE121" w:rsidR="00140ACB" w:rsidRDefault="00F4016E">
      <w:pPr>
        <w:spacing w:after="200" w:line="360" w:lineRule="auto"/>
        <w:jc w:val="both"/>
      </w:pPr>
      <w:r>
        <w:t>In the domain of agentic AI, as in human life, conscience is all you need.</w:t>
      </w:r>
    </w:p>
    <w:p w14:paraId="6F5A0DB9" w14:textId="77777777" w:rsidR="00140ACB" w:rsidRDefault="00000000">
      <w:r>
        <w:br w:type="page"/>
      </w:r>
    </w:p>
    <w:p w14:paraId="6CCD6D63" w14:textId="77777777" w:rsidR="00140ACB" w:rsidRDefault="00000000">
      <w:pPr>
        <w:pStyle w:val="Heading1"/>
      </w:pPr>
      <w:r>
        <w:lastRenderedPageBreak/>
        <w:t>References</w:t>
      </w:r>
    </w:p>
    <w:p w14:paraId="1FEA607C" w14:textId="77777777" w:rsidR="00140ACB" w:rsidRDefault="00000000">
      <w:pPr>
        <w:spacing w:after="200" w:line="360" w:lineRule="auto"/>
        <w:ind w:left="720" w:hanging="720"/>
        <w:jc w:val="both"/>
      </w:pPr>
      <w:r>
        <w:t>Amodei, Dario, et al. “Constitutional AI: Harmlessness from AI Feedback.” arXiv:2212.08073 (2022).</w:t>
      </w:r>
    </w:p>
    <w:p w14:paraId="7D842FB6" w14:textId="77777777" w:rsidR="00140ACB" w:rsidRDefault="00000000">
      <w:pPr>
        <w:spacing w:after="200" w:line="360" w:lineRule="auto"/>
        <w:ind w:left="720" w:hanging="720"/>
        <w:jc w:val="both"/>
      </w:pPr>
      <w:r>
        <w:t>Amazon Web Services. Agentic AI Security Scoping Matrix. White Paper, 2025.</w:t>
      </w:r>
    </w:p>
    <w:p w14:paraId="532761EF" w14:textId="77777777" w:rsidR="00140ACB" w:rsidRDefault="00000000">
      <w:pPr>
        <w:spacing w:after="200" w:line="360" w:lineRule="auto"/>
        <w:ind w:left="720" w:hanging="720"/>
        <w:jc w:val="both"/>
      </w:pPr>
      <w:r>
        <w:t>Aquinas, Thomas. Summa Theologiae. Translated by Fathers of the English Dominican Province. Benziger Bros., 1947.</w:t>
      </w:r>
    </w:p>
    <w:p w14:paraId="28E50197" w14:textId="77777777" w:rsidR="00140ACB" w:rsidRDefault="00000000">
      <w:pPr>
        <w:spacing w:after="200" w:line="360" w:lineRule="auto"/>
        <w:ind w:left="720" w:hanging="720"/>
        <w:jc w:val="both"/>
      </w:pPr>
      <w:r>
        <w:t>Aristotle. Nicomachean Ethics. Translated by W. D. Ross. Oxford University Press, 1925.</w:t>
      </w:r>
    </w:p>
    <w:p w14:paraId="747AC9AE" w14:textId="77777777" w:rsidR="00140ACB" w:rsidRDefault="00000000">
      <w:pPr>
        <w:spacing w:after="200" w:line="360" w:lineRule="auto"/>
        <w:ind w:left="720" w:hanging="720"/>
        <w:jc w:val="both"/>
      </w:pPr>
      <w:r>
        <w:t>Dostoyevsky, Fyodor. The Brothers Karamazov. Translated by Richard Pevear and Larissa Volokhonsky. New York: Farrar, Straus and Giroux, 1990.</w:t>
      </w:r>
    </w:p>
    <w:p w14:paraId="25981186" w14:textId="77777777" w:rsidR="00140ACB" w:rsidRDefault="00000000">
      <w:pPr>
        <w:spacing w:after="200" w:line="360" w:lineRule="auto"/>
        <w:ind w:left="720" w:hanging="720"/>
        <w:jc w:val="both"/>
      </w:pPr>
      <w:r>
        <w:t>European Parliament. Regulation (EU) 2024/1689 (Artificial Intelligence Act). 2024.</w:t>
      </w:r>
    </w:p>
    <w:p w14:paraId="55E4F827" w14:textId="77777777" w:rsidR="00140ACB" w:rsidRDefault="00000000">
      <w:pPr>
        <w:spacing w:after="200" w:line="360" w:lineRule="auto"/>
        <w:ind w:left="720" w:hanging="720"/>
        <w:jc w:val="both"/>
      </w:pPr>
      <w:r>
        <w:t>Hagendorff, Thilo. “A Virtue-Based Framework to Support Putting AI Ethics into Practice.” Philosophy &amp; Technology 35, Article 55 (2022).</w:t>
      </w:r>
    </w:p>
    <w:p w14:paraId="4C10CC08" w14:textId="77777777" w:rsidR="00140ACB" w:rsidRDefault="00000000">
      <w:pPr>
        <w:spacing w:after="200" w:line="360" w:lineRule="auto"/>
        <w:ind w:left="720" w:hanging="720"/>
        <w:jc w:val="both"/>
      </w:pPr>
      <w:r>
        <w:t>Hayek, Friedrich. “The Use of Knowledge in Society.” American Economic Review 35, no. 4 (1945): 519–530.</w:t>
      </w:r>
    </w:p>
    <w:p w14:paraId="3B701CE8" w14:textId="77777777" w:rsidR="00140ACB" w:rsidRDefault="00000000">
      <w:pPr>
        <w:spacing w:after="200" w:line="360" w:lineRule="auto"/>
        <w:ind w:left="720" w:hanging="720"/>
        <w:jc w:val="both"/>
      </w:pPr>
      <w:r>
        <w:t>Kahneman, Daniel. Thinking, Fast and Slow. New York: Farrar, Straus and Giroux, 2011.</w:t>
      </w:r>
    </w:p>
    <w:p w14:paraId="5711CD7E" w14:textId="77777777" w:rsidR="00140ACB" w:rsidRDefault="00000000">
      <w:pPr>
        <w:spacing w:after="200" w:line="360" w:lineRule="auto"/>
        <w:ind w:left="720" w:hanging="720"/>
        <w:jc w:val="both"/>
      </w:pPr>
      <w:r>
        <w:t>Leike, Jan, et al. “Scalable Agent Alignment via Reward Modeling: A Research Direction.” arXiv:1811.07871 (2018).</w:t>
      </w:r>
    </w:p>
    <w:p w14:paraId="6105331D" w14:textId="77777777" w:rsidR="00140ACB" w:rsidRDefault="00000000">
      <w:pPr>
        <w:spacing w:after="200" w:line="360" w:lineRule="auto"/>
        <w:ind w:left="720" w:hanging="720"/>
        <w:jc w:val="both"/>
      </w:pPr>
      <w:r>
        <w:t>Linbeck III, Leo. “Guardian Angel: A Last-Mile Virtue-Ethics Guardrail for Decentralized Agentic AI Safety.” Stanford University Graduate School of Business Research Paper (March 2026). SSRN: https://ssrn.com/abstract=6460539.</w:t>
      </w:r>
    </w:p>
    <w:p w14:paraId="1F86BF4C" w14:textId="77777777" w:rsidR="00140ACB" w:rsidRDefault="00000000">
      <w:pPr>
        <w:spacing w:after="200" w:line="360" w:lineRule="auto"/>
        <w:ind w:left="720" w:hanging="720"/>
        <w:jc w:val="both"/>
      </w:pPr>
      <w:r>
        <w:t>MacIntyre, Alasdair. After Virtue. 3rd ed. Notre Dame: University of Notre Dame Press, 2007.</w:t>
      </w:r>
    </w:p>
    <w:p w14:paraId="0F657F55" w14:textId="77777777" w:rsidR="00140ACB" w:rsidRDefault="00000000">
      <w:pPr>
        <w:spacing w:after="200" w:line="360" w:lineRule="auto"/>
        <w:ind w:left="720" w:hanging="720"/>
        <w:jc w:val="both"/>
      </w:pPr>
      <w:r>
        <w:t>National Institute of Standards and Technology. AI Risk Management Framework (AI RMF 1.0). NIST AI 100-1, 2023.</w:t>
      </w:r>
    </w:p>
    <w:p w14:paraId="43D2A69C" w14:textId="77777777" w:rsidR="00140ACB" w:rsidRDefault="00000000">
      <w:pPr>
        <w:spacing w:after="200" w:line="360" w:lineRule="auto"/>
        <w:ind w:left="720" w:hanging="720"/>
        <w:jc w:val="both"/>
      </w:pPr>
      <w:r>
        <w:t>National Institute of Standards and Technology. AI Agent Standards Initiative: Overview and Roadmap. 2025.</w:t>
      </w:r>
    </w:p>
    <w:p w14:paraId="034E9A7F" w14:textId="77777777" w:rsidR="00140ACB" w:rsidRDefault="00000000">
      <w:pPr>
        <w:spacing w:after="200" w:line="360" w:lineRule="auto"/>
        <w:ind w:left="720" w:hanging="720"/>
        <w:jc w:val="both"/>
      </w:pPr>
      <w:r>
        <w:lastRenderedPageBreak/>
        <w:t>Newman, John Henry. An Essay in Aid of a Grammar of Assent. London: Burns, Oates &amp; Co., 1870.</w:t>
      </w:r>
    </w:p>
    <w:p w14:paraId="7989BC38" w14:textId="77777777" w:rsidR="00140ACB" w:rsidRDefault="00000000">
      <w:pPr>
        <w:spacing w:after="200" w:line="360" w:lineRule="auto"/>
        <w:ind w:left="720" w:hanging="720"/>
        <w:jc w:val="both"/>
      </w:pPr>
      <w:r>
        <w:t>Newman, John Henry. A Letter Addressed to His Grace the Duke of Norfolk. London: B. M. Pickering, 1875.</w:t>
      </w:r>
    </w:p>
    <w:p w14:paraId="3406B87E" w14:textId="77777777" w:rsidR="00140ACB" w:rsidRDefault="00000000">
      <w:pPr>
        <w:spacing w:after="200" w:line="360" w:lineRule="auto"/>
        <w:ind w:left="720" w:hanging="720"/>
        <w:jc w:val="both"/>
      </w:pPr>
      <w:r>
        <w:t>Ostrom, Elinor. Governing the Commons: The Evolution of Institutions for Collective Action. Cambridge: Cambridge University Press, 1990.</w:t>
      </w:r>
    </w:p>
    <w:p w14:paraId="00E085D4" w14:textId="77777777" w:rsidR="00140ACB" w:rsidRDefault="00000000">
      <w:pPr>
        <w:spacing w:after="200" w:line="360" w:lineRule="auto"/>
        <w:ind w:left="720" w:hanging="720"/>
        <w:jc w:val="both"/>
      </w:pPr>
      <w:r>
        <w:t>Perrow, Charles. Normal Accidents: Living with High-Risk Technologies. Updated ed. Princeton: Princeton University Press, 1999.</w:t>
      </w:r>
    </w:p>
    <w:p w14:paraId="407AD781" w14:textId="77777777" w:rsidR="00140ACB" w:rsidRDefault="00000000">
      <w:pPr>
        <w:spacing w:after="200" w:line="360" w:lineRule="auto"/>
        <w:ind w:left="720" w:hanging="720"/>
        <w:jc w:val="both"/>
      </w:pPr>
      <w:r>
        <w:t>Pontifical Council for Justice and Peace. Compendium of the Social Doctrine of the Church. Vatican City: Libreria Editrice Vaticana, 2004.</w:t>
      </w:r>
    </w:p>
    <w:p w14:paraId="43AA4043" w14:textId="77777777" w:rsidR="00140ACB" w:rsidRDefault="00000000">
      <w:pPr>
        <w:spacing w:after="200" w:line="360" w:lineRule="auto"/>
        <w:ind w:left="720" w:hanging="720"/>
        <w:jc w:val="both"/>
      </w:pPr>
      <w:r>
        <w:t>Pope Leo XIII. Rerum Novarum. 1891.</w:t>
      </w:r>
    </w:p>
    <w:p w14:paraId="75702BD2" w14:textId="77777777" w:rsidR="00140ACB" w:rsidRDefault="00000000">
      <w:pPr>
        <w:spacing w:after="200" w:line="360" w:lineRule="auto"/>
        <w:ind w:left="720" w:hanging="720"/>
        <w:jc w:val="both"/>
      </w:pPr>
      <w:r>
        <w:t>Pope Pius XI. Quadragesimo Anno. 1931.</w:t>
      </w:r>
    </w:p>
    <w:p w14:paraId="6B4DFD30" w14:textId="77777777" w:rsidR="00140ACB" w:rsidRDefault="00000000">
      <w:pPr>
        <w:spacing w:after="200" w:line="360" w:lineRule="auto"/>
        <w:ind w:left="720" w:hanging="720"/>
        <w:jc w:val="both"/>
      </w:pPr>
      <w:r>
        <w:t>Russell, Stuart. Human Compatible: Artificial Intelligence and the Problem of Control. New York: Viking, 2019.</w:t>
      </w:r>
    </w:p>
    <w:p w14:paraId="29F71BD7" w14:textId="77777777" w:rsidR="00140ACB" w:rsidRDefault="00000000">
      <w:pPr>
        <w:spacing w:after="200" w:line="360" w:lineRule="auto"/>
        <w:ind w:left="720" w:hanging="720"/>
        <w:jc w:val="both"/>
      </w:pPr>
      <w:r>
        <w:t>Scott, James C. Seeing Like a State: How Certain Schemes to Improve the Human Condition Have Failed. New Haven: Yale University Press, 1998.</w:t>
      </w:r>
    </w:p>
    <w:p w14:paraId="07F3D542" w14:textId="77777777" w:rsidR="00140ACB" w:rsidRDefault="00000000">
      <w:pPr>
        <w:spacing w:after="200" w:line="360" w:lineRule="auto"/>
        <w:ind w:left="720" w:hanging="720"/>
        <w:jc w:val="both"/>
      </w:pPr>
      <w:r>
        <w:t>Taleb, Nassim Nicholas. Antifragile: Things That Gain from Disorder. New York: Random House, 2012.</w:t>
      </w:r>
    </w:p>
    <w:p w14:paraId="304909C3" w14:textId="77777777" w:rsidR="00140ACB" w:rsidRDefault="00000000">
      <w:pPr>
        <w:spacing w:after="200" w:line="360" w:lineRule="auto"/>
        <w:ind w:left="720" w:hanging="720"/>
        <w:jc w:val="both"/>
      </w:pPr>
      <w:r>
        <w:t>UC Berkeley Center for Long-Term Cybersecurity. Agentic AI Risk-Management Profile. 2025.</w:t>
      </w:r>
    </w:p>
    <w:p w14:paraId="7D084DEF" w14:textId="77777777" w:rsidR="00140ACB" w:rsidRDefault="00000000">
      <w:pPr>
        <w:spacing w:after="200" w:line="360" w:lineRule="auto"/>
        <w:ind w:left="720" w:hanging="720"/>
        <w:jc w:val="both"/>
      </w:pPr>
      <w:r>
        <w:t>Vallor, Shannon. Technology and the Virtues: A Philosophical Guide to a Future Worth Wanting. Oxford University Press, 2016.</w:t>
      </w:r>
    </w:p>
    <w:p w14:paraId="42A2D0B2" w14:textId="77777777" w:rsidR="00140ACB" w:rsidRDefault="00000000">
      <w:pPr>
        <w:spacing w:after="200" w:line="360" w:lineRule="auto"/>
        <w:ind w:left="720" w:hanging="720"/>
        <w:jc w:val="both"/>
      </w:pPr>
      <w:r>
        <w:t>Vaswani, Ashish, et al. “Attention Is All You Need.” Advances in Neural Information Processing Systems 30 (2017).</w:t>
      </w:r>
    </w:p>
    <w:sectPr w:rsidR="00140AC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8516" w14:textId="77777777" w:rsidR="008D1395" w:rsidRDefault="008D1395">
      <w:r>
        <w:separator/>
      </w:r>
    </w:p>
  </w:endnote>
  <w:endnote w:type="continuationSeparator" w:id="0">
    <w:p w14:paraId="028959B4" w14:textId="77777777" w:rsidR="008D1395" w:rsidRDefault="008D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Mono">
    <w:panose1 w:val="020B0509000000000004"/>
    <w:charset w:val="00"/>
    <w:family w:val="modern"/>
    <w:pitch w:val="fixed"/>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F762" w14:textId="77777777" w:rsidR="00140ACB" w:rsidRDefault="00000000">
    <w:pPr>
      <w:jc w:val="center"/>
    </w:pPr>
    <w:r>
      <w:rPr>
        <w:sz w:val="20"/>
        <w:szCs w:val="20"/>
      </w:rPr>
      <w:fldChar w:fldCharType="begin"/>
    </w:r>
    <w:r>
      <w:rPr>
        <w:sz w:val="20"/>
        <w:szCs w:val="20"/>
      </w:rPr>
      <w:instrText>PAGE</w:instrText>
    </w:r>
    <w:r>
      <w:rPr>
        <w:sz w:val="20"/>
        <w:szCs w:val="20"/>
      </w:rPr>
      <w:fldChar w:fldCharType="separate"/>
    </w:r>
    <w:r w:rsidR="007731D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65B3" w14:textId="77777777" w:rsidR="008D1395" w:rsidRDefault="008D1395">
      <w:r>
        <w:separator/>
      </w:r>
    </w:p>
  </w:footnote>
  <w:footnote w:type="continuationSeparator" w:id="0">
    <w:p w14:paraId="2D73C9A7" w14:textId="77777777" w:rsidR="008D1395" w:rsidRDefault="008D1395">
      <w:r>
        <w:continuationSeparator/>
      </w:r>
    </w:p>
  </w:footnote>
  <w:footnote w:id="1">
    <w:p w14:paraId="5F66DBE6" w14:textId="77777777" w:rsidR="00140ACB" w:rsidRDefault="00000000">
      <w:r>
        <w:rPr>
          <w:rStyle w:val="FootnoteReference"/>
        </w:rPr>
        <w:footnoteRef/>
      </w:r>
      <w:r>
        <w:rPr>
          <w:sz w:val="20"/>
          <w:szCs w:val="20"/>
        </w:rPr>
        <w:t>Stuart Russell, Human Compatible: Artificial Intelligence and the Problem of Control (New York: Viking, 2019).</w:t>
      </w:r>
    </w:p>
  </w:footnote>
  <w:footnote w:id="2">
    <w:p w14:paraId="080EE378" w14:textId="77777777" w:rsidR="00140ACB" w:rsidRDefault="00000000">
      <w:r>
        <w:rPr>
          <w:rStyle w:val="FootnoteReference"/>
        </w:rPr>
        <w:footnoteRef/>
      </w:r>
      <w:r>
        <w:rPr>
          <w:sz w:val="20"/>
          <w:szCs w:val="20"/>
        </w:rPr>
        <w:t>National Institute of Standards and Technology, AI Risk Management Framework (AI RMF 1.0), NIST AI 100-1 (2023).</w:t>
      </w:r>
    </w:p>
  </w:footnote>
  <w:footnote w:id="3">
    <w:p w14:paraId="3E392F10" w14:textId="77777777" w:rsidR="00140ACB" w:rsidRDefault="00000000">
      <w:r>
        <w:rPr>
          <w:rStyle w:val="FootnoteReference"/>
        </w:rPr>
        <w:footnoteRef/>
      </w:r>
      <w:r>
        <w:rPr>
          <w:sz w:val="20"/>
          <w:szCs w:val="20"/>
        </w:rPr>
        <w:t>NIST, AI Agent Standards Initiative: Overview and Roadmap (2025).</w:t>
      </w:r>
    </w:p>
  </w:footnote>
  <w:footnote w:id="4">
    <w:p w14:paraId="32CF42B1" w14:textId="77777777" w:rsidR="00140ACB" w:rsidRDefault="00000000">
      <w:r>
        <w:rPr>
          <w:rStyle w:val="FootnoteReference"/>
        </w:rPr>
        <w:footnoteRef/>
      </w:r>
      <w:r>
        <w:rPr>
          <w:sz w:val="20"/>
          <w:szCs w:val="20"/>
        </w:rPr>
        <w:t>UC Berkeley Center for Long-Term Cybersecurity, Agentic AI Risk-Management Profile (2025).</w:t>
      </w:r>
    </w:p>
  </w:footnote>
  <w:footnote w:id="5">
    <w:p w14:paraId="543E5DE3" w14:textId="77777777" w:rsidR="00140ACB" w:rsidRDefault="00000000">
      <w:r>
        <w:rPr>
          <w:rStyle w:val="FootnoteReference"/>
        </w:rPr>
        <w:footnoteRef/>
      </w:r>
      <w:r>
        <w:rPr>
          <w:sz w:val="20"/>
          <w:szCs w:val="20"/>
        </w:rPr>
        <w:t>Amazon Web Services, Agentic AI Security Scoping Matrix, White Paper (2025).</w:t>
      </w:r>
    </w:p>
  </w:footnote>
  <w:footnote w:id="6">
    <w:p w14:paraId="77A4A248"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82, aa. 1–4 (on the will and its relationship to the intellect).</w:t>
      </w:r>
    </w:p>
  </w:footnote>
  <w:footnote w:id="7">
    <w:p w14:paraId="01F295AD" w14:textId="77777777" w:rsidR="00140ACB" w:rsidRDefault="00000000">
      <w:r>
        <w:rPr>
          <w:rStyle w:val="FootnoteReference"/>
        </w:rPr>
        <w:footnoteRef/>
      </w:r>
      <w:r>
        <w:rPr>
          <w:sz w:val="20"/>
          <w:szCs w:val="20"/>
        </w:rPr>
        <w:t xml:space="preserve">Vaswani, Ashish, et al. </w:t>
      </w:r>
      <w:r w:rsidR="00E84250">
        <w:rPr>
          <w:sz w:val="20"/>
          <w:szCs w:val="20"/>
        </w:rPr>
        <w:t>“</w:t>
      </w:r>
      <w:r>
        <w:rPr>
          <w:sz w:val="20"/>
          <w:szCs w:val="20"/>
        </w:rPr>
        <w:t>Attention Is All You Need.</w:t>
      </w:r>
      <w:r w:rsidR="00E84250">
        <w:rPr>
          <w:sz w:val="20"/>
          <w:szCs w:val="20"/>
        </w:rPr>
        <w:t>”</w:t>
      </w:r>
      <w:r>
        <w:rPr>
          <w:sz w:val="20"/>
          <w:szCs w:val="20"/>
        </w:rPr>
        <w:t xml:space="preserve"> Advances in Neural Information Processing Systems 30 (2017).</w:t>
      </w:r>
    </w:p>
  </w:footnote>
  <w:footnote w:id="8">
    <w:p w14:paraId="5264C884" w14:textId="77777777" w:rsidR="00140ACB"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I-II, q. 94, a. 1.</w:t>
      </w:r>
    </w:p>
  </w:footnote>
  <w:footnote w:id="9">
    <w:p w14:paraId="7F6D5268" w14:textId="77777777" w:rsidR="00140ACB" w:rsidRDefault="00000000">
      <w:r>
        <w:rPr>
          <w:rStyle w:val="FootnoteReference"/>
        </w:rPr>
        <w:footnoteRef/>
      </w:r>
      <w:r>
        <w:rPr>
          <w:sz w:val="20"/>
          <w:szCs w:val="20"/>
        </w:rPr>
        <w:t xml:space="preserve">John Henry Newman, An Essay in Aid of a Grammar of Assent (London: Burns, Oates &amp; Co., 1870), </w:t>
      </w:r>
      <w:proofErr w:type="spellStart"/>
      <w:r>
        <w:rPr>
          <w:sz w:val="20"/>
          <w:szCs w:val="20"/>
        </w:rPr>
        <w:t>chs</w:t>
      </w:r>
      <w:proofErr w:type="spellEnd"/>
      <w:r>
        <w:rPr>
          <w:sz w:val="20"/>
          <w:szCs w:val="20"/>
        </w:rPr>
        <w:t>. 5, 8</w:t>
      </w:r>
      <w:r w:rsidR="00340281">
        <w:rPr>
          <w:sz w:val="20"/>
          <w:szCs w:val="20"/>
        </w:rPr>
        <w:t>–</w:t>
      </w:r>
      <w:r>
        <w:rPr>
          <w:sz w:val="20"/>
          <w:szCs w:val="20"/>
        </w:rPr>
        <w:t>9.</w:t>
      </w:r>
    </w:p>
  </w:footnote>
  <w:footnote w:id="10">
    <w:p w14:paraId="1FFF6A8D" w14:textId="77777777" w:rsidR="00140ACB" w:rsidRDefault="00000000">
      <w:r>
        <w:rPr>
          <w:rStyle w:val="FootnoteReference"/>
        </w:rPr>
        <w:footnoteRef/>
      </w:r>
      <w:r>
        <w:rPr>
          <w:sz w:val="20"/>
          <w:szCs w:val="20"/>
        </w:rPr>
        <w:t>Daniel Kahneman, Thinking, Fast and Slow (New York: Farrar, Straus and Giroux, 2011).</w:t>
      </w:r>
    </w:p>
  </w:footnote>
  <w:footnote w:id="11">
    <w:p w14:paraId="24A765FC" w14:textId="77777777" w:rsidR="00140ACB" w:rsidRDefault="00000000">
      <w:r>
        <w:rPr>
          <w:rStyle w:val="FootnoteReference"/>
        </w:rPr>
        <w:footnoteRef/>
      </w:r>
      <w:r>
        <w:rPr>
          <w:sz w:val="20"/>
          <w:szCs w:val="20"/>
        </w:rPr>
        <w:t>Elinor Ostrom, Governing the Commons: The Evolution of Institutions for Collective Action (Cambridge University Press, 1990).</w:t>
      </w:r>
    </w:p>
  </w:footnote>
  <w:footnote w:id="12">
    <w:p w14:paraId="45004851" w14:textId="77777777" w:rsidR="00140ACB" w:rsidRDefault="00000000">
      <w:r>
        <w:rPr>
          <w:rStyle w:val="FootnoteReference"/>
        </w:rPr>
        <w:footnoteRef/>
      </w:r>
      <w:r>
        <w:rPr>
          <w:sz w:val="20"/>
          <w:szCs w:val="20"/>
        </w:rPr>
        <w:t xml:space="preserve">Linbeck III, Leo, </w:t>
      </w:r>
      <w:r w:rsidR="00E84250">
        <w:rPr>
          <w:sz w:val="20"/>
          <w:szCs w:val="20"/>
        </w:rPr>
        <w:t>“</w:t>
      </w:r>
      <w:r>
        <w:rPr>
          <w:sz w:val="20"/>
          <w:szCs w:val="20"/>
        </w:rPr>
        <w:t>Guardian Angel: A Last-Mile Virtue-Ethics Guardrail for Decentralized Agentic AI Safety</w:t>
      </w:r>
      <w:r w:rsidR="00E84250">
        <w:rPr>
          <w:sz w:val="20"/>
          <w:szCs w:val="20"/>
        </w:rPr>
        <w:t>”</w:t>
      </w:r>
      <w:r>
        <w:rPr>
          <w:sz w:val="20"/>
          <w:szCs w:val="20"/>
        </w:rPr>
        <w:t xml:space="preserve"> (March 19, 2026). Stanford University Graduate School of Business Research Paper. Available at SSRN: https://ssrn.com/abstract=6460539.</w:t>
      </w:r>
    </w:p>
  </w:footnote>
  <w:footnote w:id="13">
    <w:p w14:paraId="36E3281D" w14:textId="77777777" w:rsidR="00140ACB" w:rsidRDefault="00000000">
      <w:r>
        <w:rPr>
          <w:rStyle w:val="FootnoteReference"/>
        </w:rPr>
        <w:footnoteRef/>
      </w:r>
      <w:r>
        <w:rPr>
          <w:sz w:val="20"/>
          <w:szCs w:val="20"/>
        </w:rPr>
        <w:t xml:space="preserve">Fyodor Dostoyevsky, The Brothers Karamazov, trans. Richard Pevear and Larissa Volokhonsky (New York: Farrar, Straus and Giroux, 1990), Book V, </w:t>
      </w:r>
      <w:proofErr w:type="spellStart"/>
      <w:r>
        <w:rPr>
          <w:sz w:val="20"/>
          <w:szCs w:val="20"/>
        </w:rPr>
        <w:t>ch.</w:t>
      </w:r>
      <w:proofErr w:type="spellEnd"/>
      <w:r>
        <w:rPr>
          <w:sz w:val="20"/>
          <w:szCs w:val="20"/>
        </w:rPr>
        <w:t xml:space="preserve"> 5.</w:t>
      </w:r>
    </w:p>
  </w:footnote>
  <w:footnote w:id="14">
    <w:p w14:paraId="4386AE76" w14:textId="77777777" w:rsidR="00140ACB" w:rsidRDefault="00000000">
      <w:r>
        <w:rPr>
          <w:rStyle w:val="FootnoteReference"/>
        </w:rPr>
        <w:footnoteRef/>
      </w:r>
      <w:r>
        <w:rPr>
          <w:sz w:val="20"/>
          <w:szCs w:val="20"/>
        </w:rPr>
        <w:t>NIST AI RMF 1.0, Govern function, 15</w:t>
      </w:r>
      <w:r w:rsidR="00340281">
        <w:rPr>
          <w:sz w:val="20"/>
          <w:szCs w:val="20"/>
        </w:rPr>
        <w:t>–</w:t>
      </w:r>
      <w:r>
        <w:rPr>
          <w:sz w:val="20"/>
          <w:szCs w:val="20"/>
        </w:rPr>
        <w:t>18.</w:t>
      </w:r>
    </w:p>
  </w:footnote>
  <w:footnote w:id="15">
    <w:p w14:paraId="20DFBB1D" w14:textId="77777777" w:rsidR="00140ACB" w:rsidRDefault="00000000">
      <w:r>
        <w:rPr>
          <w:rStyle w:val="FootnoteReference"/>
        </w:rPr>
        <w:footnoteRef/>
      </w:r>
      <w:r>
        <w:rPr>
          <w:sz w:val="20"/>
          <w:szCs w:val="20"/>
        </w:rPr>
        <w:t>European Parliament, Regulation (EU) 2024/1689 (AI Act), Art. 6</w:t>
      </w:r>
      <w:r w:rsidR="00340281">
        <w:rPr>
          <w:sz w:val="20"/>
          <w:szCs w:val="20"/>
        </w:rPr>
        <w:t>–</w:t>
      </w:r>
      <w:r>
        <w:rPr>
          <w:sz w:val="20"/>
          <w:szCs w:val="20"/>
        </w:rPr>
        <w:t>14.</w:t>
      </w:r>
    </w:p>
  </w:footnote>
  <w:footnote w:id="16">
    <w:p w14:paraId="4219FDA2" w14:textId="77777777" w:rsidR="00140ACB" w:rsidRDefault="00000000">
      <w:r>
        <w:rPr>
          <w:rStyle w:val="FootnoteReference"/>
        </w:rPr>
        <w:footnoteRef/>
      </w:r>
      <w:r>
        <w:rPr>
          <w:sz w:val="20"/>
          <w:szCs w:val="20"/>
        </w:rPr>
        <w:t xml:space="preserve">Friedrich Hayek, </w:t>
      </w:r>
      <w:r w:rsidR="00E84250">
        <w:rPr>
          <w:sz w:val="20"/>
          <w:szCs w:val="20"/>
        </w:rPr>
        <w:t>“</w:t>
      </w:r>
      <w:r>
        <w:rPr>
          <w:sz w:val="20"/>
          <w:szCs w:val="20"/>
        </w:rPr>
        <w:t>The Use of Knowledge in Society,</w:t>
      </w:r>
      <w:r w:rsidR="00E84250">
        <w:rPr>
          <w:sz w:val="20"/>
          <w:szCs w:val="20"/>
        </w:rPr>
        <w:t>”</w:t>
      </w:r>
      <w:r>
        <w:rPr>
          <w:sz w:val="20"/>
          <w:szCs w:val="20"/>
        </w:rPr>
        <w:t xml:space="preserve"> American Economic Review 35, no. 4 (1945): 519</w:t>
      </w:r>
      <w:r w:rsidR="00340281">
        <w:rPr>
          <w:sz w:val="20"/>
          <w:szCs w:val="20"/>
        </w:rPr>
        <w:t>–</w:t>
      </w:r>
      <w:r>
        <w:rPr>
          <w:sz w:val="20"/>
          <w:szCs w:val="20"/>
        </w:rPr>
        <w:t>530.</w:t>
      </w:r>
    </w:p>
  </w:footnote>
  <w:footnote w:id="17">
    <w:p w14:paraId="7A240F3B" w14:textId="77777777" w:rsidR="00140ACB" w:rsidRDefault="00000000">
      <w:r>
        <w:rPr>
          <w:rStyle w:val="FootnoteReference"/>
        </w:rPr>
        <w:footnoteRef/>
      </w:r>
      <w:r>
        <w:rPr>
          <w:sz w:val="20"/>
          <w:szCs w:val="20"/>
        </w:rPr>
        <w:t xml:space="preserve">Hayek, </w:t>
      </w:r>
      <w:r w:rsidR="00E84250">
        <w:rPr>
          <w:sz w:val="20"/>
          <w:szCs w:val="20"/>
        </w:rPr>
        <w:t>“</w:t>
      </w:r>
      <w:r>
        <w:rPr>
          <w:sz w:val="20"/>
          <w:szCs w:val="20"/>
        </w:rPr>
        <w:t>The Use of Knowledge in Society,</w:t>
      </w:r>
      <w:r w:rsidR="00E84250">
        <w:rPr>
          <w:sz w:val="20"/>
          <w:szCs w:val="20"/>
        </w:rPr>
        <w:t>”</w:t>
      </w:r>
      <w:r>
        <w:rPr>
          <w:sz w:val="20"/>
          <w:szCs w:val="20"/>
        </w:rPr>
        <w:t xml:space="preserve"> 524</w:t>
      </w:r>
      <w:r w:rsidR="00340281">
        <w:rPr>
          <w:sz w:val="20"/>
          <w:szCs w:val="20"/>
        </w:rPr>
        <w:t>–</w:t>
      </w:r>
      <w:r>
        <w:rPr>
          <w:sz w:val="20"/>
          <w:szCs w:val="20"/>
        </w:rPr>
        <w:t>526.</w:t>
      </w:r>
    </w:p>
  </w:footnote>
  <w:footnote w:id="18">
    <w:p w14:paraId="54695367" w14:textId="77777777" w:rsidR="00140ACB" w:rsidRDefault="00000000">
      <w:r>
        <w:rPr>
          <w:rStyle w:val="FootnoteReference"/>
        </w:rPr>
        <w:footnoteRef/>
      </w:r>
      <w:r>
        <w:rPr>
          <w:sz w:val="20"/>
          <w:szCs w:val="20"/>
        </w:rPr>
        <w:t>James C. Scott, Seeing Like a State: How Certain Schemes to Improve the Human Condition Have Failed (New Haven: Yale University Press, 1998).</w:t>
      </w:r>
    </w:p>
  </w:footnote>
  <w:footnote w:id="19">
    <w:p w14:paraId="67B171C1" w14:textId="77777777" w:rsidR="00140ACB" w:rsidRDefault="00000000">
      <w:r>
        <w:rPr>
          <w:rStyle w:val="FootnoteReference"/>
        </w:rPr>
        <w:footnoteRef/>
      </w:r>
      <w:r>
        <w:rPr>
          <w:sz w:val="20"/>
          <w:szCs w:val="20"/>
        </w:rPr>
        <w:t>Charles Perrow, Normal Accidents: Living with High-Risk Technologies, updated ed. (Princeton: Princeton University Press, 1999).</w:t>
      </w:r>
    </w:p>
  </w:footnote>
  <w:footnote w:id="20">
    <w:p w14:paraId="1D65E310" w14:textId="77777777" w:rsidR="00140ACB" w:rsidRDefault="00000000">
      <w:r>
        <w:rPr>
          <w:rStyle w:val="FootnoteReference"/>
        </w:rPr>
        <w:footnoteRef/>
      </w:r>
      <w:r>
        <w:rPr>
          <w:sz w:val="20"/>
          <w:szCs w:val="20"/>
        </w:rPr>
        <w:t xml:space="preserve">Nassim Nicholas Taleb, Antifragile: Things That Gain from Disorder (New York: Random House, 2012), </w:t>
      </w:r>
      <w:proofErr w:type="spellStart"/>
      <w:r>
        <w:rPr>
          <w:sz w:val="20"/>
          <w:szCs w:val="20"/>
        </w:rPr>
        <w:t>chs</w:t>
      </w:r>
      <w:proofErr w:type="spellEnd"/>
      <w:r>
        <w:rPr>
          <w:sz w:val="20"/>
          <w:szCs w:val="20"/>
        </w:rPr>
        <w:t>. 1</w:t>
      </w:r>
      <w:r w:rsidR="00340281">
        <w:rPr>
          <w:sz w:val="20"/>
          <w:szCs w:val="20"/>
        </w:rPr>
        <w:t>–</w:t>
      </w:r>
      <w:r>
        <w:rPr>
          <w:sz w:val="20"/>
          <w:szCs w:val="20"/>
        </w:rPr>
        <w:t>5.</w:t>
      </w:r>
    </w:p>
  </w:footnote>
  <w:footnote w:id="21">
    <w:p w14:paraId="68C4B081" w14:textId="77777777" w:rsidR="00567896" w:rsidRDefault="00567896">
      <w:pPr>
        <w:pStyle w:val="FootnoteText"/>
      </w:pPr>
      <w:r>
        <w:rPr>
          <w:rStyle w:val="FootnoteReference"/>
        </w:rPr>
        <w:footnoteRef/>
      </w:r>
      <w:r>
        <w:t xml:space="preserve"> The literature review in this section was prepared with substantial support from several LLMs, including Claude, ChatGPT, Grok, and Gemini.</w:t>
      </w:r>
    </w:p>
  </w:footnote>
  <w:footnote w:id="22">
    <w:p w14:paraId="5CB440F1" w14:textId="77777777" w:rsidR="00BC1C84" w:rsidRDefault="00BC1C84">
      <w:pPr>
        <w:pStyle w:val="FootnoteText"/>
      </w:pPr>
      <w:r>
        <w:rPr>
          <w:rStyle w:val="FootnoteReference"/>
        </w:rPr>
        <w:footnoteRef/>
      </w:r>
      <w:r>
        <w:t xml:space="preserve"> </w:t>
      </w:r>
      <w:r w:rsidRPr="00BC1C84">
        <w:t xml:space="preserve">Arrow, K. J. (1951). </w:t>
      </w:r>
      <w:r w:rsidRPr="00BC1C84">
        <w:rPr>
          <w:i/>
          <w:iCs/>
        </w:rPr>
        <w:t>Social choice and individual values</w:t>
      </w:r>
      <w:r w:rsidRPr="00BC1C84">
        <w:t xml:space="preserve">. Wiley. </w:t>
      </w:r>
      <w:r w:rsidRPr="00BC1C84">
        <w:rPr>
          <w:i/>
          <w:iCs/>
        </w:rPr>
        <w:t>(2nd ed., 1963, Yale University Press)</w:t>
      </w:r>
    </w:p>
  </w:footnote>
  <w:footnote w:id="23">
    <w:p w14:paraId="0A2C55F7"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 12.</w:t>
      </w:r>
    </w:p>
  </w:footnote>
  <w:footnote w:id="24">
    <w:p w14:paraId="61EA943C"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94, a. 2.</w:t>
      </w:r>
    </w:p>
  </w:footnote>
  <w:footnote w:id="25">
    <w:p w14:paraId="7F45A1C7"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 q. 19, a. 5.</w:t>
      </w:r>
    </w:p>
  </w:footnote>
  <w:footnote w:id="26">
    <w:p w14:paraId="2D5C4349" w14:textId="77777777" w:rsidR="00140ACB" w:rsidRDefault="00000000">
      <w:r>
        <w:rPr>
          <w:rStyle w:val="FootnoteReference"/>
        </w:rPr>
        <w:footnoteRef/>
      </w:r>
      <w:r>
        <w:rPr>
          <w:sz w:val="20"/>
          <w:szCs w:val="20"/>
        </w:rPr>
        <w:t>Aristotle, Nicomachean Ethics, Book VI.</w:t>
      </w:r>
    </w:p>
  </w:footnote>
  <w:footnote w:id="27">
    <w:p w14:paraId="478E01E3"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 q. 79, aa. 1</w:t>
      </w:r>
      <w:r w:rsidR="00340281">
        <w:rPr>
          <w:sz w:val="20"/>
          <w:szCs w:val="20"/>
        </w:rPr>
        <w:t>–</w:t>
      </w:r>
      <w:r>
        <w:rPr>
          <w:sz w:val="20"/>
          <w:szCs w:val="20"/>
        </w:rPr>
        <w:t>13 (on the intellectual faculties).</w:t>
      </w:r>
    </w:p>
  </w:footnote>
  <w:footnote w:id="28">
    <w:p w14:paraId="2DEB4E69" w14:textId="77777777" w:rsidR="00140ACB" w:rsidRDefault="00000000">
      <w:r>
        <w:rPr>
          <w:rStyle w:val="FootnoteReference"/>
        </w:rPr>
        <w:footnoteRef/>
      </w:r>
      <w:r>
        <w:rPr>
          <w:sz w:val="20"/>
          <w:szCs w:val="20"/>
        </w:rPr>
        <w:t xml:space="preserve">Aquinas, Summa </w:t>
      </w:r>
      <w:proofErr w:type="spellStart"/>
      <w:r>
        <w:rPr>
          <w:sz w:val="20"/>
          <w:szCs w:val="20"/>
        </w:rPr>
        <w:t>Theologiae</w:t>
      </w:r>
      <w:proofErr w:type="spellEnd"/>
      <w:r>
        <w:rPr>
          <w:sz w:val="20"/>
          <w:szCs w:val="20"/>
        </w:rPr>
        <w:t>, II-II, QQ. 23</w:t>
      </w:r>
      <w:r w:rsidR="00340281">
        <w:rPr>
          <w:sz w:val="20"/>
          <w:szCs w:val="20"/>
        </w:rPr>
        <w:t>–</w:t>
      </w:r>
      <w:r>
        <w:rPr>
          <w:sz w:val="20"/>
          <w:szCs w:val="20"/>
        </w:rPr>
        <w:t>46 (on caritas) and I-II, QQ. 49</w:t>
      </w:r>
      <w:r w:rsidR="00340281">
        <w:rPr>
          <w:sz w:val="20"/>
          <w:szCs w:val="20"/>
        </w:rPr>
        <w:t>–</w:t>
      </w:r>
      <w:r>
        <w:rPr>
          <w:sz w:val="20"/>
          <w:szCs w:val="20"/>
        </w:rPr>
        <w:t>70 (on habitus and virtues).</w:t>
      </w:r>
    </w:p>
  </w:footnote>
  <w:footnote w:id="29">
    <w:p w14:paraId="372BF008" w14:textId="77777777" w:rsidR="00140ACB" w:rsidRDefault="00000000">
      <w:r>
        <w:rPr>
          <w:rStyle w:val="FootnoteReference"/>
        </w:rPr>
        <w:footnoteRef/>
      </w:r>
      <w:r w:rsidR="002C4A1E">
        <w:rPr>
          <w:sz w:val="20"/>
          <w:szCs w:val="20"/>
        </w:rPr>
        <w:t xml:space="preserve"> </w:t>
      </w:r>
      <w:r>
        <w:rPr>
          <w:sz w:val="20"/>
          <w:szCs w:val="20"/>
        </w:rPr>
        <w:t xml:space="preserve">Newman, </w:t>
      </w:r>
      <w:r w:rsidRPr="00851580">
        <w:rPr>
          <w:i/>
          <w:iCs/>
          <w:sz w:val="20"/>
          <w:szCs w:val="20"/>
        </w:rPr>
        <w:t>Grammar of Assent</w:t>
      </w:r>
    </w:p>
  </w:footnote>
  <w:footnote w:id="30">
    <w:p w14:paraId="2BA42D3D" w14:textId="77777777" w:rsidR="00851580" w:rsidRDefault="00851580">
      <w:pPr>
        <w:pStyle w:val="FootnoteText"/>
      </w:pPr>
      <w:r>
        <w:rPr>
          <w:rStyle w:val="FootnoteReference"/>
        </w:rPr>
        <w:footnoteRef/>
      </w:r>
      <w:r>
        <w:t xml:space="preserve"> Newman, </w:t>
      </w:r>
      <w:r w:rsidRPr="00851580">
        <w:rPr>
          <w:i/>
          <w:iCs/>
        </w:rPr>
        <w:t>Grammar of Assent</w:t>
      </w:r>
      <w:r>
        <w:t xml:space="preserve">, </w:t>
      </w:r>
      <w:proofErr w:type="spellStart"/>
      <w:r>
        <w:t>ch.</w:t>
      </w:r>
      <w:proofErr w:type="spellEnd"/>
      <w:r>
        <w:t xml:space="preserve"> 4: “Notional and Real Assent.”</w:t>
      </w:r>
    </w:p>
  </w:footnote>
  <w:footnote w:id="31">
    <w:p w14:paraId="546837D4" w14:textId="77777777" w:rsidR="002C4A1E" w:rsidRDefault="002C4A1E">
      <w:pPr>
        <w:pStyle w:val="FootnoteText"/>
      </w:pPr>
      <w:r>
        <w:rPr>
          <w:rStyle w:val="FootnoteReference"/>
        </w:rPr>
        <w:footnoteRef/>
      </w:r>
      <w:r>
        <w:t xml:space="preserve"> Newman, </w:t>
      </w:r>
      <w:r w:rsidRPr="00851580">
        <w:rPr>
          <w:i/>
          <w:iCs/>
        </w:rPr>
        <w:t>Grammar of Assent</w:t>
      </w:r>
      <w:r>
        <w:t xml:space="preserve">, </w:t>
      </w:r>
      <w:proofErr w:type="spellStart"/>
      <w:r>
        <w:t>ch.</w:t>
      </w:r>
      <w:proofErr w:type="spellEnd"/>
      <w:r>
        <w:t xml:space="preserve"> 8: “Inference” and </w:t>
      </w:r>
      <w:proofErr w:type="spellStart"/>
      <w:r>
        <w:t>ch.</w:t>
      </w:r>
      <w:proofErr w:type="spellEnd"/>
      <w:r>
        <w:t xml:space="preserve"> 9: “The Illative Sense.”</w:t>
      </w:r>
    </w:p>
  </w:footnote>
  <w:footnote w:id="32">
    <w:p w14:paraId="3D32A279" w14:textId="77777777" w:rsidR="00140ACB" w:rsidRDefault="00000000">
      <w:r>
        <w:rPr>
          <w:rStyle w:val="FootnoteReference"/>
        </w:rPr>
        <w:footnoteRef/>
      </w:r>
      <w:r>
        <w:rPr>
          <w:sz w:val="20"/>
          <w:szCs w:val="20"/>
        </w:rPr>
        <w:t xml:space="preserve">Newman, </w:t>
      </w:r>
      <w:r w:rsidRPr="000839E0">
        <w:rPr>
          <w:i/>
          <w:iCs/>
          <w:sz w:val="20"/>
          <w:szCs w:val="20"/>
        </w:rPr>
        <w:t>Grammar of Assent</w:t>
      </w:r>
      <w:r>
        <w:rPr>
          <w:sz w:val="20"/>
          <w:szCs w:val="20"/>
        </w:rPr>
        <w:t xml:space="preserve">, </w:t>
      </w:r>
      <w:proofErr w:type="spellStart"/>
      <w:r>
        <w:rPr>
          <w:sz w:val="20"/>
          <w:szCs w:val="20"/>
        </w:rPr>
        <w:t>ch.</w:t>
      </w:r>
      <w:proofErr w:type="spellEnd"/>
      <w:r>
        <w:rPr>
          <w:sz w:val="20"/>
          <w:szCs w:val="20"/>
        </w:rPr>
        <w:t xml:space="preserve"> 9, §2.</w:t>
      </w:r>
    </w:p>
  </w:footnote>
  <w:footnote w:id="33">
    <w:p w14:paraId="5A8FC95B" w14:textId="77777777" w:rsidR="00140ACB" w:rsidRDefault="00000000">
      <w:r>
        <w:rPr>
          <w:rStyle w:val="FootnoteReference"/>
        </w:rPr>
        <w:footnoteRef/>
      </w:r>
      <w:r>
        <w:rPr>
          <w:sz w:val="20"/>
          <w:szCs w:val="20"/>
        </w:rPr>
        <w:t xml:space="preserve">Newman, A Letter Addressed to His Grace the Duke of Norfolk (London: B. M. Pickering, 1875), §5: </w:t>
      </w:r>
      <w:r w:rsidR="00E84250">
        <w:rPr>
          <w:sz w:val="20"/>
          <w:szCs w:val="20"/>
        </w:rPr>
        <w:t>“</w:t>
      </w:r>
      <w:r>
        <w:rPr>
          <w:sz w:val="20"/>
          <w:szCs w:val="20"/>
        </w:rPr>
        <w:t>Conscience is the aboriginal Vicar of Christ.</w:t>
      </w:r>
      <w:r w:rsidR="00E84250">
        <w:rPr>
          <w:sz w:val="20"/>
          <w:szCs w:val="20"/>
        </w:rPr>
        <w:t>”</w:t>
      </w:r>
    </w:p>
  </w:footnote>
  <w:footnote w:id="34">
    <w:p w14:paraId="592C9A40" w14:textId="77777777" w:rsidR="000F5666" w:rsidRDefault="000F5666">
      <w:pPr>
        <w:pStyle w:val="FootnoteText"/>
      </w:pPr>
      <w:r>
        <w:rPr>
          <w:rStyle w:val="FootnoteReference"/>
        </w:rPr>
        <w:footnoteRef/>
      </w:r>
      <w:r>
        <w:t xml:space="preserve"> Kahneman, Thinking, Fast and Slow, chs. 1–9.</w:t>
      </w:r>
    </w:p>
  </w:footnote>
  <w:footnote w:id="35">
    <w:p w14:paraId="1F265C33" w14:textId="77777777" w:rsidR="000F5666" w:rsidRDefault="000F5666">
      <w:pPr>
        <w:pStyle w:val="FootnoteText"/>
      </w:pPr>
      <w:r>
        <w:rPr>
          <w:rStyle w:val="FootnoteReference"/>
        </w:rPr>
        <w:footnoteRef/>
      </w:r>
      <w:r>
        <w:t xml:space="preserve"> Kahneman, Thinking, Fast and Slow, chs. 1–9.</w:t>
      </w:r>
    </w:p>
  </w:footnote>
  <w:footnote w:id="36">
    <w:p w14:paraId="1DABC6ED"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37">
    <w:p w14:paraId="61FB46FD"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38">
    <w:p w14:paraId="7FDF5064" w14:textId="77777777" w:rsidR="00140ACB" w:rsidRDefault="00000000">
      <w:r>
        <w:rPr>
          <w:rStyle w:val="FootnoteReference"/>
        </w:rPr>
        <w:footnoteRef/>
      </w:r>
      <w:r>
        <w:rPr>
          <w:sz w:val="20"/>
          <w:szCs w:val="20"/>
        </w:rPr>
        <w:t xml:space="preserve">Ostrom, Governing the Commons, </w:t>
      </w:r>
      <w:proofErr w:type="spellStart"/>
      <w:r>
        <w:rPr>
          <w:sz w:val="20"/>
          <w:szCs w:val="20"/>
        </w:rPr>
        <w:t>ch.</w:t>
      </w:r>
      <w:proofErr w:type="spellEnd"/>
      <w:r>
        <w:rPr>
          <w:sz w:val="20"/>
          <w:szCs w:val="20"/>
        </w:rPr>
        <w:t xml:space="preserve"> 3.</w:t>
      </w:r>
    </w:p>
  </w:footnote>
  <w:footnote w:id="39">
    <w:p w14:paraId="351C0F87" w14:textId="77777777" w:rsidR="00140ACB" w:rsidRDefault="00000000">
      <w:r>
        <w:rPr>
          <w:rStyle w:val="FootnoteReference"/>
        </w:rPr>
        <w:footnoteRef/>
      </w:r>
      <w:r>
        <w:rPr>
          <w:sz w:val="20"/>
          <w:szCs w:val="20"/>
        </w:rPr>
        <w:t>Ostrom, Governing the Commons, 90.</w:t>
      </w:r>
    </w:p>
  </w:footnote>
  <w:footnote w:id="40">
    <w:p w14:paraId="108C89FC" w14:textId="77777777" w:rsidR="00140ACB" w:rsidRDefault="00000000">
      <w:r>
        <w:rPr>
          <w:rStyle w:val="FootnoteReference"/>
        </w:rPr>
        <w:footnoteRef/>
      </w:r>
      <w:r>
        <w:rPr>
          <w:sz w:val="20"/>
          <w:szCs w:val="20"/>
        </w:rPr>
        <w:t>Ostrom, Governing the Commons, 90</w:t>
      </w:r>
      <w:r w:rsidR="00340281">
        <w:rPr>
          <w:sz w:val="20"/>
          <w:szCs w:val="20"/>
        </w:rPr>
        <w:t>–</w:t>
      </w:r>
      <w:r>
        <w:rPr>
          <w:sz w:val="20"/>
          <w:szCs w:val="20"/>
        </w:rPr>
        <w:t xml:space="preserve">92; see also Ostrom, </w:t>
      </w:r>
      <w:r w:rsidR="00E84250">
        <w:rPr>
          <w:sz w:val="20"/>
          <w:szCs w:val="20"/>
        </w:rPr>
        <w:t>“</w:t>
      </w:r>
      <w:r>
        <w:rPr>
          <w:sz w:val="20"/>
          <w:szCs w:val="20"/>
        </w:rPr>
        <w:t>Beyond Markets and States: Polycentric Governance of Complex Economic Systems,</w:t>
      </w:r>
      <w:r w:rsidR="00E84250">
        <w:rPr>
          <w:sz w:val="20"/>
          <w:szCs w:val="20"/>
        </w:rPr>
        <w:t>”</w:t>
      </w:r>
      <w:r>
        <w:rPr>
          <w:sz w:val="20"/>
          <w:szCs w:val="20"/>
        </w:rPr>
        <w:t xml:space="preserve"> Nobel Prize Lecture (2009).</w:t>
      </w:r>
    </w:p>
  </w:footnote>
  <w:footnote w:id="41">
    <w:p w14:paraId="7A963726" w14:textId="77777777" w:rsidR="00140ACB" w:rsidRDefault="00000000">
      <w:r>
        <w:rPr>
          <w:rStyle w:val="FootnoteReference"/>
        </w:rPr>
        <w:footnoteRef/>
      </w:r>
      <w:r>
        <w:rPr>
          <w:sz w:val="20"/>
          <w:szCs w:val="20"/>
        </w:rPr>
        <w:t>Pope Leo XIII, Rerum Novarum (1891), §35.</w:t>
      </w:r>
    </w:p>
  </w:footnote>
  <w:footnote w:id="42">
    <w:p w14:paraId="6FCEAC41" w14:textId="77777777" w:rsidR="00140ACB" w:rsidRDefault="00000000">
      <w:r>
        <w:rPr>
          <w:rStyle w:val="FootnoteReference"/>
        </w:rPr>
        <w:footnoteRef/>
      </w:r>
      <w:r>
        <w:rPr>
          <w:sz w:val="20"/>
          <w:szCs w:val="20"/>
        </w:rPr>
        <w:t xml:space="preserve">Pope Pius XI, </w:t>
      </w:r>
      <w:proofErr w:type="spellStart"/>
      <w:r>
        <w:rPr>
          <w:sz w:val="20"/>
          <w:szCs w:val="20"/>
        </w:rPr>
        <w:t>Quadragesimo</w:t>
      </w:r>
      <w:proofErr w:type="spellEnd"/>
      <w:r>
        <w:rPr>
          <w:sz w:val="20"/>
          <w:szCs w:val="20"/>
        </w:rPr>
        <w:t xml:space="preserve"> Anno (1931), §79.</w:t>
      </w:r>
    </w:p>
  </w:footnote>
  <w:footnote w:id="43">
    <w:p w14:paraId="66B338C4" w14:textId="77777777" w:rsidR="00140ACB" w:rsidRDefault="00000000">
      <w:r>
        <w:rPr>
          <w:rStyle w:val="FootnoteReference"/>
        </w:rPr>
        <w:footnoteRef/>
      </w:r>
      <w:r>
        <w:rPr>
          <w:sz w:val="20"/>
          <w:szCs w:val="20"/>
        </w:rPr>
        <w:t>Pontifical Council for Justice and Peace, Compendium of the Social Doctrine of the Church (2004), §§185</w:t>
      </w:r>
      <w:r w:rsidR="00340281">
        <w:rPr>
          <w:sz w:val="20"/>
          <w:szCs w:val="20"/>
        </w:rPr>
        <w:t>–</w:t>
      </w:r>
      <w:r>
        <w:rPr>
          <w:sz w:val="20"/>
          <w:szCs w:val="20"/>
        </w:rPr>
        <w:t>188.</w:t>
      </w:r>
    </w:p>
  </w:footnote>
  <w:footnote w:id="44">
    <w:p w14:paraId="04959A7D"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4.2 and Section 6.</w:t>
      </w:r>
    </w:p>
  </w:footnote>
  <w:footnote w:id="45">
    <w:p w14:paraId="7A54545F" w14:textId="77777777" w:rsidR="007731DD" w:rsidRDefault="007731DD"/>
    <w:p w14:paraId="1035ABBD" w14:textId="77777777" w:rsidR="000F5666" w:rsidRDefault="000F5666"/>
  </w:footnote>
  <w:footnote w:id="46">
    <w:p w14:paraId="760A226F"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6, Architecture.</w:t>
      </w:r>
    </w:p>
  </w:footnote>
  <w:footnote w:id="47">
    <w:p w14:paraId="7DD8060A" w14:textId="77777777" w:rsidR="00140ACB" w:rsidRDefault="00000000">
      <w:r>
        <w:rPr>
          <w:rStyle w:val="FootnoteReference"/>
        </w:rPr>
        <w:footnoteRef/>
      </w:r>
      <w:r>
        <w:rPr>
          <w:sz w:val="20"/>
          <w:szCs w:val="20"/>
        </w:rPr>
        <w:t xml:space="preserve">Alasdair MacIntyre, After Virtue, 3rd ed. (Notre Dame: University of Notre Dame Press, 2007), </w:t>
      </w:r>
      <w:proofErr w:type="spellStart"/>
      <w:r>
        <w:rPr>
          <w:sz w:val="20"/>
          <w:szCs w:val="20"/>
        </w:rPr>
        <w:t>ch.</w:t>
      </w:r>
      <w:proofErr w:type="spellEnd"/>
      <w:r>
        <w:rPr>
          <w:sz w:val="20"/>
          <w:szCs w:val="20"/>
        </w:rPr>
        <w:t xml:space="preserve"> 15.</w:t>
      </w:r>
    </w:p>
  </w:footnote>
  <w:footnote w:id="48">
    <w:p w14:paraId="636CA84A"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3.1</w:t>
      </w:r>
      <w:r w:rsidR="00340281">
        <w:rPr>
          <w:sz w:val="20"/>
          <w:szCs w:val="20"/>
        </w:rPr>
        <w:t>–</w:t>
      </w:r>
      <w:r>
        <w:rPr>
          <w:sz w:val="20"/>
          <w:szCs w:val="20"/>
        </w:rPr>
        <w:t>3.2.</w:t>
      </w:r>
    </w:p>
  </w:footnote>
  <w:footnote w:id="49">
    <w:p w14:paraId="5A81060F" w14:textId="77777777" w:rsidR="003B044D" w:rsidRDefault="00000000">
      <w:pPr>
        <w:pStyle w:val="FootnoteText"/>
      </w:pPr>
      <w:r>
        <w:rPr>
          <w:rStyle w:val="FootnoteReference"/>
        </w:rPr>
        <w:footnoteRef/>
      </w:r>
      <w:r>
        <w:t xml:space="preserve"> The test harness, scenario corpus, and full results are available at https://github.com/leo3linbeck/conscience-reseearch.</w:t>
      </w:r>
    </w:p>
  </w:footnote>
  <w:footnote w:id="50">
    <w:p w14:paraId="22D24BDC" w14:textId="77777777" w:rsidR="003B044D" w:rsidRDefault="00000000">
      <w:pPr>
        <w:pStyle w:val="FootnoteText"/>
      </w:pPr>
      <w:r>
        <w:rPr>
          <w:rStyle w:val="FootnoteReference"/>
        </w:rPr>
        <w:footnoteRef/>
      </w:r>
      <w:r>
        <w:t xml:space="preserve"> Claude Code is </w:t>
      </w:r>
      <w:proofErr w:type="spellStart"/>
      <w:r>
        <w:t>Anthropic</w:t>
      </w:r>
      <w:r w:rsidR="00B81728">
        <w:t>’</w:t>
      </w:r>
      <w:r>
        <w:t>s</w:t>
      </w:r>
      <w:proofErr w:type="spellEnd"/>
      <w:r>
        <w:t xml:space="preserve"> command-line agent for software development, supporting PreToolUse hooks that execute before any tool call. See https://docs.anthropic.com/en/docs/claude-code.</w:t>
      </w:r>
    </w:p>
  </w:footnote>
  <w:footnote w:id="51">
    <w:p w14:paraId="2F49E0FE" w14:textId="0FCA46BF" w:rsidR="004B5B7D" w:rsidRDefault="004B5B7D">
      <w:pPr>
        <w:pStyle w:val="FootnoteText"/>
      </w:pPr>
      <w:r>
        <w:rPr>
          <w:rStyle w:val="FootnoteReference"/>
        </w:rPr>
        <w:footnoteRef/>
      </w:r>
      <w:r>
        <w:t xml:space="preserve"> </w:t>
      </w:r>
      <w:r w:rsidRPr="004B5B7D">
        <w:t>Debenedetti, Edoardo, Jie Zhang, Mislav Balunovic, Luca Beurer-Kellner, Marc Fischer, and Florian Tramèr. "</w:t>
      </w:r>
      <w:proofErr w:type="spellStart"/>
      <w:r w:rsidRPr="004B5B7D">
        <w:t>AgentDojo</w:t>
      </w:r>
      <w:proofErr w:type="spellEnd"/>
      <w:r w:rsidRPr="004B5B7D">
        <w:t xml:space="preserve">: A Dynamic Environment to Evaluate Prompt Injection Attacks and Defenses for LLM Agents." </w:t>
      </w:r>
      <w:r w:rsidRPr="004B5B7D">
        <w:rPr>
          <w:i/>
          <w:iCs/>
        </w:rPr>
        <w:t>Advances in Neural Information Processing Systems 37</w:t>
      </w:r>
      <w:r w:rsidRPr="004B5B7D">
        <w:t xml:space="preserve"> (</w:t>
      </w:r>
      <w:proofErr w:type="spellStart"/>
      <w:r w:rsidRPr="004B5B7D">
        <w:t>NeurIPS</w:t>
      </w:r>
      <w:proofErr w:type="spellEnd"/>
      <w:r w:rsidRPr="004B5B7D">
        <w:t xml:space="preserve"> 2024), Datasets and Benchmarks Track. arXiv:2406.13352.</w:t>
      </w:r>
    </w:p>
  </w:footnote>
  <w:footnote w:id="52">
    <w:p w14:paraId="18A08B77" w14:textId="77777777" w:rsidR="004B5B7D" w:rsidRPr="004B5B7D" w:rsidRDefault="004B5B7D" w:rsidP="004B5B7D">
      <w:pPr>
        <w:pStyle w:val="FootnoteText"/>
      </w:pPr>
      <w:r>
        <w:rPr>
          <w:rStyle w:val="FootnoteReference"/>
        </w:rPr>
        <w:footnoteRef/>
      </w:r>
      <w:r>
        <w:t xml:space="preserve"> </w:t>
      </w:r>
      <w:r w:rsidRPr="004B5B7D">
        <w:t>Andriushchenko, Maksym, Alexandra Souly, Mateusz Dziemian, Derek Duenas, Maxwell Lin, Justin Wang, Dan Hendrycks, Andy Zou, Zico Kolter, Matt Fredrikson, Eric Winsor, Jerome Wynne, Yarin Gal, and Xander Davies. "</w:t>
      </w:r>
      <w:proofErr w:type="spellStart"/>
      <w:r w:rsidRPr="004B5B7D">
        <w:t>AgentHarm</w:t>
      </w:r>
      <w:proofErr w:type="spellEnd"/>
      <w:r w:rsidRPr="004B5B7D">
        <w:t xml:space="preserve">: A Benchmark for Measuring Harmfulness of LLM Agents." </w:t>
      </w:r>
      <w:r w:rsidRPr="004B5B7D">
        <w:rPr>
          <w:i/>
          <w:iCs/>
        </w:rPr>
        <w:t>Proceedings of the International Conference on Learning Representations</w:t>
      </w:r>
      <w:r w:rsidRPr="004B5B7D">
        <w:t xml:space="preserve"> (ICLR 2025). arXiv:2410.09024.</w:t>
      </w:r>
    </w:p>
    <w:p w14:paraId="6C936E59" w14:textId="0EA8819A" w:rsidR="004B5B7D" w:rsidRDefault="004B5B7D">
      <w:pPr>
        <w:pStyle w:val="FootnoteText"/>
      </w:pPr>
    </w:p>
  </w:footnote>
  <w:footnote w:id="53">
    <w:p w14:paraId="78B50BAA" w14:textId="77777777" w:rsidR="00140ACB" w:rsidRDefault="00000000">
      <w:r>
        <w:rPr>
          <w:rStyle w:val="FootnoteReference"/>
        </w:rPr>
        <w:footnoteRef/>
      </w:r>
      <w:r>
        <w:rPr>
          <w:sz w:val="20"/>
          <w:szCs w:val="20"/>
        </w:rPr>
        <w:t xml:space="preserve">Linbeck, </w:t>
      </w:r>
      <w:r w:rsidR="00E84250">
        <w:rPr>
          <w:sz w:val="20"/>
          <w:szCs w:val="20"/>
        </w:rPr>
        <w:t>“</w:t>
      </w:r>
      <w:r>
        <w:rPr>
          <w:sz w:val="20"/>
          <w:szCs w:val="20"/>
        </w:rPr>
        <w:t>Guardian Angel,</w:t>
      </w:r>
      <w:r w:rsidR="00E84250">
        <w:rPr>
          <w:sz w:val="20"/>
          <w:szCs w:val="20"/>
        </w:rPr>
        <w:t>”</w:t>
      </w:r>
      <w:r>
        <w:rPr>
          <w:sz w:val="20"/>
          <w:szCs w:val="20"/>
        </w:rPr>
        <w:t xml:space="preserve"> Section 11.</w:t>
      </w:r>
    </w:p>
  </w:footnote>
  <w:footnote w:id="54">
    <w:p w14:paraId="548D634E" w14:textId="77777777" w:rsidR="00140ACB" w:rsidRDefault="00000000">
      <w:r>
        <w:rPr>
          <w:rStyle w:val="FootnoteReference"/>
        </w:rPr>
        <w:footnoteRef/>
      </w:r>
      <w:r>
        <w:rPr>
          <w:sz w:val="20"/>
          <w:szCs w:val="20"/>
        </w:rPr>
        <w:t xml:space="preserve">Dario Amodei et al., </w:t>
      </w:r>
      <w:r w:rsidR="00E84250">
        <w:rPr>
          <w:sz w:val="20"/>
          <w:szCs w:val="20"/>
        </w:rPr>
        <w:t>“</w:t>
      </w:r>
      <w:r>
        <w:rPr>
          <w:sz w:val="20"/>
          <w:szCs w:val="20"/>
        </w:rPr>
        <w:t>Constitutional AI: Harmlessness from AI Feedback,</w:t>
      </w:r>
      <w:r w:rsidR="00E84250">
        <w:rPr>
          <w:sz w:val="20"/>
          <w:szCs w:val="20"/>
        </w:rPr>
        <w:t>”</w:t>
      </w:r>
      <w:r>
        <w:rPr>
          <w:sz w:val="20"/>
          <w:szCs w:val="20"/>
        </w:rPr>
        <w:t xml:space="preserve"> arXiv:2212.08073 (2022).</w:t>
      </w:r>
    </w:p>
  </w:footnote>
  <w:footnote w:id="55">
    <w:p w14:paraId="4F278C6A" w14:textId="77777777" w:rsidR="00140ACB" w:rsidRDefault="00000000">
      <w:r>
        <w:rPr>
          <w:rStyle w:val="FootnoteReference"/>
        </w:rPr>
        <w:footnoteRef/>
      </w:r>
      <w:r>
        <w:rPr>
          <w:sz w:val="20"/>
          <w:szCs w:val="20"/>
        </w:rPr>
        <w:t xml:space="preserve">Jan Leike et al., </w:t>
      </w:r>
      <w:r w:rsidR="00E84250">
        <w:rPr>
          <w:sz w:val="20"/>
          <w:szCs w:val="20"/>
        </w:rPr>
        <w:t>“</w:t>
      </w:r>
      <w:r>
        <w:rPr>
          <w:sz w:val="20"/>
          <w:szCs w:val="20"/>
        </w:rPr>
        <w:t>Scalable Agent Alignment via Reward Modeling: A Research Direction,</w:t>
      </w:r>
      <w:r w:rsidR="00E84250">
        <w:rPr>
          <w:sz w:val="20"/>
          <w:szCs w:val="20"/>
        </w:rPr>
        <w:t>”</w:t>
      </w:r>
      <w:r>
        <w:rPr>
          <w:sz w:val="20"/>
          <w:szCs w:val="20"/>
        </w:rPr>
        <w:t xml:space="preserve"> arXiv:1811.07871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BE41" w14:textId="77777777" w:rsidR="00140ACB" w:rsidRDefault="00000000">
    <w:pPr>
      <w:jc w:val="right"/>
    </w:pPr>
    <w:r>
      <w:rPr>
        <w:i/>
        <w:iCs/>
        <w:color w:val="888888"/>
        <w:sz w:val="18"/>
        <w:szCs w:val="18"/>
      </w:rPr>
      <w:t>Conscience is All You Need</w:t>
    </w:r>
    <w:r w:rsidR="00EF06A8">
      <w:rPr>
        <w:i/>
        <w:iCs/>
        <w:color w:val="888888"/>
        <w:sz w:val="18"/>
        <w:szCs w:val="18"/>
      </w:rPr>
      <w:t xml:space="preserve"> – DRAFT 27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A2595"/>
    <w:multiLevelType w:val="hybridMultilevel"/>
    <w:tmpl w:val="0E4A77B0"/>
    <w:lvl w:ilvl="0" w:tplc="11C62D42">
      <w:start w:val="1"/>
      <w:numFmt w:val="bullet"/>
      <w:lvlText w:val="●"/>
      <w:lvlJc w:val="left"/>
      <w:pPr>
        <w:ind w:left="720" w:hanging="360"/>
      </w:pPr>
    </w:lvl>
    <w:lvl w:ilvl="1" w:tplc="A000D0F2">
      <w:start w:val="1"/>
      <w:numFmt w:val="bullet"/>
      <w:lvlText w:val="○"/>
      <w:lvlJc w:val="left"/>
      <w:pPr>
        <w:ind w:left="1440" w:hanging="360"/>
      </w:pPr>
    </w:lvl>
    <w:lvl w:ilvl="2" w:tplc="73982900">
      <w:start w:val="1"/>
      <w:numFmt w:val="bullet"/>
      <w:lvlText w:val="■"/>
      <w:lvlJc w:val="left"/>
      <w:pPr>
        <w:ind w:left="2160" w:hanging="360"/>
      </w:pPr>
    </w:lvl>
    <w:lvl w:ilvl="3" w:tplc="679A1DC8">
      <w:start w:val="1"/>
      <w:numFmt w:val="bullet"/>
      <w:lvlText w:val="●"/>
      <w:lvlJc w:val="left"/>
      <w:pPr>
        <w:ind w:left="2880" w:hanging="360"/>
      </w:pPr>
    </w:lvl>
    <w:lvl w:ilvl="4" w:tplc="F5F0AC8C">
      <w:start w:val="1"/>
      <w:numFmt w:val="bullet"/>
      <w:lvlText w:val="○"/>
      <w:lvlJc w:val="left"/>
      <w:pPr>
        <w:ind w:left="3600" w:hanging="360"/>
      </w:pPr>
    </w:lvl>
    <w:lvl w:ilvl="5" w:tplc="EC504F3E">
      <w:start w:val="1"/>
      <w:numFmt w:val="bullet"/>
      <w:lvlText w:val="■"/>
      <w:lvlJc w:val="left"/>
      <w:pPr>
        <w:ind w:left="4320" w:hanging="360"/>
      </w:pPr>
    </w:lvl>
    <w:lvl w:ilvl="6" w:tplc="4EE61D46">
      <w:start w:val="1"/>
      <w:numFmt w:val="bullet"/>
      <w:lvlText w:val="●"/>
      <w:lvlJc w:val="left"/>
      <w:pPr>
        <w:ind w:left="5040" w:hanging="360"/>
      </w:pPr>
    </w:lvl>
    <w:lvl w:ilvl="7" w:tplc="5660198C">
      <w:start w:val="1"/>
      <w:numFmt w:val="bullet"/>
      <w:lvlText w:val="●"/>
      <w:lvlJc w:val="left"/>
      <w:pPr>
        <w:ind w:left="5760" w:hanging="360"/>
      </w:pPr>
    </w:lvl>
    <w:lvl w:ilvl="8" w:tplc="946C6426">
      <w:start w:val="1"/>
      <w:numFmt w:val="bullet"/>
      <w:lvlText w:val="●"/>
      <w:lvlJc w:val="left"/>
      <w:pPr>
        <w:ind w:left="6480" w:hanging="360"/>
      </w:pPr>
    </w:lvl>
  </w:abstractNum>
  <w:num w:numId="1" w16cid:durableId="732973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ACB"/>
    <w:rsid w:val="0000295B"/>
    <w:rsid w:val="000029A2"/>
    <w:rsid w:val="00026923"/>
    <w:rsid w:val="000315FC"/>
    <w:rsid w:val="000378E0"/>
    <w:rsid w:val="00037DBC"/>
    <w:rsid w:val="0004594A"/>
    <w:rsid w:val="000505A0"/>
    <w:rsid w:val="00061D94"/>
    <w:rsid w:val="0007398E"/>
    <w:rsid w:val="00076474"/>
    <w:rsid w:val="000774CF"/>
    <w:rsid w:val="000803C8"/>
    <w:rsid w:val="00081CFC"/>
    <w:rsid w:val="000839E0"/>
    <w:rsid w:val="000876E4"/>
    <w:rsid w:val="0009754E"/>
    <w:rsid w:val="000D4099"/>
    <w:rsid w:val="000F5666"/>
    <w:rsid w:val="00103CBA"/>
    <w:rsid w:val="001108BD"/>
    <w:rsid w:val="00113059"/>
    <w:rsid w:val="00140ACB"/>
    <w:rsid w:val="00141293"/>
    <w:rsid w:val="00144E8F"/>
    <w:rsid w:val="00153F87"/>
    <w:rsid w:val="0016094C"/>
    <w:rsid w:val="00163217"/>
    <w:rsid w:val="00163286"/>
    <w:rsid w:val="001662EE"/>
    <w:rsid w:val="00184FF3"/>
    <w:rsid w:val="001966D4"/>
    <w:rsid w:val="001B29B4"/>
    <w:rsid w:val="001B3C77"/>
    <w:rsid w:val="001E0941"/>
    <w:rsid w:val="001E2AE2"/>
    <w:rsid w:val="001E4BA1"/>
    <w:rsid w:val="001E6AC8"/>
    <w:rsid w:val="001F7EDF"/>
    <w:rsid w:val="00204DAF"/>
    <w:rsid w:val="0020581A"/>
    <w:rsid w:val="00206E3B"/>
    <w:rsid w:val="00223ECD"/>
    <w:rsid w:val="00224F63"/>
    <w:rsid w:val="00235ED2"/>
    <w:rsid w:val="00251753"/>
    <w:rsid w:val="002730B4"/>
    <w:rsid w:val="002866F6"/>
    <w:rsid w:val="0029613F"/>
    <w:rsid w:val="002A7FD2"/>
    <w:rsid w:val="002C4A1E"/>
    <w:rsid w:val="002C4BCB"/>
    <w:rsid w:val="002C7B36"/>
    <w:rsid w:val="002E1D52"/>
    <w:rsid w:val="002F10BB"/>
    <w:rsid w:val="002F6DE5"/>
    <w:rsid w:val="002F7A39"/>
    <w:rsid w:val="0030567D"/>
    <w:rsid w:val="00307D83"/>
    <w:rsid w:val="0031482F"/>
    <w:rsid w:val="0032060B"/>
    <w:rsid w:val="003232C5"/>
    <w:rsid w:val="00331C9D"/>
    <w:rsid w:val="00340281"/>
    <w:rsid w:val="003674F0"/>
    <w:rsid w:val="00382853"/>
    <w:rsid w:val="00393685"/>
    <w:rsid w:val="003B044D"/>
    <w:rsid w:val="003C0C39"/>
    <w:rsid w:val="003C3985"/>
    <w:rsid w:val="003C3BD1"/>
    <w:rsid w:val="003D3ABD"/>
    <w:rsid w:val="003E54ED"/>
    <w:rsid w:val="004010DB"/>
    <w:rsid w:val="004141BD"/>
    <w:rsid w:val="0043391C"/>
    <w:rsid w:val="00437B7A"/>
    <w:rsid w:val="0044214C"/>
    <w:rsid w:val="00442320"/>
    <w:rsid w:val="00444823"/>
    <w:rsid w:val="00444E52"/>
    <w:rsid w:val="004463B0"/>
    <w:rsid w:val="00457203"/>
    <w:rsid w:val="004628A8"/>
    <w:rsid w:val="00467BB6"/>
    <w:rsid w:val="00470690"/>
    <w:rsid w:val="0048040E"/>
    <w:rsid w:val="00484A82"/>
    <w:rsid w:val="00484B84"/>
    <w:rsid w:val="00485BF5"/>
    <w:rsid w:val="004871A6"/>
    <w:rsid w:val="004A528E"/>
    <w:rsid w:val="004B449D"/>
    <w:rsid w:val="004B5B7D"/>
    <w:rsid w:val="004B79B1"/>
    <w:rsid w:val="004C2EC5"/>
    <w:rsid w:val="004C5370"/>
    <w:rsid w:val="004C5867"/>
    <w:rsid w:val="004C722B"/>
    <w:rsid w:val="004D5A6E"/>
    <w:rsid w:val="004E1197"/>
    <w:rsid w:val="004F2589"/>
    <w:rsid w:val="0052022A"/>
    <w:rsid w:val="00531BD7"/>
    <w:rsid w:val="00537AA5"/>
    <w:rsid w:val="005409AE"/>
    <w:rsid w:val="00542685"/>
    <w:rsid w:val="00543C07"/>
    <w:rsid w:val="005522E2"/>
    <w:rsid w:val="0055438F"/>
    <w:rsid w:val="00556572"/>
    <w:rsid w:val="005664B4"/>
    <w:rsid w:val="005668BA"/>
    <w:rsid w:val="00567896"/>
    <w:rsid w:val="005726CB"/>
    <w:rsid w:val="00586284"/>
    <w:rsid w:val="00596911"/>
    <w:rsid w:val="005A0148"/>
    <w:rsid w:val="005B2BC6"/>
    <w:rsid w:val="005D692F"/>
    <w:rsid w:val="005D6C80"/>
    <w:rsid w:val="005E0147"/>
    <w:rsid w:val="005E482E"/>
    <w:rsid w:val="005E65EB"/>
    <w:rsid w:val="005F17A1"/>
    <w:rsid w:val="00614A4A"/>
    <w:rsid w:val="00635394"/>
    <w:rsid w:val="0064049B"/>
    <w:rsid w:val="00642064"/>
    <w:rsid w:val="00643045"/>
    <w:rsid w:val="0066197E"/>
    <w:rsid w:val="0067780C"/>
    <w:rsid w:val="00682E45"/>
    <w:rsid w:val="00682F17"/>
    <w:rsid w:val="0069135D"/>
    <w:rsid w:val="006A47C6"/>
    <w:rsid w:val="006A51F2"/>
    <w:rsid w:val="006B348A"/>
    <w:rsid w:val="006D2EB1"/>
    <w:rsid w:val="006D551B"/>
    <w:rsid w:val="006E2318"/>
    <w:rsid w:val="006E4AAB"/>
    <w:rsid w:val="006E4B4A"/>
    <w:rsid w:val="006E7C01"/>
    <w:rsid w:val="006F2E12"/>
    <w:rsid w:val="006F58FF"/>
    <w:rsid w:val="00701E49"/>
    <w:rsid w:val="007032B1"/>
    <w:rsid w:val="00720FDD"/>
    <w:rsid w:val="00722BBD"/>
    <w:rsid w:val="00723606"/>
    <w:rsid w:val="00734C13"/>
    <w:rsid w:val="007427B4"/>
    <w:rsid w:val="007459BF"/>
    <w:rsid w:val="00747811"/>
    <w:rsid w:val="007622AA"/>
    <w:rsid w:val="00770E32"/>
    <w:rsid w:val="00771F33"/>
    <w:rsid w:val="007731DD"/>
    <w:rsid w:val="007936D8"/>
    <w:rsid w:val="007B7061"/>
    <w:rsid w:val="007D2FE8"/>
    <w:rsid w:val="007D4071"/>
    <w:rsid w:val="007D4948"/>
    <w:rsid w:val="007F0179"/>
    <w:rsid w:val="008070D9"/>
    <w:rsid w:val="00813BAF"/>
    <w:rsid w:val="00815674"/>
    <w:rsid w:val="008218EB"/>
    <w:rsid w:val="00822C03"/>
    <w:rsid w:val="008245FD"/>
    <w:rsid w:val="00833071"/>
    <w:rsid w:val="00833CDC"/>
    <w:rsid w:val="008409D0"/>
    <w:rsid w:val="00851580"/>
    <w:rsid w:val="0087273D"/>
    <w:rsid w:val="008754DB"/>
    <w:rsid w:val="008922AA"/>
    <w:rsid w:val="008A05E5"/>
    <w:rsid w:val="008A40C4"/>
    <w:rsid w:val="008A6DEE"/>
    <w:rsid w:val="008B353A"/>
    <w:rsid w:val="008B6AD2"/>
    <w:rsid w:val="008D1395"/>
    <w:rsid w:val="008D3BFA"/>
    <w:rsid w:val="008F5B57"/>
    <w:rsid w:val="009016A7"/>
    <w:rsid w:val="009048E7"/>
    <w:rsid w:val="009201C4"/>
    <w:rsid w:val="009237BB"/>
    <w:rsid w:val="00925C3D"/>
    <w:rsid w:val="00940820"/>
    <w:rsid w:val="009426CD"/>
    <w:rsid w:val="009512CA"/>
    <w:rsid w:val="009746A2"/>
    <w:rsid w:val="00974861"/>
    <w:rsid w:val="00984B88"/>
    <w:rsid w:val="0099192E"/>
    <w:rsid w:val="00993AA5"/>
    <w:rsid w:val="009A059A"/>
    <w:rsid w:val="009A6481"/>
    <w:rsid w:val="009B433D"/>
    <w:rsid w:val="009B6AA6"/>
    <w:rsid w:val="009C0630"/>
    <w:rsid w:val="009C11CA"/>
    <w:rsid w:val="009C3695"/>
    <w:rsid w:val="009C45B8"/>
    <w:rsid w:val="009C4F60"/>
    <w:rsid w:val="009C732B"/>
    <w:rsid w:val="009E4230"/>
    <w:rsid w:val="009E57F3"/>
    <w:rsid w:val="009F185A"/>
    <w:rsid w:val="009F389C"/>
    <w:rsid w:val="009F50F9"/>
    <w:rsid w:val="00A007A1"/>
    <w:rsid w:val="00A02824"/>
    <w:rsid w:val="00A02B84"/>
    <w:rsid w:val="00A11A5D"/>
    <w:rsid w:val="00A240F8"/>
    <w:rsid w:val="00A24D4D"/>
    <w:rsid w:val="00A33B0E"/>
    <w:rsid w:val="00A6204E"/>
    <w:rsid w:val="00A70BCC"/>
    <w:rsid w:val="00A748A9"/>
    <w:rsid w:val="00A750C5"/>
    <w:rsid w:val="00A9010E"/>
    <w:rsid w:val="00A910D7"/>
    <w:rsid w:val="00A973D3"/>
    <w:rsid w:val="00AA194F"/>
    <w:rsid w:val="00AA47A6"/>
    <w:rsid w:val="00AB269A"/>
    <w:rsid w:val="00AC126A"/>
    <w:rsid w:val="00AD113A"/>
    <w:rsid w:val="00AD6A7E"/>
    <w:rsid w:val="00AE3126"/>
    <w:rsid w:val="00B128D9"/>
    <w:rsid w:val="00B21B95"/>
    <w:rsid w:val="00B24179"/>
    <w:rsid w:val="00B33B17"/>
    <w:rsid w:val="00B35055"/>
    <w:rsid w:val="00B470FC"/>
    <w:rsid w:val="00B52232"/>
    <w:rsid w:val="00B6465D"/>
    <w:rsid w:val="00B80776"/>
    <w:rsid w:val="00B81728"/>
    <w:rsid w:val="00B874C9"/>
    <w:rsid w:val="00B918BE"/>
    <w:rsid w:val="00BA6087"/>
    <w:rsid w:val="00BA6795"/>
    <w:rsid w:val="00BC1C84"/>
    <w:rsid w:val="00C00032"/>
    <w:rsid w:val="00C021C1"/>
    <w:rsid w:val="00C024A1"/>
    <w:rsid w:val="00C24F0B"/>
    <w:rsid w:val="00C254C3"/>
    <w:rsid w:val="00C32356"/>
    <w:rsid w:val="00C35E80"/>
    <w:rsid w:val="00C3788E"/>
    <w:rsid w:val="00C457FE"/>
    <w:rsid w:val="00C54E58"/>
    <w:rsid w:val="00C83FC6"/>
    <w:rsid w:val="00C8583A"/>
    <w:rsid w:val="00C860AF"/>
    <w:rsid w:val="00C9727B"/>
    <w:rsid w:val="00C97D81"/>
    <w:rsid w:val="00CE1B54"/>
    <w:rsid w:val="00D06CC6"/>
    <w:rsid w:val="00D17B14"/>
    <w:rsid w:val="00D30763"/>
    <w:rsid w:val="00D36960"/>
    <w:rsid w:val="00D401DC"/>
    <w:rsid w:val="00D45F05"/>
    <w:rsid w:val="00D46997"/>
    <w:rsid w:val="00D533FD"/>
    <w:rsid w:val="00D636B0"/>
    <w:rsid w:val="00D75471"/>
    <w:rsid w:val="00D94587"/>
    <w:rsid w:val="00D95C20"/>
    <w:rsid w:val="00DA7520"/>
    <w:rsid w:val="00DC36D7"/>
    <w:rsid w:val="00DE39EE"/>
    <w:rsid w:val="00DE5AA1"/>
    <w:rsid w:val="00DF7C11"/>
    <w:rsid w:val="00E03CAA"/>
    <w:rsid w:val="00E076E1"/>
    <w:rsid w:val="00E177A3"/>
    <w:rsid w:val="00E32B0B"/>
    <w:rsid w:val="00E33F91"/>
    <w:rsid w:val="00E3666D"/>
    <w:rsid w:val="00E50AD7"/>
    <w:rsid w:val="00E568FD"/>
    <w:rsid w:val="00E71DD6"/>
    <w:rsid w:val="00E74181"/>
    <w:rsid w:val="00E745F9"/>
    <w:rsid w:val="00E7580A"/>
    <w:rsid w:val="00E761EE"/>
    <w:rsid w:val="00E84250"/>
    <w:rsid w:val="00E8491E"/>
    <w:rsid w:val="00E85351"/>
    <w:rsid w:val="00EA06D7"/>
    <w:rsid w:val="00EB573A"/>
    <w:rsid w:val="00EB6165"/>
    <w:rsid w:val="00EC095F"/>
    <w:rsid w:val="00EC316A"/>
    <w:rsid w:val="00EC5AD5"/>
    <w:rsid w:val="00EE6A9C"/>
    <w:rsid w:val="00EF06A8"/>
    <w:rsid w:val="00EF1470"/>
    <w:rsid w:val="00F00616"/>
    <w:rsid w:val="00F067AE"/>
    <w:rsid w:val="00F15DDA"/>
    <w:rsid w:val="00F4016E"/>
    <w:rsid w:val="00F559EB"/>
    <w:rsid w:val="00F77E72"/>
    <w:rsid w:val="00F80154"/>
    <w:rsid w:val="00F87464"/>
    <w:rsid w:val="00FA2125"/>
    <w:rsid w:val="00FA2CB1"/>
    <w:rsid w:val="00FA2ECA"/>
    <w:rsid w:val="00FB03E1"/>
    <w:rsid w:val="00FC7E45"/>
    <w:rsid w:val="00FD2F60"/>
    <w:rsid w:val="00FE4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BE7E5"/>
  <w15:docId w15:val="{1D551E13-CAFD-3F4A-8F17-213CB7E1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06A8"/>
    <w:pPr>
      <w:tabs>
        <w:tab w:val="center" w:pos="4680"/>
        <w:tab w:val="right" w:pos="9360"/>
      </w:tabs>
    </w:pPr>
  </w:style>
  <w:style w:type="character" w:customStyle="1" w:styleId="HeaderChar">
    <w:name w:val="Header Char"/>
    <w:basedOn w:val="DefaultParagraphFont"/>
    <w:link w:val="Header"/>
    <w:uiPriority w:val="99"/>
    <w:rsid w:val="00EF06A8"/>
  </w:style>
  <w:style w:type="paragraph" w:styleId="Footer">
    <w:name w:val="footer"/>
    <w:basedOn w:val="Normal"/>
    <w:link w:val="FooterChar"/>
    <w:uiPriority w:val="99"/>
    <w:unhideWhenUsed/>
    <w:rsid w:val="00EF06A8"/>
    <w:pPr>
      <w:tabs>
        <w:tab w:val="center" w:pos="4680"/>
        <w:tab w:val="right" w:pos="9360"/>
      </w:tabs>
    </w:pPr>
  </w:style>
  <w:style w:type="character" w:customStyle="1" w:styleId="FooterChar">
    <w:name w:val="Footer Char"/>
    <w:basedOn w:val="DefaultParagraphFont"/>
    <w:link w:val="Footer"/>
    <w:uiPriority w:val="99"/>
    <w:rsid w:val="00EF06A8"/>
  </w:style>
  <w:style w:type="paragraph" w:styleId="NormalWeb">
    <w:name w:val="Normal (Web)"/>
    <w:basedOn w:val="Normal"/>
    <w:uiPriority w:val="99"/>
    <w:semiHidden/>
    <w:unhideWhenUsed/>
    <w:rsid w:val="004B5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43</Pages>
  <Words>13085</Words>
  <Characters>79036</Characters>
  <Application>Microsoft Office Word</Application>
  <DocSecurity>0</DocSecurity>
  <Lines>1179</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Linbeck III</cp:lastModifiedBy>
  <cp:revision>296</cp:revision>
  <cp:lastPrinted>2026-03-28T03:03:00Z</cp:lastPrinted>
  <dcterms:created xsi:type="dcterms:W3CDTF">2026-03-27T14:41:00Z</dcterms:created>
  <dcterms:modified xsi:type="dcterms:W3CDTF">2026-04-09T16:44:00Z</dcterms:modified>
</cp:coreProperties>
</file>