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Calibri" w:cs="Calibri" w:eastAsia="Calibri" w:hAnsi="Calibri"/>
          <w:b/>
          <w:bCs/>
          <w:color w:val="1F2D3D"/>
          <w:sz w:val="52"/>
          <w:szCs w:val="52"/>
        </w:rPr>
        <w:t xml:space="preserve">GOVEVIA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52CC"/>
          <w:sz w:val="36"/>
          <w:szCs w:val="36"/>
        </w:rPr>
        <w:t xml:space="preserve">Apêndice Técnico de Arquitetura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Decisões, trade-offs e justificativas — versão para revisão sênior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Fevereiro 2026  |  Confidencial</w:t>
      </w:r>
    </w:p>
    <w:p>
      <w:r>
        <w:br w:type="page"/>
      </w:r>
    </w:p>
    <w:p>
      <w:pPr>
        <w:pStyle w:val="Heading1"/>
        <w:pBdr>
          <w:bottom w:val="single" w:color="0052CC" w:sz="4"/>
        </w:pBdr>
        <w:spacing w:before="400" w:after="120"/>
      </w:pPr>
      <w:r>
        <w:t xml:space="preserve">Nota de abertura para o revisor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apêndice não descreve opções — apresenta decisões tomadas, com as razões pelas quais alternativas foram descartadas. A intenção é economizar o tempo de quem revisa e tornar a discussão produtiva desde o primeiro minuto: se uma decisão estiver errada, o revisor saberá exatamente onde atacar e por quê.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seção segue o mesmo padrão: decisão tomada → justificativa → o que foi descartado e por quê → riscos residuais e mitigação.</w:t>
      </w:r>
    </w:p>
    <w:p>
      <w:pPr>
        <w:pStyle w:val="Heading1"/>
        <w:pBdr>
          <w:bottom w:val="single" w:color="0052CC" w:sz="4"/>
        </w:pBdr>
        <w:spacing w:before="400" w:after="120"/>
      </w:pPr>
      <w:r>
        <w:t xml:space="preserve">1. Implementação do Audit Trail Imutável</w:t>
      </w:r>
    </w:p>
    <w:p>
      <w:pPr>
        <w:pBdr>
          <w:left w:val="thick" w:color="006644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006644"/>
          <w:sz w:val="20"/>
          <w:szCs w:val="20"/>
        </w:rPr>
        <w:t xml:space="preserve">✓ DECISÃO ARQUITETURAL 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Decisão: Event store append-only em PostgreSQL com hash chain por trigger, replicado para Kafka. Não usaremos ledger gerenciado nem blockchain permissionado no MVP.</w:t>
      </w:r>
    </w:p>
    <w:p>
      <w:pPr>
        <w:pStyle w:val="Heading2"/>
        <w:spacing w:before="320" w:after="80"/>
      </w:pPr>
      <w:r>
        <w:t xml:space="preserve">1.1 Estrutura do event store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Uma tabela por domínio de risco (serviços, conformidade, direitos, contratos), com o seguinte esquema: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Identificador único do evento, gerado pelo cliente (evita duplicação em retry)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aggregate_id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Identificador do agregado (contrato, decisão, ocorrência) ao qual o evento pertence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aggregate_type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Discriminador do tipo: 'Decisao', 'Ocorrencia', 'Contrato'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sequence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BIGINT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Número sequencial por aggregate_id; escrita bloqueada se sequence esperada não bater (optimistic lock)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event_type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Nome do evento de domínio: 'DecisaoRegistrada', 'MultiAplicada', 'OcorrenciaAberta'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payload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JSONB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Dados do evento; schema versionado via campo interno 'schema_version'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created_at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TIMESTAMPTZ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Timestamp server-side; nunca confiamos no timestamp do cliente para fins probatórios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created_by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 do agente público que originou o evento, resolvido via JWT no middleware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tenant_id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Isolamento lógico de órgão; index composto (tenant_id, aggregate_id, sequence)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prev_hash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SHA-256 do evento anterior na cadeia do mesmo aggregate_id; NULL para o primeiro evento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hash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SHA-256 de (prev_hash || id || created_at || payload); calculado por trigger BEFORE INSERT</w:t>
            </w:r>
          </w:p>
        </w:tc>
      </w:tr>
    </w:tbl>
    <w:p>
      <w:pPr>
        <w:pStyle w:val="Heading2"/>
        <w:spacing w:before="320" w:after="80"/>
      </w:pPr>
      <w:r>
        <w:t xml:space="preserve">1.2 Por que PostgreSQL e não EventStoreDB, QLDB ou blockchain?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Razão do descarte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EventStoreDB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Descartado (MVP)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Operacionalmente mais pesado; requer expertise adicional; migração de dados mais complexa. Reavaliar na fase 2 se volume ultrapassar 10M/mês por tenant.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AWS QLDB / Azure Confidential Ledger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Descartado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Lock-in em cloud provider específico é inviável politicamente para setor público brasileiro. TCU e órgãos de controle exigem dados em território nacional.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Blockchain permissionado (Hyperledger)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Descartado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Complexidade operacional injustificável para o problema. Hash chain em PostgreSQL oferece propriedades probatórias equivalentes para o contexto.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PostgreSQL append-only + hash chain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ESCOLHIDO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Operacionalmente familiar, auditável por qualquer DBA, sem lock-in, suficiente para as propriedades probatórias exigidas no contexto judicial/administrativo brasileiro.</w:t>
            </w:r>
          </w:p>
        </w:tc>
      </w:tr>
    </w:tbl>
    <w:p>
      <w:pPr>
        <w:pStyle w:val="Heading2"/>
        <w:spacing w:before="320" w:after="80"/>
      </w:pPr>
      <w:r>
        <w:t xml:space="preserve">1.3 O problema real do hash chain em trigger — e a mitigação</w:t>
      </w:r>
    </w:p>
    <w:p>
      <w:pPr>
        <w:pBdr>
          <w:left w:val="thick" w:color="B85C00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B85C00"/>
          <w:sz w:val="20"/>
          <w:szCs w:val="20"/>
        </w:rPr>
        <w:t xml:space="preserve">⚠ RISCO  </w:t>
      </w:r>
      <w:r>
        <w:rPr>
          <w:rFonts w:ascii="Calibri" w:cs="Calibri" w:eastAsia="Calibri" w:hAnsi="Calibri"/>
          <w:sz w:val="20"/>
          <w:szCs w:val="20"/>
        </w:rPr>
        <w:t xml:space="preserve">Hash chain em trigger não protege contra acesso privilegiado direto ao banco (DBA com UPDATE). Isso é uma limitação real, não ignorada.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mitigação adotada é em camadas: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Serviço de escrita dedicado: apenas o microserviço event-writer tem credenciais INSERT na tabela de eventos.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Usuário de banco sem UPDATE/DELETE: o role PostgreSQL tem GRANT apenas de INSERT e SELECT. Qualquer UPDATE falha no nível do banco.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Verificação periódica de integridade: job diário percorre a cadeia de hashes; quebra gera alerta imediato.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Replicação para storage imutável: object storage com Object Lock habilitado — cópia verdadeiramente imutável por configuração de infraestrutura.</w:t>
      </w:r>
    </w:p>
    <w:p>
      <w:pPr>
        <w:pStyle w:val="Heading2"/>
        <w:spacing w:before="320" w:after="80"/>
      </w:pPr>
      <w:r>
        <w:t xml:space="preserve">1.4 Consistência e leitura analítica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Escrita: síncrona no PostgreSQL. O event-writer confirma o INSERT e o hash antes de retornar 200.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Leitura operacional: materialized views por agregado, refresco via trigger ou job de baixa latência (&lt; 5s).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Leitura analítica: Kafka → Debezium CDC → data warehouse (ClickHouse ou PostgreSQL OLAP). Relatórios para TCU/CGE/TCE gerados aqui, sem impacto no OLTP.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Reconciliação entre domínios: chaves de correlação no payload de todos os eventos; joins na camada analítica, nunca FK entre tabelas de eventos.</w:t>
      </w:r>
    </w:p>
    <w:p>
      <w:r>
        <w:br w:type="page"/>
      </w:r>
    </w:p>
    <w:p>
      <w:pPr>
        <w:pStyle w:val="Heading1"/>
        <w:pBdr>
          <w:bottom w:val="single" w:color="0052CC" w:sz="4"/>
        </w:pBdr>
        <w:spacing w:before="400" w:after="120"/>
      </w:pPr>
      <w:r>
        <w:t xml:space="preserve">2. Modelo de Dados Central — Agregados Principais</w:t>
      </w:r>
    </w:p>
    <w:p>
      <w:pPr>
        <w:pBdr>
          <w:left w:val="thick" w:color="006644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006644"/>
          <w:sz w:val="20"/>
          <w:szCs w:val="20"/>
        </w:rPr>
        <w:t xml:space="preserve">✓ DECISÃO ARQUITETURAL 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Decisão: três agregados centrais (Contrato, Ocorrência, Decisão) modelados via event sourcing. O estado atual é derivado sempre dos eventos — nunca armazenado diretamente no agregado. Revisões e revogações são novos eventos, não updates.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escolha por event sourcing é consequência direta do requisito probatório: em um processo administrativo ou judicial, a pergunta não é apenas "qual é o estado atual", mas "qual era o estado em determinado momento e quem o alterou". Event sourcing responde isso naturalmente; CRUD com auditoria por trigger é um paliativo que sempre deixa lacunas.</w:t>
      </w:r>
    </w:p>
    <w:p>
      <w:pPr>
        <w:pStyle w:val="Heading2"/>
        <w:spacing w:before="320" w:after="80"/>
      </w:pPr>
      <w:r>
        <w:t xml:space="preserve">2.1 Agregado: Contrato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Gerado localmente; não depende do ID externo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processo_sei_id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Número do processo no SEI — chave de correlação para integração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contratosgovbr_id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 no Contratos.gov.br; NULL quando não integrado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objeto_resumido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Descrição curta para exibição; não duplicamos o objeto completo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valor_global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NUMERIC(15,2)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Necessário para cálculo de multas percentuais e análise de risco financeiro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data_inicio / data_fim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Fontes dos prazos de vigência monitorados pelo motor de alertas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unidade_gestora_id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FK para o cadastro de unidades do tenant; define trilhas de aprovação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fiscal_contrato_id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UUID[]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Array de agentes designados; registrado como evento FiscalDesignado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matriz_risco_versao_id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Versão da matriz de risco ativa no momento; congelada por evento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status_derivado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Campo calculado (view materializada); nunca escrito diretamente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Eventos: ContratoRegistrado, FiscalDesignado, VigenciaProrrogada, MatrizRiscoAtualizada, ContratoEncerrado, ContratoRescindido.</w:t>
      </w:r>
    </w:p>
    <w:p>
      <w:pPr>
        <w:pStyle w:val="Heading2"/>
        <w:spacing w:before="320" w:after="80"/>
      </w:pPr>
      <w:r>
        <w:t xml:space="preserve">2.2 Agregado: Ocorrência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contrato_id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FK para Contrato; obrigatório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tipo_ocorrencia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 (enum)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INADIMPLEMENTO_PARCIAL, INADIMPLEMENTO_TOTAL, ATRASO, NAO_CONFORMIDADE_QUALIDADE, OUTRO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descricao_estruturada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JSONB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Campos 6W: quem, o quê, quando, onde, como, com qual impacto. Validado por schema.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impacto_financeiro_estimado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NUMERIC(15,2)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Opcional; base para cálculo de multa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impacto_servico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 (enum)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CRITICO, ALTO, MEDIO, BAIXO; alimenta matriz de risco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autor_id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Agente público que registrou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evidencias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UUID[]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IDs de artefatos de evidência (documentos, fotos, links SEI)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status_derivado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View materializada: ABERTA, EM_ANALISE, VINCULADA_A_DECISAO, ARQUIVADA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Eventos: OcorrenciaRegistrada, EvidenciaAnexada, OcorrenciaClassificada, OcorrenciaVinculadaADecisao, OcorrenciaArquivada.</w:t>
      </w:r>
    </w:p>
    <w:p>
      <w:pPr>
        <w:pStyle w:val="Heading2"/>
        <w:spacing w:before="320" w:after="80"/>
      </w:pPr>
      <w:r>
        <w:t xml:space="preserve">2.3 Agregado: Decisão</w:t>
      </w:r>
    </w:p>
    <w:p>
      <w:pPr>
        <w:pBdr>
          <w:left w:val="thick" w:color="006644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006644"/>
          <w:sz w:val="20"/>
          <w:szCs w:val="20"/>
        </w:rPr>
        <w:t xml:space="preserve">✓ DECISÃO ARQUITETURAL  </w:t>
      </w:r>
      <w:r>
        <w:rPr>
          <w:rFonts w:ascii="Calibri" w:cs="Calibri" w:eastAsia="Calibri" w:hAnsi="Calibri"/>
          <w:sz w:val="20"/>
          <w:szCs w:val="20"/>
        </w:rPr>
        <w:t xml:space="preserve">Decisão não tem campo 'status' mutável. Revisões e revogações são eventos adicionais (DecisaoRevista, DecisaoRevogada). Isso elimina a ambiguidade semântica e preserva a trilha completa.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tipo_decisao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 (enum)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APLICACAO_MULTA, ADVERTENCIA, SUSPENSAO, RESCISAO, ACEITE_ETAPA, ARQUIVAMENTO, EXCECAO_JUSTIFICADA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contrato_id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FK Contrato; obrigatório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ocorrencia_ids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UUID[]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Ocorrências que fundamentam esta decisão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tomador_decisao_id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Agente público; competência validada antes do registro (ver seção 5)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fundamentacao_texto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Rascunho assistido por IA, editado e confirmado pelo agente. Texto final persistido aqui.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dispositivos_normativos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JSONB[]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Array de {norma_id, artigo, inciso, alinea} — referências estruturadas, não texto livre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resultado_calculado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JSONB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Ex.: {percentual_multa: 0.05, valor_multa: 15000.00, base_calculo: 300000.00}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versao_regra_dosimetria_id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Versão da regra de dosimetria ativa no momento da decisão; imutável após registro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versao_matriz_risco_id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Versão da matriz de risco usada; imutável após registro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prazo_recursal_ate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Calculado automaticamente pelo motor de prazos; monitorado após registro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ia_rascunho_gerado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BOOLEAN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Registro de proveniência: indica se a fundamentação teve rascunho IA como ponto de partida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Eventos: DecisaoRegistrada, DecisaoNotificada, RecursoRecebido, DecisaoRevista, DecisaoRevogada, DecisaoCumprida.</w:t>
      </w:r>
    </w:p>
    <w:p>
      <w:r>
        <w:br w:type="page"/>
      </w:r>
    </w:p>
    <w:p>
      <w:pPr>
        <w:pStyle w:val="Heading1"/>
        <w:pBdr>
          <w:bottom w:val="single" w:color="0052CC" w:sz="4"/>
        </w:pBdr>
        <w:spacing w:before="400" w:after="120"/>
      </w:pPr>
      <w:r>
        <w:t xml:space="preserve">3. Versionamento de Regras GRC</w:t>
      </w:r>
    </w:p>
    <w:p>
      <w:pPr>
        <w:pBdr>
          <w:left w:val="thick" w:color="006644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006644"/>
          <w:sz w:val="20"/>
          <w:szCs w:val="20"/>
        </w:rPr>
        <w:t xml:space="preserve">✓ DECISÃO ARQUITETURAL 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Decisão: regras GRC (matrizes de risco, critérios de dosimetria, checklists normativos) são entidades versionadas imutavelmente. Uma decisão registrada consome uma versão específica e permanece vinculada a ela para sempre.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é um dos pontos mais críticos do sistema sob o ponto de vista jurídico: quando a Lei 14.133 é regulamentada localmente por decreto e o decreto muda as faixas de multa, as decisões tomadas antes da mudança precisam estar vinculadas às regras vigentes à época — não às regras atuais.</w:t>
      </w:r>
    </w:p>
    <w:p>
      <w:pPr>
        <w:pStyle w:val="Heading2"/>
        <w:spacing w:before="320" w:after="80"/>
      </w:pPr>
      <w:r>
        <w:t xml:space="preserve">3.1 Estrutura de versionamento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regra GRC tem: id_regra (UUID da regra-pai), versao (integer sequencial), vigente_de (DATE), vigente_ate (DATE, NULL se atual), criado_por (UUID), payload_regra (JSONB com os critérios).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Criação de nova versão: a versão anterior recebe vigente_ate = hoje; nova versão é inserida com vigente_de = hoje + 1. Nunca se edita uma versão existente.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Consulta em tempo de decisão: o sistema busca a versão com vigente_de &lt;= data_decisao AND (vigente_ate IS NULL OR vigente_ate &gt;= data_decisao).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Registro na decisão: versao_regra_dosimetria_id e versao_matriz_risco_id são escritos no evento DecisaoRegistrada e nunca mais alterados.</w:t>
      </w:r>
    </w:p>
    <w:p>
      <w:pPr>
        <w:pStyle w:val="Heading2"/>
        <w:spacing w:before="320" w:after="80"/>
      </w:pPr>
      <w:r>
        <w:t xml:space="preserve">3.2 Impacto em auditoria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Quando o TCU ou CGE questionar uma multa aplicada há dois anos, o sistema exibe: (a) a decisão com sua fundamentação, (b) a versão exata da regra de dosimetria vigente naquela data, (c) o agente que aprovou aquela versão da regra, e (d) quem tomou a decisão e com qual competência validada. Isso é suficiente para qualquer diligência.</w:t>
      </w:r>
    </w:p>
    <w:p>
      <w:pPr>
        <w:pStyle w:val="Heading1"/>
        <w:pBdr>
          <w:bottom w:val="single" w:color="0052CC" w:sz="4"/>
        </w:pBdr>
        <w:spacing w:before="400" w:after="120"/>
      </w:pPr>
      <w:r>
        <w:t xml:space="preserve">4. Modelo de Multi-Tenancy</w:t>
      </w:r>
    </w:p>
    <w:p>
      <w:pPr>
        <w:pBdr>
          <w:left w:val="thick" w:color="006644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006644"/>
          <w:sz w:val="20"/>
          <w:szCs w:val="20"/>
        </w:rPr>
        <w:t xml:space="preserve">✓ DECISÃO ARQUITETURAL 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Decisão: schema-per-tenant em PostgreSQL com catálogo global de tenants. Descartamos row-level security como isolamento primário e database-per-tenant como padrão de MVP.</w:t>
      </w:r>
    </w:p>
    <w:p>
      <w:pPr>
        <w:pStyle w:val="Heading2"/>
        <w:spacing w:before="320" w:after="80"/>
      </w:pPr>
      <w:r>
        <w:t xml:space="preserve">4.1 Comparativo de abordagens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Isolamento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Overhead Ops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Database-per-tenant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Máximo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Alto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Descartado para MVP. Inviável operacionalmente para dezenas de órgãos sem equipe SRE dedicada.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Row-level security (shared schema)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Médio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Baixo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Descartado como isolamento primário. RLS é linha de defesa complementar, não principal. Um bug no middleware expõe todos os tenants.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Schema-per-tenant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Alto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Médio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ESCOLHIDO. Isolamento forte sem overhead de instância separada. Suporta centenas de órgãos num cluster gerenciado.</w:t>
            </w:r>
          </w:p>
        </w:tc>
      </w:tr>
    </w:tbl>
    <w:p>
      <w:pPr>
        <w:pStyle w:val="Heading2"/>
        <w:spacing w:before="320" w:after="80"/>
      </w:pPr>
      <w:r>
        <w:t xml:space="preserve">4.2 Implementação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Catálogo global (schema public): tabela tenants com {id, slug, cnpj, nome_orgao, schema_name, criado_em, ativo}.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Resolução de schema: middleware extrai tenant_id do JWT, consulta catálogo (cacheado em Redis, TTL 5min), executa SET search_path = &lt;schema_name&gt; no início de cada transação.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Migrations: Flyway com suporte a multi-schema. Migration aplicada em todos os schemas de tenants via job de onboarding e por script de atualização global.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RLS como defesa em profundidade: habilitado nas tabelas de eventos como segunda camada, filtrando por tenant_id mesmo se o search_path falhar.</w:t>
      </w:r>
    </w:p>
    <w:p>
      <w:pPr>
        <w:pStyle w:val="Heading2"/>
        <w:spacing w:before="320" w:after="80"/>
      </w:pPr>
      <w:r>
        <w:t xml:space="preserve">4.3 Fluxo de onboarding de órgão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Agente Govevia registra órgão no catálogo: nome, CNPJ, slug, parâmetros GRC iniciais.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Job de provisionamento cria schema dedicado e executa migrations 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Seed de dados: carga de normas federais aplicáveis, matriz de risco padrão versionada, checklists normativos padrão.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Integração: configuração dos conectores (SEI, Contratos.gov.br, ERP local) com credenciais criptografadas por chave de tenant.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Primeiro acesso: administrador do órgão cria usuários, define roles e competências via painel de configuração.</w:t>
      </w:r>
    </w:p>
    <w:p>
      <w:pPr>
        <w:pStyle w:val="Heading2"/>
        <w:spacing w:before="320" w:after="80"/>
      </w:pPr>
      <w:r>
        <w:t xml:space="preserve">4.4 Criptografia e isolamento de chaves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tenant tem sua própria chave de criptografia gerenciada via Vault (HashiCorp) ou KMS equivalente. Dados sensíveis no payload JSONB são criptografados com a chave do tenant antes da escrita, garantindo que um DBA com acesso ao banco não consiga ler o conteúdo de outro órgão mesmo dentro do mesmo cluster.</w:t>
      </w:r>
    </w:p>
    <w:p>
      <w:r>
        <w:br w:type="page"/>
      </w:r>
    </w:p>
    <w:p>
      <w:pPr>
        <w:pStyle w:val="Heading1"/>
        <w:pBdr>
          <w:bottom w:val="single" w:color="0052CC" w:sz="4"/>
        </w:pBdr>
        <w:spacing w:before="400" w:after="120"/>
      </w:pPr>
      <w:r>
        <w:t xml:space="preserve">5. Modelo de Autorização — RBAC Hierárquico</w:t>
      </w:r>
    </w:p>
    <w:p>
      <w:pPr>
        <w:pBdr>
          <w:left w:val="thick" w:color="006644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006644"/>
          <w:sz w:val="20"/>
          <w:szCs w:val="20"/>
        </w:rPr>
        <w:t xml:space="preserve">✓ DECISÃO ARQUITETURAL 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Decisão: RBAC hierárquico com segregação de funções embutida nos fluxos. Roles fixos por padrão, customizáveis por tenant via configuração. Não usamos ABAC no MVP — complexidade não justificada para o conjunto inicial de fluxos.</w:t>
      </w:r>
    </w:p>
    <w:p>
      <w:pPr>
        <w:pStyle w:val="Heading2"/>
        <w:spacing w:before="320" w:after="80"/>
      </w:pPr>
      <w:r>
        <w:t xml:space="preserve">5.1 Roles padrão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Capacidades no sistema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FISCAL_CONTRATO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Registrar ocorrências, anexar evidências, visualizar contratos da sua unidade, iniciar fluxo de avaliação de multa (não decide).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GESTOR_CONTRATO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Tudo do fiscal + decidir sobre multas/sanções dentro de alçada definida, assinar aceites de etapa, aprovar prorrogações.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CONTROLE_INTERNO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Leitura de todos os eventos, audit trail completo, exportação de relatórios, sem capacidade de escrita em fluxos contratuais.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JURIDICO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Leitura completa + inclusão de pareceres vinculados a decisões, sem capacidade de registrar ocorrências.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SECRETARIO / ALTA_GESTAO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Dashboard de risco e KPIs, capacidade de aprovar acima do teto do gestor.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ADMIN_TENANT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Configuração de usuários, roles, matrizes de risco, integrações. Sem acesso a dados de processo.</w:t>
            </w:r>
          </w:p>
        </w:tc>
      </w:tr>
    </w:tbl>
    <w:p>
      <w:pPr>
        <w:pStyle w:val="Heading2"/>
        <w:spacing w:before="320" w:after="80"/>
      </w:pPr>
      <w:r>
        <w:t xml:space="preserve">5.2 Segregação de funções embutida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Regras de segregação são validadas pelo motor de workflow antes de cada transição de estado, não pela UI: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Quem registrou a ocorrência não pode ser o decisor da multa derivada dela.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mesmo agente não pode ser fiscal e gestor do mesmo contrato simultaneamente.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Decisões acima de determinado valor ou percentual de multa exigem aprovação de role superior (alçada configurável por tenant).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Violações geram bloqueio da transação e registro de evento de auditoria (TentativaDeAtoForaDeAlcada), nunca apenas um aviso.</w:t>
      </w:r>
    </w:p>
    <w:p>
      <w:pPr>
        <w:pStyle w:val="Heading1"/>
        <w:pBdr>
          <w:bottom w:val="single" w:color="0052CC" w:sz="4"/>
        </w:pBdr>
        <w:spacing w:before="400" w:after="120"/>
      </w:pPr>
      <w:r>
        <w:t xml:space="preserve">6. Inteligência Artificial — Escopo e Responsabilidade</w:t>
      </w:r>
    </w:p>
    <w:p>
      <w:pPr>
        <w:pBdr>
          <w:left w:val="thick" w:color="006644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006644"/>
          <w:sz w:val="20"/>
          <w:szCs w:val="20"/>
        </w:rPr>
        <w:t xml:space="preserve">✓ DECISÃO ARQUITETURAL 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Decisão: IA restrita a assistência de redação e recuperação de contexto. IA não decide, não calcula dosimetria, não classifica infrações. Toda saída de IA é rascunho editável; o texto só é persistido como fundamento após confirmação explícita do agente, com registro de proveniência.</w:t>
      </w:r>
    </w:p>
    <w:p>
      <w:pPr>
        <w:pBdr>
          <w:left w:val="thick" w:color="B85C00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B85C00"/>
          <w:sz w:val="20"/>
          <w:szCs w:val="20"/>
        </w:rPr>
        <w:t xml:space="preserve">⚠ RISCO  </w:t>
      </w:r>
      <w:r>
        <w:rPr>
          <w:rFonts w:ascii="Calibri" w:cs="Calibri" w:eastAsia="Calibri" w:hAnsi="Calibri"/>
          <w:sz w:val="20"/>
          <w:szCs w:val="20"/>
        </w:rPr>
        <w:t xml:space="preserve">Sugestão incorreta de enquadramento normativo por IA, se persistida sem revisão, vira fundamento de decisão administrativa questionável. A arquitetura precisa tornar a revisão humana obrigatória — não opcional.</w:t>
      </w:r>
    </w:p>
    <w:p>
      <w:pPr>
        <w:pStyle w:val="Heading2"/>
        <w:spacing w:before="320" w:after="80"/>
      </w:pPr>
      <w:r>
        <w:t xml:space="preserve">6.1 Único caso de uso de IA no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Agente seleciona os dispositivos normativos aplicáveis a partir de lista estruturada (não campo livre).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Motor de dosimetria calcula o resultado com base na versão vigente da regra — sem IA.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Agente solicita rascunho de fundamentação. IA recebe: tipo da decisão, ocorrência estruturada, dispositivos selecionados, resultado calculado.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IA retorna rascunho em campo de texto editável. O campo exibe banner 'Rascunho gerado por IA — revisão obrigatória antes de confirmar'.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Agente edita, complementa ou reescreve o texto conforme necessário.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Agente clica em 'Confirmar fundamentação'. Sistema persiste o texto no evento DecisaoRegistrada com campo ia_rascunho_gerado = true.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Registro de proveniência: qualquer auditoria pode ver que a fundamentação teve rascunho IA como ponto de partida, mas que foi confirmada pelo agente identificado.</w:t>
            </w:r>
          </w:p>
        </w:tc>
      </w:tr>
    </w:tbl>
    <w:p>
      <w:pPr>
        <w:pStyle w:val="Heading2"/>
        <w:spacing w:before="320" w:after="80"/>
      </w:pPr>
      <w:r>
        <w:t xml:space="preserve">6.2 O que está fora do escopo da IA no MVP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Classificação automática de ocorrências (risco de erro com consequência jurídica).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Cálculo de dosimetria ou sugestão de percentual de multa.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Identificação de dispositivos normativos aplicáveis (agente seleciona; IA não sugere normas).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Qualquer saída que seja persistida sem confirmação humana explícita.</w:t>
      </w:r>
    </w:p>
    <w:p>
      <w:r>
        <w:br w:type="page"/>
      </w:r>
    </w:p>
    <w:p>
      <w:pPr>
        <w:pStyle w:val="Heading1"/>
        <w:pBdr>
          <w:bottom w:val="single" w:color="0052CC" w:sz="4"/>
        </w:pBdr>
        <w:spacing w:before="400" w:after="120"/>
      </w:pPr>
      <w:r>
        <w:t xml:space="preserve">7. SLA, Disponibilidade e Estratégia de Egress</w:t>
      </w:r>
    </w:p>
    <w:p>
      <w:pPr>
        <w:pStyle w:val="Heading2"/>
        <w:spacing w:before="320" w:after="80"/>
      </w:pPr>
      <w:r>
        <w:t xml:space="preserve">7.1 Separação de contratos de disponibilidade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SLA de interface operacional e o contrato de durabilidade e acessibilidade do audit trail são contratos distintos. A indisponibilidade da interface não pode significar impossibilidade de produzir evidência.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Interface operacional (fluxos, UI)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99,5% mensal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 horas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Multi-AZ, load balancer, auto-scaling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Event store (PostgreSQL)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99,9% mensal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 hora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 minutos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Streaming replication, failover automático, WAL archiving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Audit trail (object storage imutável)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99,99% durabilidade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Imediato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Object Lock, replicação cross-region, integridade verificada diariamente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Motor de alertas e prazos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99,5% mensal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 horas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15 minutos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Job redundante com deduplicação; alertas via fila (não fire-and-forget)</w:t>
            </w:r>
          </w:p>
        </w:tc>
      </w:tr>
    </w:tbl>
    <w:p>
      <w:pPr>
        <w:pStyle w:val="Heading2"/>
        <w:spacing w:before="320" w:after="80"/>
      </w:pPr>
      <w:r>
        <w:t xml:space="preserve">7.2 Estratégia de egress</w:t>
      </w:r>
    </w:p>
    <w:p>
      <w:pPr>
        <w:pBdr>
          <w:left w:val="thick" w:color="006644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006644"/>
          <w:sz w:val="20"/>
          <w:szCs w:val="20"/>
        </w:rPr>
        <w:t xml:space="preserve">✓ DECISÃO ARQUITETURAL  </w:t>
      </w:r>
      <w:r>
        <w:rPr>
          <w:rFonts w:ascii="Calibri" w:cs="Calibri" w:eastAsia="Calibri" w:hAnsi="Calibri"/>
          <w:sz w:val="20"/>
          <w:szCs w:val="20"/>
        </w:rPr>
        <w:t xml:space="preserve">Todo tenant pode exportar 100% dos seus dados em formato aberto e documentado, a qualquer momento, sem dependência de suporte da Govevia. Isso é requisito contratual e técnico, não diferencial opcional.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Formato de exportação: NDJSON (um evento por linha, com metadados de schema version), compactado em gzip. Estrutura documentada e estável; deprecation period mínimo de 12 meses.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Exportação self-service: API autenticada com endpoint GET /tenants/{id}/export/{dominio} retorna job assíncrono; resultado disponível em object storage com URL assinada por 48h.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Exportação de evidências: arquivos de mídia exportados em estrutura de diretórios referenciando o aggregate_id e event_id correspondentes.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Portabilidade garantida: o formato de exportação permite reimportar os dados em qualquer sistema com o interpretador do schema documentado. Govevia publica e mantém esse schema como parte do contrato de serviço.</w:t>
      </w:r>
    </w:p>
    <w:p>
      <w:pPr>
        <w:pStyle w:val="Heading1"/>
        <w:pBdr>
          <w:bottom w:val="single" w:color="0052CC" w:sz="4"/>
        </w:pBdr>
        <w:spacing w:before="400" w:after="120"/>
      </w:pPr>
      <w:r>
        <w:t xml:space="preserve">8. Roadmap Técnico — Evolução Incremental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roadmap segue o princípio de que cada fase entrega valor operacional real, não apenas infraestrutura. Nenhuma fase é apenas "fundação".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 estimada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Entregável e decisões arquiteturais ativas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MVP (F1)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0–6 meses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Event store PostgreSQL + hash chain. Schema-per-tenant. Agregados Contrato, Ocorrência, Decisão. Motor de prazos. Fluxo guiado de ocorrência e multa. RBAC padrão. IA: rascunho de fundamentação. Integração: SEI (leitura de metadados).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6–12 meses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Replicação Kafka + data warehouse analítico (ClickHouse). Relatórios exportáveis para TCU/CGE/TCE. Motor de competência em tempo real. Matrizes de risco configuráveis por tenant. Integração: Contratos.gov.br. Criptografia por tenant via Vault.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12–24 meses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Camada semântica: modelo de domínio com referências normativas estruturadas. Analytics avançados sobre padrões de risco e reincidência de fornecedores. Módulos verticais por secretaria. Avaliação de EventStoreDB se volume justificar.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F4+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24+ meses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Knowledge graph / ontologia de governo. Ledger distribuído se modelo multipartes se consolidar. IA expandida para análise de padrões e alertas preditivos de risco contratual.</w:t>
            </w:r>
          </w:p>
        </w:tc>
      </w:tr>
    </w:tbl>
    <w:p>
      <w:pPr>
        <w:pBdr>
          <w:left w:val="thick" w:color="0052CC" w:sz="12"/>
        </w:pBdr>
        <w:shd w:fill="F4F5F7" w:val="clear"/>
        <w:spacing w:before="160" w:after="160"/>
        <w:ind w:left="360"/>
      </w:pPr>
      <w:r>
        <w:rPr>
          <w:rFonts w:ascii="Calibri" w:cs="Calibri" w:eastAsia="Calibri" w:hAnsi="Calibri"/>
          <w:b/>
          <w:bCs/>
          <w:color w:val="0052CC"/>
          <w:sz w:val="20"/>
          <w:szCs w:val="20"/>
        </w:rPr>
        <w:t xml:space="preserve">ℹ REFERÊNCIA  </w:t>
      </w:r>
      <w:r>
        <w:rPr>
          <w:rFonts w:ascii="Calibri" w:cs="Calibri" w:eastAsia="Calibri" w:hAnsi="Calibri"/>
          <w:sz w:val="20"/>
          <w:szCs w:val="20"/>
        </w:rPr>
        <w:t xml:space="preserve">Nenhuma decisão do MVP foi tomada de forma a dificultar F2 ou F3. O schema de eventos no PostgreSQL foi desenhado para ser consumível por Kafka/Debezium sem alteração; o modelo de tenant suporta criptografia por chave sem reescrever os agregados; o RBAC é extensível para ABAC via atributos adicionais no JWT.</w:t>
      </w:r>
    </w:p>
    <w:p>
      <w:r>
        <w:br w:type="page"/>
      </w:r>
    </w:p>
    <w:p>
      <w:pPr>
        <w:pStyle w:val="Heading1"/>
        <w:pBdr>
          <w:bottom w:val="single" w:color="0052CC" w:sz="4"/>
        </w:pBdr>
        <w:spacing w:before="400" w:after="120"/>
      </w:pPr>
      <w:r>
        <w:t xml:space="preserve">9. Perguntas Abertas para o Revisor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documento toma decisões, mas reconhece que algumas delas merecem validação de quem operou sistemas enterprise em escala. As questões abaixo são onde esperamos a maior contribuição crítica: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5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 hash chain em trigger + object lock é suficiente como evidência em litígios administrativos e judiciais, ou um perito técnico exigiria algo mais robusto (ex.: timestamping via RFC 3161)?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Schema-per-tenant escala para 500+ órgãos num único cluster Postgres gerenciado (ex.: RDS, CloudNativePG)? Qual é o teto prático observado em produção?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escolha de não usar ABAC no MVP cria débito arquitetural significativo quando fluxos de multi-secretaria precisarem de políticas de acesso cruzado?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Para o motor de prazos legais (datas recursais, vencimentos contratuais), qual é a abordagem recomendada para garantir disparo mesmo sob indisponibilidade parcial do cluster principal?</w:t>
            </w:r>
          </w:p>
        </w:tc>
      </w:tr>
      <w:tr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 modelo de criptografia por tenant com chave no Vault é adequado para órgãos que exigem dados on-premises (municípios sem política de cloud)? Qual é a alternativa mínima viável?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Estas questões não são retóricas. A proposta foi construída para ser atacada nestes pontos — e as respostas do revisor serão incorporadas diretamente ao design da fase seguinte.</w:t>
      </w:r>
    </w:p>
    <w:p>
      <w:pPr>
        <w:pBdr>
          <w:top w:val="single" w:color="CCCCCC" w:sz="2"/>
        </w:pBdr>
        <w:spacing w:before="8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Govevia — Apêndice Técnico de Arquitetura  |  Fevereiro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1F2D3D"/>
      <w:sz w:val="32"/>
      <w:szCs w:val="32"/>
    </w:rPr>
  </w:style>
  <w:style w:type="paragraph" w:styleId="Heading2">
    <w:name w:val="Heading 2"/>
    <w:rPr>
      <w:rFonts w:ascii="Calibri" w:cs="Calibri" w:eastAsia="Calibri" w:hAnsi="Calibri"/>
      <w:b/>
      <w:bCs/>
      <w:color w:val="0052CC"/>
      <w:sz w:val="26"/>
      <w:szCs w:val="26"/>
    </w:rPr>
  </w:style>
  <w:style w:type="paragraph" w:styleId="Heading3">
    <w:name w:val="Heading 3"/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2026-02-20T20:17:20.539Z</dcterms:created>
  <dcterms:modified xsi:type="dcterms:W3CDTF">2026-02-20T20:17:20.539Z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