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485"/>
        <w:tblW w:w="11420" w:type="dxa"/>
        <w:tblLayout w:type="fixed"/>
        <w:tblLook w:val="04A0" w:firstRow="1" w:lastRow="0" w:firstColumn="1" w:lastColumn="0" w:noHBand="0" w:noVBand="1"/>
      </w:tblPr>
      <w:tblGrid>
        <w:gridCol w:w="382"/>
        <w:gridCol w:w="1869"/>
        <w:gridCol w:w="1572"/>
        <w:gridCol w:w="1519"/>
        <w:gridCol w:w="1381"/>
        <w:gridCol w:w="1520"/>
        <w:gridCol w:w="1519"/>
        <w:gridCol w:w="1658"/>
      </w:tblGrid>
      <w:tr w:rsidR="00FE4E19" w:rsidTr="007A1969">
        <w:trPr>
          <w:trHeight w:val="547"/>
        </w:trPr>
        <w:tc>
          <w:tcPr>
            <w:tcW w:w="382" w:type="dxa"/>
            <w:vMerge w:val="restart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  <w:vMerge w:val="restart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3091" w:type="dxa"/>
            <w:gridSpan w:val="2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Closed/closed</w:t>
            </w:r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Pr="00FE4E19">
              <w:rPr>
                <w:rFonts w:ascii="Myriad Pro" w:hAnsi="Myriad Pro"/>
                <w:sz w:val="24"/>
                <w:szCs w:val="24"/>
              </w:rPr>
              <w:t>container</w:t>
            </w:r>
          </w:p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2901" w:type="dxa"/>
            <w:gridSpan w:val="2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Closed/open</w:t>
            </w:r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Pr="00FE4E19">
              <w:rPr>
                <w:rFonts w:ascii="Myriad Pro" w:hAnsi="Myriad Pro"/>
                <w:sz w:val="24"/>
                <w:szCs w:val="24"/>
              </w:rPr>
              <w:t>container</w:t>
            </w:r>
          </w:p>
        </w:tc>
        <w:tc>
          <w:tcPr>
            <w:tcW w:w="3177" w:type="dxa"/>
            <w:gridSpan w:val="2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Open/open</w:t>
            </w:r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Pr="00FE4E19">
              <w:rPr>
                <w:rFonts w:ascii="Myriad Pro" w:hAnsi="Myriad Pro"/>
                <w:sz w:val="24"/>
                <w:szCs w:val="24"/>
              </w:rPr>
              <w:t>container</w:t>
            </w:r>
          </w:p>
        </w:tc>
      </w:tr>
      <w:tr w:rsidR="00FE4E19" w:rsidTr="007A1969">
        <w:trPr>
          <w:trHeight w:val="140"/>
        </w:trPr>
        <w:tc>
          <w:tcPr>
            <w:tcW w:w="382" w:type="dxa"/>
            <w:vMerge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72" w:type="dxa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on deck</w:t>
            </w:r>
          </w:p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under deck</w:t>
            </w:r>
          </w:p>
        </w:tc>
        <w:tc>
          <w:tcPr>
            <w:tcW w:w="1381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on deck</w:t>
            </w:r>
          </w:p>
        </w:tc>
        <w:tc>
          <w:tcPr>
            <w:tcW w:w="1520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under deck</w:t>
            </w: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on deck</w:t>
            </w:r>
          </w:p>
        </w:tc>
        <w:tc>
          <w:tcPr>
            <w:tcW w:w="1658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under deck</w:t>
            </w:r>
          </w:p>
        </w:tc>
      </w:tr>
      <w:tr w:rsidR="00400F9A" w:rsidTr="007A1969">
        <w:trPr>
          <w:trHeight w:val="838"/>
        </w:trPr>
        <w:tc>
          <w:tcPr>
            <w:tcW w:w="382" w:type="dxa"/>
            <w:vMerge w:val="restart"/>
          </w:tcPr>
          <w:p w:rsidR="00FE4E19" w:rsidRPr="00FE4E19" w:rsidRDefault="00FE4E19" w:rsidP="007A1969">
            <w:pPr>
              <w:jc w:val="center"/>
              <w:rPr>
                <w:rFonts w:ascii="Myriad Pro" w:hAnsi="Myriad Pro"/>
                <w:sz w:val="24"/>
                <w:szCs w:val="24"/>
              </w:rPr>
            </w:pPr>
          </w:p>
          <w:p w:rsidR="00FE4E19" w:rsidRPr="00FE4E19" w:rsidRDefault="00FE4E19" w:rsidP="007A1969">
            <w:pPr>
              <w:jc w:val="center"/>
              <w:rPr>
                <w:rFonts w:ascii="Myriad Pro" w:hAnsi="Myriad Pro"/>
                <w:sz w:val="24"/>
                <w:szCs w:val="24"/>
              </w:rPr>
            </w:pPr>
          </w:p>
          <w:p w:rsidR="00FE4E19" w:rsidRPr="00FE4E19" w:rsidRDefault="00FE4E19" w:rsidP="007A1969">
            <w:pPr>
              <w:jc w:val="center"/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1.</w:t>
            </w:r>
          </w:p>
        </w:tc>
        <w:tc>
          <w:tcPr>
            <w:tcW w:w="186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Fore and aft</w:t>
            </w:r>
          </w:p>
        </w:tc>
        <w:tc>
          <w:tcPr>
            <w:tcW w:w="1572" w:type="dxa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rest.</w:t>
            </w:r>
          </w:p>
          <w:p w:rsidR="00400F9A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400F9A" w:rsidRPr="00FE4E19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381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520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container space</w:t>
            </w:r>
          </w:p>
        </w:tc>
        <w:tc>
          <w:tcPr>
            <w:tcW w:w="1658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cont. space or 1 bulkhead</w:t>
            </w:r>
          </w:p>
        </w:tc>
      </w:tr>
      <w:tr w:rsidR="00400F9A" w:rsidTr="007A1969">
        <w:trPr>
          <w:trHeight w:val="140"/>
        </w:trPr>
        <w:tc>
          <w:tcPr>
            <w:tcW w:w="382" w:type="dxa"/>
            <w:vMerge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Athwart ships</w:t>
            </w:r>
          </w:p>
        </w:tc>
        <w:tc>
          <w:tcPr>
            <w:tcW w:w="1572" w:type="dxa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  <w:p w:rsidR="00400F9A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400F9A" w:rsidRPr="00FE4E19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381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520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No restr.</w:t>
            </w: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container space</w:t>
            </w:r>
          </w:p>
        </w:tc>
        <w:tc>
          <w:tcPr>
            <w:tcW w:w="1658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container space</w:t>
            </w:r>
          </w:p>
        </w:tc>
      </w:tr>
      <w:tr w:rsidR="00400F9A" w:rsidTr="007A1969">
        <w:trPr>
          <w:trHeight w:val="838"/>
        </w:trPr>
        <w:tc>
          <w:tcPr>
            <w:tcW w:w="382" w:type="dxa"/>
            <w:vMerge w:val="restart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2.</w:t>
            </w:r>
          </w:p>
        </w:tc>
        <w:tc>
          <w:tcPr>
            <w:tcW w:w="186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Fore and aft</w:t>
            </w:r>
          </w:p>
        </w:tc>
        <w:tc>
          <w:tcPr>
            <w:tcW w:w="1572" w:type="dxa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container space</w:t>
            </w:r>
          </w:p>
          <w:p w:rsidR="00400F9A" w:rsidRPr="00FE4E19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FE4E19" w:rsidRPr="00FE4E19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1 cont.</w:t>
            </w:r>
            <w:r w:rsidR="00FE4E19" w:rsidRPr="00FE4E19">
              <w:rPr>
                <w:rFonts w:ascii="Myriad Pro" w:hAnsi="Myriad Pro"/>
                <w:sz w:val="24"/>
                <w:szCs w:val="24"/>
              </w:rPr>
              <w:t xml:space="preserve"> space or </w:t>
            </w:r>
            <w:r>
              <w:rPr>
                <w:rFonts w:ascii="Myriad Pro" w:hAnsi="Myriad Pro"/>
                <w:sz w:val="24"/>
                <w:szCs w:val="24"/>
              </w:rPr>
              <w:t>1 bulkh.</w:t>
            </w:r>
          </w:p>
        </w:tc>
        <w:tc>
          <w:tcPr>
            <w:tcW w:w="1381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container space</w:t>
            </w:r>
          </w:p>
        </w:tc>
        <w:tc>
          <w:tcPr>
            <w:tcW w:w="1520" w:type="dxa"/>
          </w:tcPr>
          <w:p w:rsidR="00FE4E19" w:rsidRPr="00FE4E19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1 cont.</w:t>
            </w:r>
            <w:r w:rsidR="00FE4E19" w:rsidRPr="00FE4E19">
              <w:rPr>
                <w:rFonts w:ascii="Myriad Pro" w:hAnsi="Myriad Pro"/>
                <w:sz w:val="24"/>
                <w:szCs w:val="24"/>
              </w:rPr>
              <w:t xml:space="preserve"> space or 1 </w:t>
            </w:r>
            <w:r>
              <w:rPr>
                <w:rFonts w:ascii="Myriad Pro" w:hAnsi="Myriad Pro"/>
                <w:sz w:val="24"/>
                <w:szCs w:val="24"/>
              </w:rPr>
              <w:t>bulkh.</w:t>
            </w: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 xml:space="preserve">1 container </w:t>
            </w:r>
          </w:p>
        </w:tc>
        <w:tc>
          <w:tcPr>
            <w:tcW w:w="1658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 xml:space="preserve">1 bulkhead </w:t>
            </w:r>
          </w:p>
        </w:tc>
      </w:tr>
      <w:tr w:rsidR="00400F9A" w:rsidTr="007A1969">
        <w:trPr>
          <w:trHeight w:val="140"/>
        </w:trPr>
        <w:tc>
          <w:tcPr>
            <w:tcW w:w="382" w:type="dxa"/>
            <w:vMerge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Athwart ships</w:t>
            </w:r>
          </w:p>
        </w:tc>
        <w:tc>
          <w:tcPr>
            <w:tcW w:w="1572" w:type="dxa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container space</w:t>
            </w:r>
          </w:p>
          <w:p w:rsidR="00400F9A" w:rsidRPr="00FE4E19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container space</w:t>
            </w:r>
          </w:p>
        </w:tc>
        <w:tc>
          <w:tcPr>
            <w:tcW w:w="1381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container space</w:t>
            </w:r>
          </w:p>
        </w:tc>
        <w:tc>
          <w:tcPr>
            <w:tcW w:w="1520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2 container spaces</w:t>
            </w: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2 container spaces</w:t>
            </w:r>
          </w:p>
        </w:tc>
        <w:tc>
          <w:tcPr>
            <w:tcW w:w="1658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 xml:space="preserve">1 bulkhead </w:t>
            </w:r>
          </w:p>
        </w:tc>
      </w:tr>
      <w:tr w:rsidR="00400F9A" w:rsidTr="007A1969">
        <w:trPr>
          <w:trHeight w:val="838"/>
        </w:trPr>
        <w:tc>
          <w:tcPr>
            <w:tcW w:w="382" w:type="dxa"/>
            <w:vMerge w:val="restart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3.</w:t>
            </w:r>
          </w:p>
        </w:tc>
        <w:tc>
          <w:tcPr>
            <w:tcW w:w="186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Fore and aft</w:t>
            </w:r>
          </w:p>
        </w:tc>
        <w:tc>
          <w:tcPr>
            <w:tcW w:w="1572" w:type="dxa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container</w:t>
            </w:r>
          </w:p>
          <w:p w:rsidR="00400F9A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400F9A" w:rsidRPr="00FE4E19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bulkhead</w:t>
            </w:r>
          </w:p>
        </w:tc>
        <w:tc>
          <w:tcPr>
            <w:tcW w:w="1381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container</w:t>
            </w:r>
          </w:p>
        </w:tc>
        <w:tc>
          <w:tcPr>
            <w:tcW w:w="1520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bulkhead</w:t>
            </w: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2 containers</w:t>
            </w:r>
          </w:p>
        </w:tc>
        <w:tc>
          <w:tcPr>
            <w:tcW w:w="1658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2 bulkheads</w:t>
            </w:r>
          </w:p>
        </w:tc>
      </w:tr>
      <w:tr w:rsidR="00400F9A" w:rsidTr="007A1969">
        <w:trPr>
          <w:trHeight w:val="140"/>
        </w:trPr>
        <w:tc>
          <w:tcPr>
            <w:tcW w:w="382" w:type="dxa"/>
            <w:vMerge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Athwart ships</w:t>
            </w:r>
          </w:p>
        </w:tc>
        <w:tc>
          <w:tcPr>
            <w:tcW w:w="1572" w:type="dxa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2 containers</w:t>
            </w:r>
          </w:p>
          <w:p w:rsidR="00400F9A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400F9A" w:rsidRPr="00FE4E19" w:rsidRDefault="00400F9A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bulkhead</w:t>
            </w:r>
          </w:p>
        </w:tc>
        <w:tc>
          <w:tcPr>
            <w:tcW w:w="1381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2 containers</w:t>
            </w:r>
          </w:p>
        </w:tc>
        <w:tc>
          <w:tcPr>
            <w:tcW w:w="1520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bulkhead</w:t>
            </w: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3 containers</w:t>
            </w:r>
          </w:p>
        </w:tc>
        <w:tc>
          <w:tcPr>
            <w:tcW w:w="1658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2 bulkheads</w:t>
            </w:r>
          </w:p>
        </w:tc>
      </w:tr>
      <w:tr w:rsidR="00400F9A" w:rsidTr="007A1969">
        <w:trPr>
          <w:trHeight w:val="821"/>
        </w:trPr>
        <w:tc>
          <w:tcPr>
            <w:tcW w:w="382" w:type="dxa"/>
            <w:vMerge w:val="restart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4.</w:t>
            </w:r>
          </w:p>
        </w:tc>
        <w:tc>
          <w:tcPr>
            <w:tcW w:w="186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Fore and aft</w:t>
            </w:r>
          </w:p>
        </w:tc>
        <w:tc>
          <w:tcPr>
            <w:tcW w:w="1572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min. horizontal distance 24 m</w:t>
            </w: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1 bulkhead &amp; min. distance 24 m</w:t>
            </w:r>
          </w:p>
        </w:tc>
        <w:tc>
          <w:tcPr>
            <w:tcW w:w="1381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min. distance 24 m</w:t>
            </w:r>
          </w:p>
        </w:tc>
        <w:tc>
          <w:tcPr>
            <w:tcW w:w="1520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2 bulkheads</w:t>
            </w:r>
          </w:p>
        </w:tc>
        <w:tc>
          <w:tcPr>
            <w:tcW w:w="1519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min. distance 24 m</w:t>
            </w:r>
          </w:p>
        </w:tc>
        <w:tc>
          <w:tcPr>
            <w:tcW w:w="1658" w:type="dxa"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2 bulkheads</w:t>
            </w:r>
          </w:p>
        </w:tc>
      </w:tr>
      <w:tr w:rsidR="00FE4E19" w:rsidTr="007A1969">
        <w:trPr>
          <w:trHeight w:val="1451"/>
        </w:trPr>
        <w:tc>
          <w:tcPr>
            <w:tcW w:w="382" w:type="dxa"/>
            <w:vMerge/>
          </w:tcPr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1869" w:type="dxa"/>
          </w:tcPr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  <w:r w:rsidRPr="00FE4E19">
              <w:rPr>
                <w:rFonts w:ascii="Myriad Pro" w:hAnsi="Myriad Pro"/>
                <w:sz w:val="24"/>
                <w:szCs w:val="24"/>
              </w:rPr>
              <w:t>Athwart ships</w:t>
            </w:r>
          </w:p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  <w:p w:rsidR="00FE4E19" w:rsidRPr="00FE4E19" w:rsidRDefault="00FE4E19" w:rsidP="007A1969">
            <w:pPr>
              <w:rPr>
                <w:rFonts w:ascii="Myriad Pro" w:hAnsi="Myriad Pro"/>
                <w:sz w:val="24"/>
                <w:szCs w:val="24"/>
              </w:rPr>
            </w:pPr>
          </w:p>
        </w:tc>
        <w:tc>
          <w:tcPr>
            <w:tcW w:w="9169" w:type="dxa"/>
            <w:gridSpan w:val="6"/>
          </w:tcPr>
          <w:p w:rsidR="00FE4E19" w:rsidRDefault="00FE4E19" w:rsidP="007A1969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p w:rsidR="00400F9A" w:rsidRDefault="00400F9A" w:rsidP="007A1969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p w:rsidR="00FE4E19" w:rsidRPr="00FE4E19" w:rsidRDefault="00FE4E19" w:rsidP="007A1969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r w:rsidRPr="00FE4E19">
              <w:rPr>
                <w:rFonts w:ascii="Myriad Pro" w:hAnsi="Myriad Pro"/>
                <w:b/>
                <w:sz w:val="24"/>
                <w:szCs w:val="24"/>
              </w:rPr>
              <w:t>PROHIBITED</w:t>
            </w:r>
          </w:p>
        </w:tc>
      </w:tr>
    </w:tbl>
    <w:p w:rsidR="00322A90" w:rsidRDefault="00322A90">
      <w:bookmarkStart w:id="0" w:name="_GoBack"/>
      <w:bookmarkEnd w:id="0"/>
    </w:p>
    <w:sectPr w:rsidR="00322A90" w:rsidSect="00457E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E7B" w:rsidRDefault="000A2E7B" w:rsidP="00FE4E19">
      <w:pPr>
        <w:spacing w:after="0" w:line="240" w:lineRule="auto"/>
      </w:pPr>
      <w:r>
        <w:separator/>
      </w:r>
    </w:p>
  </w:endnote>
  <w:endnote w:type="continuationSeparator" w:id="0">
    <w:p w:rsidR="000A2E7B" w:rsidRDefault="000A2E7B" w:rsidP="00FE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E7B" w:rsidRDefault="000A2E7B" w:rsidP="00FE4E19">
      <w:pPr>
        <w:spacing w:after="0" w:line="240" w:lineRule="auto"/>
      </w:pPr>
      <w:r>
        <w:separator/>
      </w:r>
    </w:p>
  </w:footnote>
  <w:footnote w:type="continuationSeparator" w:id="0">
    <w:p w:rsidR="000A2E7B" w:rsidRDefault="000A2E7B" w:rsidP="00FE4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19"/>
    <w:rsid w:val="00031664"/>
    <w:rsid w:val="000A2E7B"/>
    <w:rsid w:val="00322A90"/>
    <w:rsid w:val="00400F9A"/>
    <w:rsid w:val="00457E6B"/>
    <w:rsid w:val="007A1969"/>
    <w:rsid w:val="0083615B"/>
    <w:rsid w:val="009711F8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19"/>
  </w:style>
  <w:style w:type="paragraph" w:styleId="Footer">
    <w:name w:val="footer"/>
    <w:basedOn w:val="Normal"/>
    <w:link w:val="FooterChar"/>
    <w:uiPriority w:val="99"/>
    <w:unhideWhenUsed/>
    <w:rsid w:val="00FE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19"/>
  </w:style>
  <w:style w:type="table" w:styleId="TableGrid">
    <w:name w:val="Table Grid"/>
    <w:basedOn w:val="TableNormal"/>
    <w:uiPriority w:val="59"/>
    <w:rsid w:val="00FE4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19"/>
  </w:style>
  <w:style w:type="paragraph" w:styleId="Footer">
    <w:name w:val="footer"/>
    <w:basedOn w:val="Normal"/>
    <w:link w:val="FooterChar"/>
    <w:uiPriority w:val="99"/>
    <w:unhideWhenUsed/>
    <w:rsid w:val="00FE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19"/>
  </w:style>
  <w:style w:type="table" w:styleId="TableGrid">
    <w:name w:val="Table Grid"/>
    <w:basedOn w:val="TableNormal"/>
    <w:uiPriority w:val="59"/>
    <w:rsid w:val="00FE4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Voja</dc:creator>
  <cp:lastModifiedBy>Voja</cp:lastModifiedBy>
  <cp:revision>4</cp:revision>
  <dcterms:created xsi:type="dcterms:W3CDTF">2012-10-25T06:00:00Z</dcterms:created>
  <dcterms:modified xsi:type="dcterms:W3CDTF">2012-10-25T06:27:00Z</dcterms:modified>
</cp:coreProperties>
</file>