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Mudanças sociais e as novas formas de aprender e ensinar.</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Paula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Mudanças sociais e as novas formas de aprender e ensinar.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Paula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Mudanças sociais e as novas formas de aprender e ensinar.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Paula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Docência na Educação a Distância tem o perfil de um profissional atualizado com relação ás novas ferramentas educacionais e estudos sobre aprendizagem na educação virtual.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contexto social da cibernética traz a necessidade de atualizarmos a forma de pensar e atuar na educação. A docência na educação a distância é um estudo que tende a se aprofundar e ampliar ao longo dos anos, pois estamos vivenciando uma nova forma de entender a realidade.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necessário ao profissional que trabalha com a educação a distância desenvolver a competência de trabalhar com novas tecnologias, saber lidar com troca de informações precisas, gostar de pesquisar e conhecer novas metodologias e ter empatia com aquele que está em processo de formação.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Atividades como gestão de disciplinas de educação a distância, elaborar material para disciplinas que serão ministradas em ambientes virtuais de aprendizagem, gestão de trabalho em equipe para auxiliar os tutores virtuais, desenvolvimento de técnicas metodológicas para serem aplicadas em casos específicos, respeitando a individualização da aprendizagem diante da pluralidade da forma de aprender que o ambiente virtual proporciona.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Alguns desafios manter o aluno estimulado para que não haja abandono de curso. Empecilhos de manipulação dos meios tecnológicos por parte dos aluno acabam se refletindo no processo de ensino e aprendizagem. Quantidade grande de alunos e tutores para gerenciar.</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Webconferência e sua aplicação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Após uma abordagem histórica sobre a atuação na educação a distância e seus desdobramentos, a disciplina posicionou o profissional dentro das instituições, seu papel, suas funções, atribuições. Trabalhou-se termos como síncrono e assíncrono, videoconferência e web conferência. Foram apresentadas técnicas, mapas e fichas de protocolos para planejamento e realização de webconferência.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instrumentalizou o estudante do curso de especialização em docência do ensino a distância, uma vez que abordou de forma teórica e prática o tema da web conferência. Para trabalhar com a interação entre o online e o presencial são necessários alguns protocolos, esta disciplina esclareceu e somou muito na formação do curso.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Institucionalização da modalidade de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Abordagem teórica e prática da institucionalização da educação á distância. Resistências apresentadas para aplicação de novas formas de ensino, estrutura técnica para institucionalização de uma disciplina ou curso ead. Contribuição de autores como Selznick com relação a diferença entre organização e instituição. E Tolbert e Zucker que propõe etapas para o processo de institucionalização: habitualização, objetificação e sedimentação.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explorou bastante a relação da aprendizagem do conteúdo focando nos fóruns, as atividades estimulavam sempre do estudante a interagir com os demais participantes do curso. Foi uma disciplina bem elucidativa com relação a parte técnica da atividade educativa.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Laboratório de educação e 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proporcionou o desenvolvimento de uma ideia e sua aplicação, através da simulação da criação de um projeto que seria submetido ás regras de um edital e processo de seleção. Desta vez a interação entre os participantes se fez necessária.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foi uma disciplina que exigiu o exercício da escrita em grupo e de uma simulação daquilo que o docente na educação á distância poderá encontrar ao longo da sua práxis. Meu grupo desenvolveu a criação de um curso de capacitação de profissionais para a educação á distância, foi ótima e experiência que se iniciou com uma série de ressalvas e terminou com êxito.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Mídias, comunicação e formação infanto-juvenil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Nesta disciplina foram trabalhados temas como a mídia-educação na educação básica e as especificidades das Tecnologias de Informação e Comunicação (TIC). Trabalhou gêneros textuais em ambiente virtual e para finalizar houve a socialização no último fórum sobre mídias e práticas na formação da criança e do jovem.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Gostei desta disciplina pois como parte inicial propôs a criação de um mapa conceitual com termos, conceitos e referência que estão presentes no ambiente virtual. Depois houve bastante interação nos fóruns e estudo de uma obra, no caso escolhi Ensino Híbrido Personalização e Tecnologia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Ferramentas de produtividade em nuvem no contexto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procurou capacitar o profissional do ead a trabalhar com novas ferramentas online como o gerenciamento das nuvens, depois sistemas de coleta de informação como os formulários online e finalizou com a instrução sobre criação de site, recursos de mapas e agendamento de reuniões.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foi muito interessante pois trabalhamos na prática o estudo de ferramentas que ajudam muito no trabalho da ead. Em minha pratica diária com a educação as ferramentas de nuvens e formulários online já se incorporaram na gestão das aulas.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web conferência e sua aplicação na educação básica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Meet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da proposta de web conferência para modelo de educação, nível educação básica, que aceite novas metodologias de ensino, como metodologias ativas de sala de aula invertida e encontros síncronos de web conferência.</w:t>
        <w:br/>
        <w:t>Aplicação de web conferência para alunos da educação básica.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Diante do contexto da pandemia novas necessidades educacionais tiveram que se adaptar ao modelo de ensino a distância. O planejamento e execução de uma web conferência no processo de ensino e aprendizagem de uma disciplina humaniza a relação no sentido de intermediar a máquina e o humano.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Planejar a web conferência com o auxílio do protocolo de checagem, para a pré-conferência, conferência e pós conferência. Tópicos importantes para serem seguidos: planejamento do curso, agendamento com a equipe, comunicação com os participantes, preparação da apresentação, apresentação e finalização.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Realizei a proposta de web conferência no contexto da pandemia, onde a educação presencial teve que se adequar ao novo contexto. A aplicação passou por alguns ajustes, mas seguindo o roteiro ficou bem mais fácil.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para educação básica, alunos de quatro a dezessete anos, para disciplinas semipresenciais e online.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LÉVY, P. As tecnologias da Inteligência: O futuro do pensamento na era da </w:t>
        <w:br/>
        <w:t>informática. 13. ed. São Paulo: Editora 34, 2004. Disponível em: </w:t>
        <w:br/>
        <w:t>&lt;http://migre.me/tWuoa&gt;. Acesso em: 19 ago. 2019.</w:t>
        <w:br/>
        <w:t>MORIN, E. Os sete saberes necessários à educação do futuro. 2000. Disponível </w:t>
        <w:br/>
        <w:t>em: &lt;http://portal.mec.gov.br/seb/arquivos/pdf/EdgarMorin.pdf&gt;. </w:t>
        <w:br/>
        <w:t>Acesso em: 19 ago. 2019.</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FORMAÇÃO DE DOCENTES MULTIPLICADORES PARA CONSTRUÇÃO DE PROJETOS DE APRENDIZAGEM COLABORATIVA COM UTILIZAÇÃO DE FERRAMENTAS DIGITAIS POR MEIO DE METODOLOGIAS ATIVAS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plataforma Google Sala de Aula e todo o ecossistema Google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Capacitar profissionais da Educação Básica da rede municipal de ensino para a</w:t>
        <w:br/>
        <w:t>aplicabilidade de metodologias ativas, juntamente com o uso de recursos digitais no</w:t>
        <w:br/>
        <w:t>processo de ensino aprendizagem dos discentes.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Num cenário marcado pela emergência de soluções educacionais mediadas pelas</w:t>
        <w:br/>
        <w:t>tecnologias, este projeto se apresenta como proposta de articulação entre professores de</w:t>
        <w:br/>
        <w:t>diferentes áreas do conhecimento para formação de docentes multiplicadores que atuem na</w:t>
        <w:br/>
        <w:t>construção de projetos de aprendizagem colaborativa, com utilização de ferramentas</w:t>
        <w:br/>
        <w:t>digitais e que colaborem na construção e execução de propostas pedagógicas que</w:t>
        <w:br/>
        <w:t>possibilitem o protagonismo discente, a construção do conhecimento pela investigação e</w:t>
        <w:br/>
        <w:t>descoberta, bem como a negociação entre pares.</w:t>
        <w:br/>
        <w:t>A importância dessa iniciativa abarca a possibilidade de articulação entre os saberes</w:t>
        <w:br/>
        <w:t>consolidados pelos profissionais de ensino com os saberes relacionados ao domínio de</w:t>
        <w:br/>
        <w:t>ferramentas digitais que possam incrementar a criatividade, elaboração, acompanhamento</w:t>
        <w:br/>
        <w:t>e avaliação das atividades propostas, sempre de forma colaborativa.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Desenvolvimento de cinco dias de capacitação de profissionais da educação, seguindo o cronograma: </w:t>
        <w:br/>
        <w:t>1 atividade presencial, dinâmica de interação. </w:t>
        <w:br/>
        <w:t>2 atividade síncrona, apresentação de plataformas de interação e formas de mediação de aprendizagem</w:t>
        <w:br/>
        <w:t>em softwares de contribuição coletiva e em redes sociais.</w:t>
        <w:br/>
        <w:t>3 atividade presencial: seleção das metodologias desejáveis nos projetos a serem implementados nas</w:t>
        <w:br/>
        <w:t>escolas, de autoria dos professores multiplicadores.</w:t>
        <w:br/>
        <w:t>4 atividade síncrona Interação com todo o grupo de participantes, diálogos sobre avanços e dificuldades</w:t>
        <w:br/>
        <w:t>na elaboração do projeto, sobre formas de superar ou contornar obstáculos.</w:t>
        <w:br/>
        <w:t>5 atividade presencial, apresentação dos projetos desenvolvidos.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proposta foi fruto de um trabalho em grupo que fizemos para a disciplina do curso. No início a foi difícil a participação dos integrantes, mas depois cada um foi colocando sua contribuição e formou-se um projeto bem consistente.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aborda uma capacitação com momentos síncronos e presenciais de profissionais que já atuam na educação, porém com a educação presencial apenas. Neste proposta haveria a capacitação de aplicação de metodologias ativas para serem aplicadas na prática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BACICH, Lilian; MORAN, José (orgs.) Metodologias ativas para uma educação</w:t>
        <w:br/>
        <w:t>inovadora: uma abordagem teórico-prática. Porto Alegre: Penso, 2018.</w:t>
        <w:br/>
        <w:t>BERGMANN, Jonathan; SAMS, Aaron. Sala de aula invertida: uma metodologia</w:t>
        <w:br/>
        <w:t>ativa de aprendizagem. Trad.: Afonso Celso da Cunha Serra.1ª ed. Rio de Janeiro:</w:t>
        <w:br/>
        <w:t>LTC, 2020.</w:t>
        <w:br/>
        <w:t>MARTINS, C.; MANGAN, P. K. V. Estratégias Institucionais de Formação</w:t>
        <w:br/>
        <w:t>Continuada Docente : um estudo de caso em Educação a Distância. Revista</w:t>
        <w:br/>
        <w:t>Educaonline, v. 9, n. 1, p. 32–50, 2015.</w:t>
        <w:br/>
        <w:t>RAMAL, Andrea; SANTOS, Edméa (orgs.) Mídias e Tecnologias na educação</w:t>
        <w:br/>
        <w:t>presencial e à distância. 1ª ed. Rio de Janeiro: LTC, 2016.</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formulários online para avaliação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Formulários Google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metodologia ativa através de formulários online. Neste formulários distribuídos pelos telefones celulares através de redes sociais,  contém textos e informações necessárias para o estudante se informar e realizar as atividades de acompanhamento de aprendizagem e posterior avaliação.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da utilização de formulários online permite ao estudante estudar na hora que lhe for mais conveniente, dando espaço para horário e ambiente de estudo, mas é importante que se obedeça ao cronograma de entrega de atividades. Os formulários utilizam como ferramenta os telefones celulares, assim o estudante utiliza o tempo em que se disponibiliza para a realidade virtual de forma mais proveitosa, estudando.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Aula presencial para apresentação do conteúdo programático, divulgação do formulário através do representante de sala que socializa o link do formulário, realização da atividade com prazo determinado, finalização do prazo, correção das avaliações e análise de acertos e erros.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proposta possibilita ao estudante utilizar seu tempo destinado ás redes sociais para estudar de forma dinâmica e interativa. A educação vai se adaptando ás novas exposições ao mundo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das atividades de professores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