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714F25" w14:paraId="6E95C0EB" w14:textId="77777777">
        <w:tc>
          <w:tcPr>
            <w:tcW w:w="3824" w:type="dxa"/>
            <w:tcBorders>
              <w:top w:val="nil"/>
              <w:left w:val="nil"/>
              <w:bottom w:val="nil"/>
              <w:right w:val="nil"/>
            </w:tcBorders>
            <w:shd w:val="clear" w:color="auto" w:fill="auto"/>
            <w:vAlign w:val="center"/>
          </w:tcPr>
          <w:p w14:paraId="34A49158" w14:textId="30BB2E66" w:rsidR="00714F25" w:rsidRDefault="000971F3">
            <w:pPr>
              <w:spacing w:after="0" w:line="240" w:lineRule="auto"/>
              <w:jc w:val="center"/>
              <w:rPr>
                <w:rFonts w:asciiTheme="minorHAnsi" w:eastAsia="Times New Roman" w:hAnsiTheme="minorHAnsi" w:cstheme="minorHAnsi"/>
                <w:lang w:eastAsia="pt-BR"/>
              </w:rPr>
            </w:pPr>
            <w:r>
              <w:rPr>
                <w:noProof/>
              </w:rPr>
              <w:drawing>
                <wp:inline distT="0" distB="0" distL="0" distR="0" wp14:anchorId="6E19FD3A" wp14:editId="17EFC9B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8"/>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28689DC9" w14:textId="77777777" w:rsidR="00714F25" w:rsidRDefault="000971F3">
            <w:pPr>
              <w:spacing w:after="0" w:line="240" w:lineRule="auto"/>
              <w:jc w:val="center"/>
              <w:rPr>
                <w:rFonts w:asciiTheme="minorHAnsi" w:eastAsia="Times New Roman" w:hAnsiTheme="minorHAnsi" w:cstheme="minorHAnsi"/>
                <w:lang w:eastAsia="pt-BR"/>
              </w:rPr>
            </w:pPr>
            <w:r>
              <w:rPr>
                <w:noProof/>
              </w:rPr>
              <w:drawing>
                <wp:inline distT="0" distB="0" distL="0" distR="0" wp14:anchorId="0EEDE713" wp14:editId="57C67E92">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9"/>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5079E011" w14:textId="77777777" w:rsidR="00714F25" w:rsidRDefault="000971F3">
            <w:pPr>
              <w:spacing w:after="0" w:line="240" w:lineRule="auto"/>
              <w:jc w:val="center"/>
              <w:rPr>
                <w:rFonts w:asciiTheme="minorHAnsi" w:eastAsia="Times New Roman" w:hAnsiTheme="minorHAnsi" w:cstheme="minorHAnsi"/>
                <w:lang w:eastAsia="pt-BR"/>
              </w:rPr>
            </w:pPr>
            <w:r>
              <w:rPr>
                <w:noProof/>
              </w:rPr>
              <w:drawing>
                <wp:inline distT="0" distB="0" distL="0" distR="0" wp14:anchorId="74F2897E" wp14:editId="17919A8A">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0"/>
                          <a:stretch>
                            <a:fillRect/>
                          </a:stretch>
                        </pic:blipFill>
                        <pic:spPr bwMode="auto">
                          <a:xfrm>
                            <a:off x="0" y="0"/>
                            <a:ext cx="793115" cy="575945"/>
                          </a:xfrm>
                          <a:prstGeom prst="rect">
                            <a:avLst/>
                          </a:prstGeom>
                        </pic:spPr>
                      </pic:pic>
                    </a:graphicData>
                  </a:graphic>
                </wp:inline>
              </w:drawing>
            </w:r>
          </w:p>
        </w:tc>
      </w:tr>
    </w:tbl>
    <w:p w14:paraId="0216E1EC"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42E5D999" w14:textId="77777777" w:rsidR="00714F25" w:rsidRDefault="00714F25">
      <w:pPr>
        <w:spacing w:after="0" w:line="240" w:lineRule="auto"/>
        <w:jc w:val="center"/>
        <w:rPr>
          <w:rFonts w:asciiTheme="minorHAnsi" w:hAnsiTheme="minorHAnsi" w:cstheme="minorHAnsi"/>
          <w:b/>
          <w:bCs/>
        </w:rPr>
      </w:pPr>
    </w:p>
    <w:p w14:paraId="06D9ABA3" w14:textId="77777777" w:rsidR="00714F25" w:rsidRDefault="000971F3">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679A49A7" w14:textId="77777777" w:rsidR="00714F25" w:rsidRDefault="000971F3">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w:t>
      </w:r>
      <w:proofErr w:type="spellStart"/>
      <w:r>
        <w:rPr>
          <w:rFonts w:asciiTheme="minorHAnsi" w:hAnsiTheme="minorHAnsi" w:cstheme="minorHAnsi"/>
          <w:b/>
          <w:bCs/>
        </w:rPr>
        <w:t>EduTec</w:t>
      </w:r>
      <w:proofErr w:type="spellEnd"/>
      <w:r>
        <w:rPr>
          <w:rFonts w:asciiTheme="minorHAnsi" w:hAnsiTheme="minorHAnsi" w:cstheme="minorHAnsi"/>
          <w:b/>
          <w:bCs/>
        </w:rPr>
        <w:t>)</w:t>
      </w:r>
    </w:p>
    <w:p w14:paraId="250889C6" w14:textId="77777777" w:rsidR="00714F25" w:rsidRDefault="000971F3">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539A3F4E" w14:textId="77777777" w:rsidR="00714F25" w:rsidRDefault="000971F3">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Recursos de Mídias na Educação</w:t>
      </w:r>
    </w:p>
    <w:p w14:paraId="5F7B6D06"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1D126948"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665DAA6C"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325FE513"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23E3DCB3"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77968DD9"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65CCC154"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7B21AB53"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55B67A00"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54732CBD" w14:textId="77777777" w:rsidR="00714F25" w:rsidRDefault="000971F3">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Síntese Reflexiva – Educação e Tecnologias – Relatório Final</w:t>
      </w:r>
    </w:p>
    <w:p w14:paraId="61882739" w14:textId="77777777" w:rsidR="00714F25" w:rsidRDefault="00714F25">
      <w:pPr>
        <w:pBdr>
          <w:bottom w:val="single" w:sz="4" w:space="1" w:color="000000"/>
        </w:pBdr>
        <w:spacing w:after="0" w:line="240" w:lineRule="auto"/>
        <w:jc w:val="center"/>
        <w:rPr>
          <w:rFonts w:asciiTheme="minorHAnsi" w:hAnsiTheme="minorHAnsi" w:cstheme="minorHAnsi"/>
          <w:b/>
          <w:bCs/>
          <w:sz w:val="28"/>
          <w:szCs w:val="28"/>
        </w:rPr>
      </w:pPr>
    </w:p>
    <w:p w14:paraId="3F55AA5F" w14:textId="77777777" w:rsidR="00714F25" w:rsidRDefault="00714F25">
      <w:pPr>
        <w:spacing w:after="0" w:line="240" w:lineRule="auto"/>
        <w:jc w:val="center"/>
        <w:rPr>
          <w:rFonts w:asciiTheme="minorHAnsi" w:hAnsiTheme="minorHAnsi" w:cstheme="minorHAnsi"/>
          <w:b/>
          <w:bCs/>
          <w:sz w:val="28"/>
          <w:szCs w:val="28"/>
        </w:rPr>
      </w:pPr>
    </w:p>
    <w:p w14:paraId="5475D13B" w14:textId="77777777" w:rsidR="00714F25" w:rsidRDefault="00714F25">
      <w:pPr>
        <w:spacing w:after="0" w:line="240" w:lineRule="auto"/>
        <w:jc w:val="center"/>
        <w:rPr>
          <w:rFonts w:asciiTheme="minorHAnsi" w:hAnsiTheme="minorHAnsi" w:cstheme="minorHAnsi"/>
          <w:b/>
          <w:bCs/>
          <w:sz w:val="28"/>
          <w:szCs w:val="28"/>
        </w:rPr>
      </w:pPr>
    </w:p>
    <w:p w14:paraId="46E8B2A7" w14:textId="77777777" w:rsidR="00714F25" w:rsidRDefault="000971F3">
      <w:pPr>
        <w:pStyle w:val="Ttulo1"/>
        <w:spacing w:beforeAutospacing="0" w:after="0" w:afterAutospacing="0"/>
        <w:jc w:val="center"/>
        <w:rPr>
          <w:rFonts w:asciiTheme="minorHAnsi" w:hAnsiTheme="minorHAnsi" w:cstheme="minorHAnsi"/>
          <w:color w:val="000000"/>
          <w:sz w:val="40"/>
          <w:szCs w:val="40"/>
        </w:rPr>
      </w:pPr>
      <w:r>
        <w:rPr>
          <w:rFonts w:asciiTheme="minorHAnsi" w:hAnsiTheme="minorHAnsi" w:cstheme="minorHAnsi"/>
          <w:color w:val="000000"/>
          <w:sz w:val="40"/>
          <w:szCs w:val="40"/>
        </w:rPr>
        <w:t>A metodologia de rotação por estações no processo de ensino aprendizagem</w:t>
      </w:r>
    </w:p>
    <w:p w14:paraId="681A91EC" w14:textId="77777777" w:rsidR="00714F25" w:rsidRDefault="00714F25">
      <w:pPr>
        <w:pStyle w:val="Ttulo1"/>
        <w:spacing w:beforeAutospacing="0" w:after="0" w:afterAutospacing="0"/>
        <w:jc w:val="center"/>
        <w:rPr>
          <w:rFonts w:asciiTheme="minorHAnsi" w:hAnsiTheme="minorHAnsi" w:cstheme="minorHAnsi"/>
          <w:color w:val="FF0000"/>
          <w:sz w:val="40"/>
          <w:szCs w:val="40"/>
        </w:rPr>
      </w:pPr>
    </w:p>
    <w:p w14:paraId="5E5D0218" w14:textId="38BED892" w:rsidR="00714F25" w:rsidRDefault="000971F3">
      <w:pPr>
        <w:shd w:val="clear" w:color="auto" w:fill="FFFFFF"/>
        <w:spacing w:after="0" w:line="240" w:lineRule="auto"/>
        <w:jc w:val="center"/>
        <w:rPr>
          <w:rFonts w:asciiTheme="minorHAnsi" w:hAnsiTheme="minorHAnsi" w:cstheme="minorHAnsi"/>
          <w:color w:val="000000"/>
        </w:rPr>
      </w:pPr>
      <w:r>
        <w:rPr>
          <w:rFonts w:ascii="Calibri" w:eastAsia="Times New Roman" w:hAnsi="Calibri" w:cstheme="minorHAnsi"/>
          <w:b/>
          <w:bCs/>
          <w:color w:val="000000"/>
          <w:sz w:val="28"/>
          <w:szCs w:val="28"/>
          <w:lang w:eastAsia="pt-BR"/>
        </w:rPr>
        <w:t>MAURICIO DE</w:t>
      </w:r>
      <w:r w:rsidR="008D59CA">
        <w:rPr>
          <w:rFonts w:ascii="Calibri" w:eastAsia="Times New Roman" w:hAnsi="Calibri" w:cstheme="minorHAnsi"/>
          <w:b/>
          <w:bCs/>
          <w:color w:val="000000"/>
          <w:sz w:val="28"/>
          <w:szCs w:val="28"/>
          <w:lang w:eastAsia="pt-BR"/>
        </w:rPr>
        <w:t xml:space="preserve"> AQUINO</w:t>
      </w:r>
    </w:p>
    <w:p w14:paraId="31263A1F"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22908437"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1D2CFA5D"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618D8718"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0D847E3C"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2EEB8775"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1CB86E2B"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6A673937"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150AEBC5"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5F03908C"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26CD3C9A"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2A9AAF72"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0B49778B" w14:textId="77777777" w:rsidR="00714F25" w:rsidRDefault="00714F25">
      <w:pPr>
        <w:shd w:val="clear" w:color="auto" w:fill="FFFFFF"/>
        <w:spacing w:after="0" w:line="240" w:lineRule="auto"/>
        <w:jc w:val="both"/>
        <w:rPr>
          <w:rFonts w:asciiTheme="minorHAnsi" w:eastAsia="Times New Roman" w:hAnsiTheme="minorHAnsi" w:cstheme="minorHAnsi"/>
          <w:sz w:val="28"/>
          <w:szCs w:val="28"/>
          <w:lang w:eastAsia="pt-BR"/>
        </w:rPr>
      </w:pPr>
    </w:p>
    <w:p w14:paraId="1C7BBBC8" w14:textId="77777777" w:rsidR="00714F25" w:rsidRDefault="000971F3">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51DFA88B" w14:textId="77777777" w:rsidR="00714F25" w:rsidRDefault="000971F3">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sz w:val="28"/>
          <w:szCs w:val="28"/>
          <w:lang w:eastAsia="pt-BR"/>
        </w:rPr>
        <w:t>2021</w:t>
      </w:r>
      <w:r>
        <w:br w:type="page"/>
      </w:r>
    </w:p>
    <w:p w14:paraId="0C51C1E1" w14:textId="77777777" w:rsidR="00714F25" w:rsidRDefault="000971F3">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A metodologia de rotação por estações no processo de ensino aprendizagem</w:t>
      </w:r>
    </w:p>
    <w:p w14:paraId="37877F00"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41FE78F" w14:textId="6FBEDC92" w:rsidR="00714F25" w:rsidRDefault="000971F3">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MAURICIO DE</w:t>
      </w:r>
      <w:r w:rsidR="008D59CA">
        <w:rPr>
          <w:rFonts w:asciiTheme="minorHAnsi" w:eastAsia="Times New Roman" w:hAnsiTheme="minorHAnsi" w:cstheme="minorHAnsi"/>
          <w:b/>
          <w:bCs/>
          <w:sz w:val="28"/>
          <w:szCs w:val="28"/>
          <w:lang w:eastAsia="pt-BR"/>
        </w:rPr>
        <w:t xml:space="preserve"> AQUINO</w:t>
      </w:r>
    </w:p>
    <w:p w14:paraId="37033A8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1E853BD"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8E12A37"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11D4E6F"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32"/>
          <w:szCs w:val="32"/>
          <w:lang w:eastAsia="pt-BR"/>
        </w:rPr>
      </w:pPr>
      <w:r>
        <w:rPr>
          <w:rFonts w:asciiTheme="minorHAnsi" w:eastAsia="Times New Roman" w:hAnsiTheme="minorHAnsi" w:cstheme="minorHAnsi"/>
          <w:b/>
          <w:bCs/>
          <w:color w:val="C45911" w:themeColor="accent2" w:themeShade="BF"/>
          <w:sz w:val="32"/>
          <w:szCs w:val="32"/>
          <w:lang w:eastAsia="pt-BR"/>
        </w:rPr>
        <w:t xml:space="preserve">Sumário </w:t>
      </w:r>
    </w:p>
    <w:p w14:paraId="2C56B29F"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50F3D61"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4B26DE3"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1. Apresentação e justificativa do tema: introduzindo o tema do TCC</w:t>
      </w:r>
      <w:r>
        <w:rPr>
          <w:rFonts w:asciiTheme="minorHAnsi" w:eastAsia="Times New Roman" w:hAnsiTheme="minorHAnsi" w:cstheme="minorHAnsi"/>
          <w:lang w:eastAsia="pt-BR"/>
        </w:rPr>
        <w:tab/>
      </w:r>
    </w:p>
    <w:p w14:paraId="4C2E410E"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5829AA4"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2. Breve revisão de literatura sobre o tema da habilitação</w:t>
      </w:r>
      <w:r>
        <w:rPr>
          <w:rFonts w:asciiTheme="minorHAnsi" w:eastAsia="Times New Roman" w:hAnsiTheme="minorHAnsi" w:cstheme="minorHAnsi"/>
          <w:lang w:eastAsia="pt-BR"/>
        </w:rPr>
        <w:tab/>
      </w:r>
    </w:p>
    <w:p w14:paraId="1E735647"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49C1AD52"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Caracterização do especialista </w:t>
      </w:r>
      <w:r>
        <w:rPr>
          <w:rFonts w:asciiTheme="minorHAnsi" w:eastAsia="Times New Roman" w:hAnsiTheme="minorHAnsi" w:cstheme="minorHAnsi"/>
          <w:lang w:eastAsia="pt-BR"/>
        </w:rPr>
        <w:tab/>
      </w:r>
    </w:p>
    <w:p w14:paraId="2623003A"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7CC77F4" w14:textId="77777777" w:rsidR="00714F25" w:rsidRDefault="000971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3.1. Perfil profissional do especialista </w:t>
      </w:r>
      <w:r>
        <w:rPr>
          <w:rFonts w:asciiTheme="minorHAnsi" w:eastAsia="Times New Roman" w:hAnsiTheme="minorHAnsi" w:cstheme="minorHAnsi"/>
          <w:i/>
          <w:iCs/>
          <w:lang w:eastAsia="pt-BR"/>
        </w:rPr>
        <w:tab/>
      </w:r>
    </w:p>
    <w:p w14:paraId="6A229F09" w14:textId="77777777" w:rsidR="00714F25" w:rsidRDefault="000971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3.2. Importância da formação desse profissional</w:t>
      </w:r>
      <w:r>
        <w:rPr>
          <w:rFonts w:asciiTheme="minorHAnsi" w:eastAsia="Times New Roman" w:hAnsiTheme="minorHAnsi" w:cstheme="minorHAnsi"/>
          <w:i/>
          <w:iCs/>
          <w:lang w:eastAsia="pt-BR"/>
        </w:rPr>
        <w:tab/>
      </w:r>
    </w:p>
    <w:p w14:paraId="4D3BFC7A" w14:textId="77777777" w:rsidR="00714F25" w:rsidRDefault="000971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3.3. Principais saberes e competências do profissional </w:t>
      </w:r>
      <w:r>
        <w:rPr>
          <w:rFonts w:asciiTheme="minorHAnsi" w:eastAsia="Times New Roman" w:hAnsiTheme="minorHAnsi" w:cstheme="minorHAnsi"/>
          <w:i/>
          <w:iCs/>
          <w:lang w:eastAsia="pt-BR"/>
        </w:rPr>
        <w:tab/>
      </w:r>
    </w:p>
    <w:p w14:paraId="1151B6DB" w14:textId="77777777" w:rsidR="00714F25" w:rsidRDefault="000971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3.4. Tipos de atividades e funções principais do profissional </w:t>
      </w:r>
      <w:r>
        <w:rPr>
          <w:rFonts w:asciiTheme="minorHAnsi" w:eastAsia="Times New Roman" w:hAnsiTheme="minorHAnsi" w:cstheme="minorHAnsi"/>
          <w:i/>
          <w:iCs/>
          <w:lang w:eastAsia="pt-BR"/>
        </w:rPr>
        <w:tab/>
      </w:r>
    </w:p>
    <w:p w14:paraId="06E09D92" w14:textId="77777777" w:rsidR="00714F25" w:rsidRDefault="000971F3">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3.5. Principais desafios e dificuldades comuns do profissional</w:t>
      </w:r>
      <w:r>
        <w:rPr>
          <w:rFonts w:asciiTheme="minorHAnsi" w:eastAsia="Times New Roman" w:hAnsiTheme="minorHAnsi" w:cstheme="minorHAnsi"/>
          <w:i/>
          <w:iCs/>
          <w:lang w:eastAsia="pt-BR"/>
        </w:rPr>
        <w:tab/>
      </w:r>
    </w:p>
    <w:p w14:paraId="72098B61"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733501EB"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4. Componentes mais essenciais realizados no </w:t>
      </w:r>
      <w:proofErr w:type="spellStart"/>
      <w:r>
        <w:rPr>
          <w:rFonts w:asciiTheme="minorHAnsi" w:eastAsia="Times New Roman" w:hAnsiTheme="minorHAnsi" w:cstheme="minorHAnsi"/>
          <w:lang w:eastAsia="pt-BR"/>
        </w:rPr>
        <w:t>EduTec</w:t>
      </w:r>
      <w:proofErr w:type="spellEnd"/>
      <w:r>
        <w:rPr>
          <w:rFonts w:asciiTheme="minorHAnsi" w:eastAsia="Times New Roman" w:hAnsiTheme="minorHAnsi" w:cstheme="minorHAnsi"/>
          <w:lang w:eastAsia="pt-BR"/>
        </w:rPr>
        <w:tab/>
      </w:r>
    </w:p>
    <w:p w14:paraId="539793F9"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79149E2E"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Ideias e propostas de aplicação pedagógica de tecnologias digitais</w:t>
      </w:r>
      <w:r>
        <w:rPr>
          <w:rFonts w:asciiTheme="minorHAnsi" w:eastAsia="Times New Roman" w:hAnsiTheme="minorHAnsi" w:cstheme="minorHAnsi"/>
          <w:lang w:eastAsia="pt-BR"/>
        </w:rPr>
        <w:tab/>
      </w:r>
    </w:p>
    <w:p w14:paraId="27054C0A"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142E2E5"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6. Reflexão pessoal sobre o tema tratado no TCC: síntese e recomendações</w:t>
      </w:r>
      <w:r>
        <w:rPr>
          <w:rFonts w:asciiTheme="minorHAnsi" w:eastAsia="Times New Roman" w:hAnsiTheme="minorHAnsi" w:cstheme="minorHAnsi"/>
          <w:lang w:eastAsia="pt-BR"/>
        </w:rPr>
        <w:tab/>
      </w:r>
    </w:p>
    <w:p w14:paraId="4E0714B3" w14:textId="77777777" w:rsidR="00714F25" w:rsidRDefault="00714F25">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0B208FF" w14:textId="77777777" w:rsidR="00714F25" w:rsidRDefault="000971F3">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7. Referências</w:t>
      </w:r>
      <w:r>
        <w:rPr>
          <w:rFonts w:asciiTheme="minorHAnsi" w:eastAsia="Times New Roman" w:hAnsiTheme="minorHAnsi" w:cstheme="minorHAnsi"/>
          <w:lang w:eastAsia="pt-BR"/>
        </w:rPr>
        <w:tab/>
      </w:r>
    </w:p>
    <w:p w14:paraId="490FDCAD"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091C1FA"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2CB4CB0"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C49F6F8" w14:textId="77777777" w:rsidR="00714F25" w:rsidRDefault="000971F3">
      <w:pPr>
        <w:spacing w:after="0" w:line="240" w:lineRule="auto"/>
        <w:rPr>
          <w:rFonts w:asciiTheme="minorHAnsi" w:eastAsia="Times New Roman" w:hAnsiTheme="minorHAnsi" w:cstheme="minorHAnsi"/>
          <w:lang w:eastAsia="pt-BR"/>
        </w:rPr>
      </w:pPr>
      <w:r>
        <w:br w:type="page"/>
      </w:r>
    </w:p>
    <w:p w14:paraId="3C947737" w14:textId="77777777" w:rsidR="00714F25" w:rsidRDefault="000971F3">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A metodologia de rotação por estações no processo de ensino aprendizagem</w:t>
      </w:r>
    </w:p>
    <w:p w14:paraId="26AE3AD8"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5143D59" w14:textId="4682DF0E" w:rsidR="00714F25" w:rsidRDefault="000971F3">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MAURICIO DE</w:t>
      </w:r>
      <w:r w:rsidR="008D59CA">
        <w:rPr>
          <w:rFonts w:asciiTheme="minorHAnsi" w:eastAsia="Times New Roman" w:hAnsiTheme="minorHAnsi" w:cstheme="minorHAnsi"/>
          <w:b/>
          <w:bCs/>
          <w:lang w:eastAsia="pt-BR"/>
        </w:rPr>
        <w:t xml:space="preserve"> AQUINO</w:t>
      </w:r>
    </w:p>
    <w:p w14:paraId="748240BE"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3FAA8D1"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22B341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E79375B" w14:textId="67D7C1BD" w:rsidR="00714F25" w:rsidRPr="003E0565" w:rsidRDefault="000971F3" w:rsidP="003E0565">
      <w:pPr>
        <w:pStyle w:val="PargrafodaLista"/>
        <w:numPr>
          <w:ilvl w:val="0"/>
          <w:numId w:val="1"/>
        </w:num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sidRPr="003E0565">
        <w:rPr>
          <w:rFonts w:asciiTheme="minorHAnsi" w:eastAsia="Times New Roman" w:hAnsiTheme="minorHAnsi" w:cstheme="minorHAnsi"/>
          <w:b/>
          <w:bCs/>
          <w:color w:val="C45911" w:themeColor="accent2" w:themeShade="BF"/>
          <w:sz w:val="28"/>
          <w:szCs w:val="28"/>
          <w:lang w:eastAsia="pt-BR"/>
        </w:rPr>
        <w:t>Apresentação e justificativa do tema: introduzindo o tema do TCC</w:t>
      </w:r>
    </w:p>
    <w:p w14:paraId="37FFB537" w14:textId="68B152A3" w:rsidR="003E0565" w:rsidRDefault="003E0565" w:rsidP="003E0565">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p>
    <w:p w14:paraId="75BC1B77" w14:textId="5AFC5A39" w:rsidR="003E0565" w:rsidRPr="003E0565" w:rsidRDefault="003E0565" w:rsidP="003E0565">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sidRPr="00975BB6">
        <w:rPr>
          <w:rFonts w:asciiTheme="minorHAnsi" w:eastAsia="Times New Roman" w:hAnsiTheme="minorHAnsi" w:cstheme="minorHAnsi"/>
          <w:color w:val="000000" w:themeColor="text1"/>
          <w:sz w:val="22"/>
          <w:szCs w:val="22"/>
          <w:lang w:eastAsia="pt-BR"/>
        </w:rPr>
        <w:t>Um modelo de ensino híbrido</w:t>
      </w:r>
      <w:r w:rsidRPr="00975BB6">
        <w:rPr>
          <w:color w:val="000000" w:themeColor="text1"/>
          <w:sz w:val="22"/>
          <w:szCs w:val="22"/>
        </w:rPr>
        <w:t xml:space="preserve"> é o</w:t>
      </w:r>
      <w:r w:rsidRPr="00975BB6">
        <w:rPr>
          <w:color w:val="000000" w:themeColor="text1"/>
        </w:rPr>
        <w:t xml:space="preserve"> </w:t>
      </w:r>
      <w:r>
        <w:t xml:space="preserve">de rotação por estações. Nesse modelo os estudantes são alocados em grupos </w:t>
      </w:r>
      <w:proofErr w:type="spellStart"/>
      <w:r>
        <w:t>e,contando</w:t>
      </w:r>
      <w:proofErr w:type="spellEnd"/>
      <w:r>
        <w:t xml:space="preserve"> com uma sequência didática preparada pelo professor executam diferentes atividades.</w:t>
      </w:r>
    </w:p>
    <w:p w14:paraId="1B4D8D55"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933B63F"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FE3437D"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CA0D984"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1C58540"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195E275" w14:textId="77777777" w:rsidR="00714F25" w:rsidRDefault="000971F3">
      <w:pPr>
        <w:spacing w:after="0" w:line="240" w:lineRule="auto"/>
        <w:rPr>
          <w:rFonts w:asciiTheme="minorHAnsi" w:eastAsia="Times New Roman" w:hAnsiTheme="minorHAnsi" w:cstheme="minorHAnsi"/>
          <w:lang w:eastAsia="pt-BR"/>
        </w:rPr>
      </w:pPr>
      <w:r>
        <w:br w:type="page"/>
      </w:r>
    </w:p>
    <w:p w14:paraId="2E1D863C"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2. Breve revisão de literatura sobre o tema da habilitação</w:t>
      </w:r>
    </w:p>
    <w:p w14:paraId="3DB37C9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29BEBF89"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5C6C416" w14:textId="693D256D" w:rsidR="00714F25" w:rsidRDefault="003E0565">
      <w:pPr>
        <w:shd w:val="clear" w:color="auto" w:fill="FFFFFF"/>
        <w:spacing w:after="0" w:line="240" w:lineRule="auto"/>
        <w:jc w:val="both"/>
      </w:pPr>
      <w:r>
        <w:rPr>
          <w:rFonts w:asciiTheme="minorHAnsi" w:eastAsia="Times New Roman" w:hAnsiTheme="minorHAnsi" w:cstheme="minorHAnsi"/>
          <w:lang w:eastAsia="pt-BR"/>
        </w:rPr>
        <w:t xml:space="preserve">A utilização de tecnologias de educação e comunicação no processo educacional possibilitou que alunos e professores estabelecessem contatos com diferentes mídias </w:t>
      </w:r>
      <w:r>
        <w:t>(KENSKI, 2007). No entanto há uma necessidade de se elaborar um bom planejamento, pois a simples adoção das tecnologias não irá proporcionar uma aprendizagem significativa aos alunos (FREIRE, 1987).</w:t>
      </w:r>
    </w:p>
    <w:p w14:paraId="2F91234E" w14:textId="2A1C6A34" w:rsidR="003E0565" w:rsidRDefault="003E0565">
      <w:pPr>
        <w:shd w:val="clear" w:color="auto" w:fill="FFFFFF"/>
        <w:spacing w:after="0" w:line="240" w:lineRule="auto"/>
        <w:jc w:val="both"/>
      </w:pPr>
      <w:r>
        <w:t>N</w:t>
      </w:r>
      <w:r w:rsidR="004946F2">
        <w:t>os tempos atuais se faz necessária a criação de diferentes situações de aprendizagem, que demandem um método de pesquisa, a resolução de um problema.</w:t>
      </w:r>
      <w:r w:rsidR="00D86A1A">
        <w:t>(</w:t>
      </w:r>
      <w:r w:rsidR="004946F2" w:rsidRPr="004946F2">
        <w:t xml:space="preserve"> </w:t>
      </w:r>
      <w:r w:rsidR="004946F2">
        <w:t>Perrenoud et al. 2001</w:t>
      </w:r>
      <w:r w:rsidR="00D86A1A">
        <w:t>).</w:t>
      </w:r>
    </w:p>
    <w:p w14:paraId="787D9996" w14:textId="41C29EF2" w:rsidR="004946F2" w:rsidRDefault="004946F2">
      <w:pPr>
        <w:shd w:val="clear" w:color="auto" w:fill="FFFFFF"/>
        <w:spacing w:after="0" w:line="240" w:lineRule="auto"/>
        <w:jc w:val="both"/>
      </w:pPr>
      <w:r>
        <w:t>“A prática do ensino pressupõe a ressignificação periódica das metodologias e do arcabouço teórico a fim de proporcionar atualizações e dinamicidade de acordo com contexto do aluno e do professor” (PINTO JÚNIOR; FREITAS JÚNIOR, 2012, p. 3).</w:t>
      </w:r>
    </w:p>
    <w:p w14:paraId="62587F2E" w14:textId="25F4C7FC" w:rsidR="004946F2" w:rsidRDefault="004946F2">
      <w:pPr>
        <w:shd w:val="clear" w:color="auto" w:fill="FFFFFF"/>
        <w:spacing w:after="0" w:line="240" w:lineRule="auto"/>
        <w:jc w:val="both"/>
      </w:pPr>
      <w:r>
        <w:t>É necessário que o docente se sinta insatisfeito com os resultados das práticas de ensino passivas e tenha um sentimento de mudança (SIMON et al., 2003).</w:t>
      </w:r>
    </w:p>
    <w:p w14:paraId="3AA8CF6F" w14:textId="282E0C11" w:rsidR="004946F2" w:rsidRDefault="004946F2">
      <w:pPr>
        <w:shd w:val="clear" w:color="auto" w:fill="FFFFFF"/>
        <w:spacing w:after="0" w:line="240" w:lineRule="auto"/>
        <w:jc w:val="both"/>
      </w:pPr>
      <w:r>
        <w:t>Nesse cenário novas abordagens pedagógicas tem surgido. O ensino híbrido é um misto de momentos de aprendizagem on-line e presencial, tendo a possibilidade de interação entre os próprios colegas e com o professor (STAKER; HORN, 2012).</w:t>
      </w:r>
    </w:p>
    <w:p w14:paraId="0991C324" w14:textId="5FF34ACE" w:rsidR="004946F2" w:rsidRDefault="004946F2">
      <w:pPr>
        <w:shd w:val="clear" w:color="auto" w:fill="FFFFFF"/>
        <w:spacing w:after="0" w:line="240" w:lineRule="auto"/>
        <w:jc w:val="both"/>
      </w:pPr>
      <w:r>
        <w:t>Alunos e professores precisam se inteirar das novas tecnologias de educação e comunicação de modo que a construção do seu conhecimento ocorra de forma que seja produzido, e não transmitido (ROSA, 2013).</w:t>
      </w:r>
    </w:p>
    <w:p w14:paraId="1389997B" w14:textId="20D1B297" w:rsidR="00D86A1A" w:rsidRDefault="00D86A1A">
      <w:pPr>
        <w:shd w:val="clear" w:color="auto" w:fill="FFFFFF"/>
        <w:spacing w:after="0" w:line="240" w:lineRule="auto"/>
        <w:jc w:val="both"/>
      </w:pPr>
    </w:p>
    <w:p w14:paraId="055D4741"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683321F"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226C13A" w14:textId="77777777" w:rsidR="00714F25" w:rsidRDefault="000971F3">
      <w:pPr>
        <w:spacing w:after="0" w:line="240" w:lineRule="auto"/>
        <w:rPr>
          <w:rFonts w:asciiTheme="minorHAnsi" w:eastAsia="Times New Roman" w:hAnsiTheme="minorHAnsi" w:cstheme="minorHAnsi"/>
          <w:lang w:eastAsia="pt-BR"/>
        </w:rPr>
      </w:pPr>
      <w:r>
        <w:br w:type="page"/>
      </w:r>
    </w:p>
    <w:p w14:paraId="33CFB27A"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3. Caracterização do especialista </w:t>
      </w:r>
    </w:p>
    <w:p w14:paraId="41FEB515"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375BA66"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367CB7BE"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9A1C1F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D9A5D84" w14:textId="77777777" w:rsidR="00714F25" w:rsidRDefault="000971F3">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3.1. Perfil profissional do especialista</w:t>
      </w:r>
      <w:r>
        <w:rPr>
          <w:rFonts w:asciiTheme="minorHAnsi" w:eastAsia="Times New Roman" w:hAnsiTheme="minorHAnsi" w:cstheme="minorHAnsi"/>
          <w:i/>
          <w:iCs/>
          <w:color w:val="0070C0"/>
          <w:lang w:eastAsia="pt-BR"/>
        </w:rPr>
        <w:t xml:space="preserve"> (quem é esse especialista?)</w:t>
      </w:r>
    </w:p>
    <w:p w14:paraId="260293C8"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BEC18D3"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especialista deve ser um profissional dinâmico, preocupado em criar condições e mecanismos de aprendizagem a fim de que os alunos construam seu conhecimento. Segundo FREIRE (2003, p. 47) "...ensinar não é transferir conhecimento, mas criar as</w:t>
      </w:r>
      <w:r>
        <w:rPr>
          <w:rFonts w:ascii="Calibri" w:eastAsia="Times New Roman" w:hAnsi="Calibri" w:cstheme="minorHAnsi"/>
          <w:lang w:eastAsia="pt-BR"/>
        </w:rPr>
        <w:br/>
        <w:t>possibilidades para sua própria produção ou a sua construção".</w:t>
      </w:r>
      <w:r>
        <w:rPr>
          <w:rFonts w:ascii="Calibri" w:eastAsia="Times New Roman" w:hAnsi="Calibri" w:cstheme="minorHAnsi"/>
          <w:lang w:eastAsia="pt-BR"/>
        </w:rPr>
        <w:br/>
        <w:t>O profissional da educação deve fazer a junção das práticas pedagógicas e das tecnologias, para isso fazendo uso de metodologias ativas de aprendizagem, desenvolvendo conhecimento, competências e habilidades nos alunos.</w:t>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p>
    <w:p w14:paraId="3B81473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9951C42" w14:textId="77777777" w:rsidR="00714F25" w:rsidRDefault="000971F3">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3.2. Importância da formação desse profissional</w:t>
      </w:r>
      <w:r>
        <w:rPr>
          <w:rFonts w:asciiTheme="minorHAnsi" w:eastAsia="Times New Roman" w:hAnsiTheme="minorHAnsi" w:cstheme="minorHAnsi"/>
          <w:i/>
          <w:iCs/>
          <w:color w:val="0070C0"/>
          <w:lang w:eastAsia="pt-BR"/>
        </w:rPr>
        <w:t xml:space="preserve"> (em que esse especialista contribui?)</w:t>
      </w:r>
    </w:p>
    <w:p w14:paraId="1869FAAD"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34C28B80"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formação desse profissional é primordial pois o mesmo deverá ser capaz de promover um bom planejamento atrelando os recursos das metodologias ativas, possibilitando uma aprendizagem ativa aos alunos (FREIRE, 1987).</w:t>
      </w:r>
      <w:r>
        <w:rPr>
          <w:rFonts w:ascii="Calibri" w:eastAsia="Times New Roman" w:hAnsi="Calibri" w:cstheme="minorHAnsi"/>
          <w:lang w:eastAsia="pt-BR"/>
        </w:rPr>
        <w:br/>
        <w:t>O profissional da educação deve fazer a junção das práticas pedagógicas e das tecnologias, para isso fazendo uso de metodologias ativas de aprendizagem, desenvolvendo conhecimento, competências e habilidades nos alunos</w:t>
      </w:r>
      <w:r>
        <w:rPr>
          <w:rFonts w:ascii="Calibri" w:eastAsia="Times New Roman" w:hAnsi="Calibri" w:cstheme="minorHAnsi"/>
          <w:lang w:eastAsia="pt-BR"/>
        </w:rPr>
        <w:br/>
      </w:r>
      <w:r>
        <w:rPr>
          <w:rFonts w:ascii="Calibri" w:eastAsia="Times New Roman" w:hAnsi="Calibri" w:cstheme="minorHAnsi"/>
          <w:lang w:eastAsia="pt-BR"/>
        </w:rPr>
        <w:br/>
      </w:r>
    </w:p>
    <w:p w14:paraId="266E805F"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83F924D" w14:textId="77777777" w:rsidR="00714F25" w:rsidRDefault="000971F3">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 xml:space="preserve">3.3. Principais saberes e competências do profissional </w:t>
      </w:r>
      <w:r>
        <w:rPr>
          <w:rFonts w:asciiTheme="minorHAnsi" w:eastAsia="Times New Roman" w:hAnsiTheme="minorHAnsi" w:cstheme="minorHAnsi"/>
          <w:i/>
          <w:iCs/>
          <w:color w:val="0070C0"/>
          <w:lang w:eastAsia="pt-BR"/>
        </w:rPr>
        <w:t>(o que esse especialista deve saber para realizar suas atividades com qualidade?)</w:t>
      </w:r>
    </w:p>
    <w:p w14:paraId="39DC935A"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E0DB571"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Segundo Barbosa et al. (2014) a utilização de tecnologias no cenário educacional </w:t>
      </w:r>
      <w:proofErr w:type="spellStart"/>
      <w:r>
        <w:rPr>
          <w:rFonts w:ascii="Calibri" w:eastAsia="Times New Roman" w:hAnsi="Calibri" w:cstheme="minorHAnsi"/>
          <w:lang w:eastAsia="pt-BR"/>
        </w:rPr>
        <w:t>necesssita</w:t>
      </w:r>
      <w:proofErr w:type="spellEnd"/>
      <w:r>
        <w:rPr>
          <w:rFonts w:ascii="Calibri" w:eastAsia="Times New Roman" w:hAnsi="Calibri" w:cstheme="minorHAnsi"/>
          <w:lang w:eastAsia="pt-BR"/>
        </w:rPr>
        <w:t xml:space="preserve"> de formação e comprometimento dos educadores no processo de ensino aprendizagem, apresentando ações bem articuladas.</w:t>
      </w:r>
      <w:r>
        <w:rPr>
          <w:rFonts w:ascii="Calibri" w:eastAsia="Times New Roman" w:hAnsi="Calibri" w:cstheme="minorHAnsi"/>
          <w:lang w:eastAsia="pt-BR"/>
        </w:rPr>
        <w:br/>
        <w:t>O profissional deve ser letrado digitalmente, conhecendo as diferentes metodologias ativas de aprendizagem.</w:t>
      </w:r>
      <w:r>
        <w:rPr>
          <w:rFonts w:ascii="Calibri" w:eastAsia="Times New Roman" w:hAnsi="Calibri" w:cstheme="minorHAnsi"/>
          <w:lang w:eastAsia="pt-BR"/>
        </w:rPr>
        <w:br/>
      </w:r>
    </w:p>
    <w:p w14:paraId="4EF69068"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40ED63F" w14:textId="77777777" w:rsidR="00714F25" w:rsidRDefault="000971F3">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3.4. Tipos de atividades e funções principais do profissional</w:t>
      </w:r>
      <w:r>
        <w:rPr>
          <w:rFonts w:asciiTheme="minorHAnsi" w:eastAsia="Times New Roman" w:hAnsiTheme="minorHAnsi" w:cstheme="minorHAnsi"/>
          <w:i/>
          <w:iCs/>
          <w:color w:val="0070C0"/>
          <w:lang w:eastAsia="pt-BR"/>
        </w:rPr>
        <w:t xml:space="preserve"> (qual é o campo de atuação desse especialista?)</w:t>
      </w:r>
    </w:p>
    <w:p w14:paraId="283E2161"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2934EB1"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Ao professor cabe a sensibilização e motivação dos alunos para a construção do seu próprio conhecimento, fazendo a interligação dos conteúdos e do contexto social dos alunos (MORAN, 1997).“Torna-se importante atentar para a </w:t>
      </w:r>
      <w:proofErr w:type="spellStart"/>
      <w:r>
        <w:rPr>
          <w:rFonts w:ascii="Calibri" w:eastAsia="Times New Roman" w:hAnsi="Calibri" w:cstheme="minorHAnsi"/>
          <w:lang w:eastAsia="pt-BR"/>
        </w:rPr>
        <w:t>metodologia,reformular</w:t>
      </w:r>
      <w:proofErr w:type="spellEnd"/>
      <w:r>
        <w:rPr>
          <w:rFonts w:ascii="Calibri" w:eastAsia="Times New Roman" w:hAnsi="Calibri" w:cstheme="minorHAnsi"/>
          <w:lang w:eastAsia="pt-BR"/>
        </w:rPr>
        <w:t xml:space="preserve"> o conteúdo e a prática de ensino, o professor deverá explorar recursos tecnológicos com ênfase no conteúdo, não na ferramenta” (GIRARDI, 2011, p. 9).</w:t>
      </w:r>
    </w:p>
    <w:p w14:paraId="183ECEF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3C95CA18" w14:textId="77777777" w:rsidR="00714F25" w:rsidRDefault="000971F3">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3.5. Principais desafios e dificuldades comuns do profissional</w:t>
      </w:r>
      <w:r>
        <w:rPr>
          <w:rFonts w:asciiTheme="minorHAnsi" w:eastAsia="Times New Roman" w:hAnsiTheme="minorHAnsi" w:cstheme="minorHAnsi"/>
          <w:i/>
          <w:iCs/>
          <w:color w:val="0070C0"/>
          <w:lang w:eastAsia="pt-BR"/>
        </w:rPr>
        <w:t xml:space="preserve"> (quais desafios ou dificultadores são normalmente enfrentados pelo especialista?)</w:t>
      </w:r>
    </w:p>
    <w:p w14:paraId="5976CCB0"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3D977133"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implementação do ensino híbrido demanda uma boa formação docente, que deve dominar a dinâmica na sala de aula, possibilitando ações de personalização, para uso integrado das tecnologias digitais  (BACICH; TANZI NETO;</w:t>
      </w:r>
      <w:r>
        <w:rPr>
          <w:rFonts w:ascii="Calibri" w:eastAsia="Times New Roman" w:hAnsi="Calibri" w:cstheme="minorHAnsi"/>
          <w:lang w:eastAsia="pt-BR"/>
        </w:rPr>
        <w:br/>
        <w:t>TREVISANI).</w:t>
      </w:r>
      <w:r>
        <w:rPr>
          <w:rFonts w:ascii="Calibri" w:eastAsia="Times New Roman" w:hAnsi="Calibri" w:cstheme="minorHAnsi"/>
          <w:lang w:eastAsia="pt-BR"/>
        </w:rPr>
        <w:br/>
        <w:t xml:space="preserve">Segundo Moran (2005), o processo de ensino aprendizagem não se limita às atividades realizadas dentro de sala de aula, mas está relacionada ao que se faz dentro e fora </w:t>
      </w:r>
      <w:proofErr w:type="spellStart"/>
      <w:r>
        <w:rPr>
          <w:rFonts w:ascii="Calibri" w:eastAsia="Times New Roman" w:hAnsi="Calibri" w:cstheme="minorHAnsi"/>
          <w:lang w:eastAsia="pt-BR"/>
        </w:rPr>
        <w:t>dela.O</w:t>
      </w:r>
      <w:proofErr w:type="spellEnd"/>
      <w:r>
        <w:rPr>
          <w:rFonts w:ascii="Calibri" w:eastAsia="Times New Roman" w:hAnsi="Calibri" w:cstheme="minorHAnsi"/>
          <w:lang w:eastAsia="pt-BR"/>
        </w:rPr>
        <w:t xml:space="preserve"> professor precisa desenvolver atividades que possibilitem que o ambiente de estudos se estenda em ambientes virtuais.</w:t>
      </w:r>
      <w:r>
        <w:rPr>
          <w:rFonts w:ascii="Calibri" w:eastAsia="Times New Roman" w:hAnsi="Calibri" w:cstheme="minorHAnsi"/>
          <w:lang w:eastAsia="pt-BR"/>
        </w:rPr>
        <w:br/>
        <w:t xml:space="preserve">Um grande desafio para o docente </w:t>
      </w:r>
      <w:proofErr w:type="spellStart"/>
      <w:r>
        <w:rPr>
          <w:rFonts w:ascii="Calibri" w:eastAsia="Times New Roman" w:hAnsi="Calibri" w:cstheme="minorHAnsi"/>
          <w:lang w:eastAsia="pt-BR"/>
        </w:rPr>
        <w:t>Ead</w:t>
      </w:r>
      <w:proofErr w:type="spellEnd"/>
      <w:r>
        <w:rPr>
          <w:rFonts w:ascii="Calibri" w:eastAsia="Times New Roman" w:hAnsi="Calibri" w:cstheme="minorHAnsi"/>
          <w:lang w:eastAsia="pt-BR"/>
        </w:rPr>
        <w:t xml:space="preserve"> é utilizar devidamente os ambientes virtuais de aprendizagem , uma vez que esses são formatados de uma forma diferente da sala de aula tradicional.( Costa e Mill,2018).</w:t>
      </w:r>
      <w:r>
        <w:br w:type="page"/>
      </w:r>
    </w:p>
    <w:p w14:paraId="75DE95A1"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4. Componentes mais essenciais realizados no </w:t>
      </w:r>
      <w:proofErr w:type="spellStart"/>
      <w:r>
        <w:rPr>
          <w:rFonts w:asciiTheme="minorHAnsi" w:eastAsia="Times New Roman" w:hAnsiTheme="minorHAnsi" w:cstheme="minorHAnsi"/>
          <w:b/>
          <w:bCs/>
          <w:color w:val="C45911" w:themeColor="accent2" w:themeShade="BF"/>
          <w:sz w:val="28"/>
          <w:szCs w:val="28"/>
          <w:lang w:eastAsia="pt-BR"/>
        </w:rPr>
        <w:t>EduTec</w:t>
      </w:r>
      <w:proofErr w:type="spellEnd"/>
    </w:p>
    <w:p w14:paraId="771F3519"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3450AC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0ABB302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4A3373C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32ECA24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1B1D7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Integração de mídias na educação</w:t>
      </w:r>
    </w:p>
    <w:p w14:paraId="1A455E1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37F46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67A8991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05061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componente objetiva a descrição do conceito de mídias educacionais, sua utilização e integração no processo de ensino e sua utilização como material de suporte na educação (Bertoldo,2017).</w:t>
      </w:r>
    </w:p>
    <w:p w14:paraId="3DC806F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C0CED5"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28CBA0B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E05B94"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 decorrer do exercício desse componente aprendi que mídias são meios de comunicação e os mecanismos de propagação de informação. São mecanismos pelos quais damos sentido e estruturamos nossa experiência do meio, atribuímos nomes às coisas e estabelecemos comunicação(Bertoldo,2017).</w:t>
      </w:r>
      <w:r>
        <w:rPr>
          <w:rFonts w:ascii="Calibri" w:eastAsia="Times New Roman" w:hAnsi="Calibri" w:cstheme="minorHAnsi"/>
          <w:lang w:eastAsia="pt-BR"/>
        </w:rPr>
        <w:br/>
        <w:t xml:space="preserve">Aprendi que a integração de mídias na educação possibilita a formação de leitores críticos, de cidadãos </w:t>
      </w:r>
      <w:proofErr w:type="spellStart"/>
      <w:r>
        <w:rPr>
          <w:rFonts w:ascii="Calibri" w:eastAsia="Times New Roman" w:hAnsi="Calibri" w:cstheme="minorHAnsi"/>
          <w:lang w:eastAsia="pt-BR"/>
        </w:rPr>
        <w:t>concientes</w:t>
      </w:r>
      <w:proofErr w:type="spellEnd"/>
      <w:r>
        <w:rPr>
          <w:rFonts w:ascii="Calibri" w:eastAsia="Times New Roman" w:hAnsi="Calibri" w:cstheme="minorHAnsi"/>
          <w:lang w:eastAsia="pt-BR"/>
        </w:rPr>
        <w:t>. (Bertoldo,2017).</w:t>
      </w:r>
      <w:r>
        <w:rPr>
          <w:rFonts w:ascii="Calibri" w:eastAsia="Times New Roman" w:hAnsi="Calibri" w:cstheme="minorHAnsi"/>
          <w:lang w:eastAsia="pt-BR"/>
        </w:rPr>
        <w:br/>
        <w:t xml:space="preserve">Refleti que as mídias transmitem ao ser humano valores, crenças, </w:t>
      </w:r>
      <w:proofErr w:type="spellStart"/>
      <w:r>
        <w:rPr>
          <w:rFonts w:ascii="Calibri" w:eastAsia="Times New Roman" w:hAnsi="Calibri" w:cstheme="minorHAnsi"/>
          <w:lang w:eastAsia="pt-BR"/>
        </w:rPr>
        <w:t>ideiais</w:t>
      </w:r>
      <w:proofErr w:type="spellEnd"/>
      <w:r>
        <w:rPr>
          <w:rFonts w:ascii="Calibri" w:eastAsia="Times New Roman" w:hAnsi="Calibri" w:cstheme="minorHAnsi"/>
          <w:lang w:eastAsia="pt-BR"/>
        </w:rPr>
        <w:t xml:space="preserve">, atitudes, </w:t>
      </w:r>
      <w:proofErr w:type="spellStart"/>
      <w:r>
        <w:rPr>
          <w:rFonts w:ascii="Calibri" w:eastAsia="Times New Roman" w:hAnsi="Calibri" w:cstheme="minorHAnsi"/>
          <w:lang w:eastAsia="pt-BR"/>
        </w:rPr>
        <w:t>desejos,necessidades</w:t>
      </w:r>
      <w:proofErr w:type="spellEnd"/>
      <w:r>
        <w:rPr>
          <w:rFonts w:ascii="Calibri" w:eastAsia="Times New Roman" w:hAnsi="Calibri" w:cstheme="minorHAnsi"/>
          <w:lang w:eastAsia="pt-BR"/>
        </w:rPr>
        <w:t>, modelos e visões de mundo às consciências de quem as recebe, construindo  com os mesmos uma interação . (THOMPSON, 2008, p. 80).</w:t>
      </w:r>
      <w:r>
        <w:rPr>
          <w:rFonts w:ascii="Calibri" w:eastAsia="Times New Roman" w:hAnsi="Calibri" w:cstheme="minorHAnsi"/>
          <w:lang w:eastAsia="pt-BR"/>
        </w:rPr>
        <w:br/>
        <w:t>Pude verificar que a participação dos indivíduos numa sociedade é possibilitada por intermédio da educação, onde seus integrantes atuam, pensam, sentindo-se como integrante do grupo. (Bertoldo,2017).</w:t>
      </w:r>
      <w:r>
        <w:rPr>
          <w:rFonts w:ascii="Calibri" w:eastAsia="Times New Roman" w:hAnsi="Calibri" w:cstheme="minorHAnsi"/>
          <w:lang w:eastAsia="pt-BR"/>
        </w:rPr>
        <w:br/>
        <w:t xml:space="preserve">Ponderei a respeito de uma missão escolar de possibilitar que seus alunos façam leituras subliminares, implícitas na </w:t>
      </w:r>
      <w:proofErr w:type="spellStart"/>
      <w:r>
        <w:rPr>
          <w:rFonts w:ascii="Calibri" w:eastAsia="Times New Roman" w:hAnsi="Calibri" w:cstheme="minorHAnsi"/>
          <w:lang w:eastAsia="pt-BR"/>
        </w:rPr>
        <w:t>propação</w:t>
      </w:r>
      <w:proofErr w:type="spellEnd"/>
      <w:r>
        <w:rPr>
          <w:rFonts w:ascii="Calibri" w:eastAsia="Times New Roman" w:hAnsi="Calibri" w:cstheme="minorHAnsi"/>
          <w:lang w:eastAsia="pt-BR"/>
        </w:rPr>
        <w:t xml:space="preserve"> das mídias e também fazendo questionamentos das informações recebidas. Para isso, os docentes podem fazer uso de diversas mídias com o objetivo de desenvolver ¨atitudes e competências nos alunos, tais como: reflexão, debate, tolerância, análise, síntese.¨ (Bertoldo,2017).</w:t>
      </w:r>
      <w:r>
        <w:rPr>
          <w:rFonts w:ascii="Calibri" w:eastAsia="Times New Roman" w:hAnsi="Calibri" w:cstheme="minorHAnsi"/>
          <w:lang w:eastAsia="pt-BR"/>
        </w:rPr>
        <w:br/>
        <w:t>Fui despertado de que as diferentes mídias podem aprimorar, enriquecer  o processo de educacional. Que através de metodologias diversas envolvendo mídias educacionais o professor pode se tornar naquele ¨que articula estratégias que contribuem para a formação de alunos autônomos e o da sala de aula tradicional para interativa¨(SILVA, 2001).</w:t>
      </w:r>
      <w:r>
        <w:rPr>
          <w:rFonts w:ascii="Calibri" w:eastAsia="Times New Roman" w:hAnsi="Calibri" w:cstheme="minorHAnsi"/>
          <w:lang w:eastAsia="pt-BR"/>
        </w:rPr>
        <w:br/>
      </w:r>
    </w:p>
    <w:p w14:paraId="0825F5D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355E27F"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00DEF95C"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0510DC0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72D57BF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03028BE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BD3824"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Metodologias ativas de aprendizagem</w:t>
      </w:r>
    </w:p>
    <w:p w14:paraId="5D1F8B2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2A525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lastRenderedPageBreak/>
        <w:t>:. Descrição do componente realizado:</w:t>
      </w:r>
    </w:p>
    <w:p w14:paraId="58A611D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0792C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componente ofertado objetivou demonstrar o que são metodologias ativas, suas diferentes modalidades, bem como sua diferenciação das chamadas metodologias passivas.</w:t>
      </w:r>
      <w:r>
        <w:rPr>
          <w:rFonts w:ascii="Calibri" w:eastAsia="Times New Roman" w:hAnsi="Calibri" w:cstheme="minorHAnsi"/>
          <w:lang w:eastAsia="pt-BR"/>
        </w:rPr>
        <w:br/>
        <w:t>Através dele pude refletir a respeito das diferentes metodologias ativas existentes no cenário educacional em que vivemos: instrução pelos pares, sala de aula invertida, estudo de caso e aprendizagem baseada em equipes.</w:t>
      </w:r>
      <w:r>
        <w:rPr>
          <w:rFonts w:ascii="Calibri" w:eastAsia="Times New Roman" w:hAnsi="Calibri" w:cstheme="minorHAnsi"/>
          <w:lang w:eastAsia="pt-BR"/>
        </w:rPr>
        <w:br/>
      </w:r>
    </w:p>
    <w:p w14:paraId="1B972AD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547E9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7189F917"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525E01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 curso desse componente curricular pude refletir sobre as situações vividas no período onde estudei que se tratavam da utilização de metodologias ativas e passivas. As discussões do Fórum foram muito proveitosas e enriquecedoras, onde pude aprender com o relato de colegas que deixaram suas opiniões e vivências quando interagiram com minha postagem.</w:t>
      </w:r>
      <w:r>
        <w:rPr>
          <w:rFonts w:ascii="Calibri" w:eastAsia="Times New Roman" w:hAnsi="Calibri" w:cstheme="minorHAnsi"/>
          <w:lang w:eastAsia="pt-BR"/>
        </w:rPr>
        <w:br/>
        <w:t>Ao participar da Feira Mundial de 2029 em São Paulo (Pavilhão Ative-se na educação) pude trabalhar em equipe com um grupo de colegas onde arquitetamos a atividade denominada Bebês na ativa. Atividade voltada para o público infantil baseada na metodologia ativa de Rotação por estações, sendo elas: Estação das formas, estação dos sons e estação das cores.</w:t>
      </w:r>
      <w:r>
        <w:rPr>
          <w:rFonts w:ascii="Calibri" w:eastAsia="Times New Roman" w:hAnsi="Calibri" w:cstheme="minorHAnsi"/>
          <w:lang w:eastAsia="pt-BR"/>
        </w:rPr>
        <w:br/>
        <w:t>Foi uma experiência muito significativa para mim, que jamais pensei em propor uma atividade para o público infantil, pois trabalho com os públicos do ensino fundamental II e Médio.</w:t>
      </w:r>
      <w:r>
        <w:rPr>
          <w:rFonts w:ascii="Calibri" w:eastAsia="Times New Roman" w:hAnsi="Calibri" w:cstheme="minorHAnsi"/>
          <w:lang w:eastAsia="pt-BR"/>
        </w:rPr>
        <w:br/>
      </w:r>
    </w:p>
    <w:p w14:paraId="2911B7A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BE71F5"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0268F02"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Terceira Síntese: Experiência formativa</w:t>
      </w:r>
    </w:p>
    <w:p w14:paraId="724912B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78610D1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3E4108B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F960E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Flexibilidade pedagógica: espaço, tempo e currículo</w:t>
      </w:r>
    </w:p>
    <w:p w14:paraId="7D08404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960DD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579E30F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CA877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componente estudado apresentou definições e caracterizações de flexibilidade pedagógica,  sua relação com as tecnologias digitais e suas influências na qualidade do ensino.</w:t>
      </w:r>
    </w:p>
    <w:p w14:paraId="76BAEDF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47F69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6FCB10C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4FCF73"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 decorrer do exercício desse componente sobre a necessidade de se estabelecer ¨ tempos</w:t>
      </w:r>
      <w:r>
        <w:rPr>
          <w:rFonts w:ascii="Calibri" w:eastAsia="Times New Roman" w:hAnsi="Calibri" w:cstheme="minorHAnsi"/>
          <w:lang w:eastAsia="pt-BR"/>
        </w:rPr>
        <w:br/>
        <w:t>e espaços de aprendizagem e possibilidades de organização</w:t>
      </w:r>
      <w:r>
        <w:rPr>
          <w:rFonts w:ascii="Calibri" w:eastAsia="Times New Roman" w:hAnsi="Calibri" w:cstheme="minorHAnsi"/>
          <w:lang w:eastAsia="pt-BR"/>
        </w:rPr>
        <w:br/>
        <w:t>curricular mais maleáveis¨ (MILITÃO, 2000). Que as atividades  propostas aos estudantes em sala de aula podem ser colocadas para serem executadas no ambiente virtual.</w:t>
      </w:r>
      <w:r>
        <w:rPr>
          <w:rFonts w:ascii="Calibri" w:eastAsia="Times New Roman" w:hAnsi="Calibri" w:cstheme="minorHAnsi"/>
          <w:lang w:eastAsia="pt-BR"/>
        </w:rPr>
        <w:br/>
        <w:t xml:space="preserve">Ponderei a respeito do desafio de se flexibilizar espaço, tempo e currículo nos dias </w:t>
      </w:r>
      <w:r>
        <w:rPr>
          <w:rFonts w:ascii="Calibri" w:eastAsia="Times New Roman" w:hAnsi="Calibri" w:cstheme="minorHAnsi"/>
          <w:lang w:eastAsia="pt-BR"/>
        </w:rPr>
        <w:lastRenderedPageBreak/>
        <w:t>atuais, sendo que através do aprendizado virtual tais situações podem ser realizadas.</w:t>
      </w:r>
      <w:r>
        <w:rPr>
          <w:rFonts w:ascii="Calibri" w:eastAsia="Times New Roman" w:hAnsi="Calibri" w:cstheme="minorHAnsi"/>
          <w:lang w:eastAsia="pt-BR"/>
        </w:rPr>
        <w:br/>
        <w:t xml:space="preserve">Refleti que uma aprendizagem significativa envolve a interação mútua de docente, alunos e os conteúdos a serem aprendidos. Observei que o </w:t>
      </w:r>
      <w:proofErr w:type="spellStart"/>
      <w:r>
        <w:rPr>
          <w:rFonts w:ascii="Calibri" w:eastAsia="Times New Roman" w:hAnsi="Calibri" w:cstheme="minorHAnsi"/>
          <w:lang w:eastAsia="pt-BR"/>
        </w:rPr>
        <w:t>curriculo</w:t>
      </w:r>
      <w:proofErr w:type="spellEnd"/>
      <w:r>
        <w:rPr>
          <w:rFonts w:ascii="Calibri" w:eastAsia="Times New Roman" w:hAnsi="Calibri" w:cstheme="minorHAnsi"/>
          <w:lang w:eastAsia="pt-BR"/>
        </w:rPr>
        <w:t>, os locais de aprendizagem e os horários destinados à aprendizagem podem ser mais flexibilizados.</w:t>
      </w:r>
      <w:r>
        <w:rPr>
          <w:rFonts w:ascii="Calibri" w:eastAsia="Times New Roman" w:hAnsi="Calibri" w:cstheme="minorHAnsi"/>
          <w:lang w:eastAsia="pt-BR"/>
        </w:rPr>
        <w:br/>
        <w:t xml:space="preserve">Aprendi que bons projetos educacionais serão gerados mediante uma utilização </w:t>
      </w:r>
      <w:proofErr w:type="spellStart"/>
      <w:r>
        <w:rPr>
          <w:rFonts w:ascii="Calibri" w:eastAsia="Times New Roman" w:hAnsi="Calibri" w:cstheme="minorHAnsi"/>
          <w:lang w:eastAsia="pt-BR"/>
        </w:rPr>
        <w:t>acertiva</w:t>
      </w:r>
      <w:proofErr w:type="spellEnd"/>
      <w:r>
        <w:rPr>
          <w:rFonts w:ascii="Calibri" w:eastAsia="Times New Roman" w:hAnsi="Calibri" w:cstheme="minorHAnsi"/>
          <w:lang w:eastAsia="pt-BR"/>
        </w:rPr>
        <w:t xml:space="preserve"> da </w:t>
      </w:r>
      <w:proofErr w:type="spellStart"/>
      <w:r>
        <w:rPr>
          <w:rFonts w:ascii="Calibri" w:eastAsia="Times New Roman" w:hAnsi="Calibri" w:cstheme="minorHAnsi"/>
          <w:lang w:eastAsia="pt-BR"/>
        </w:rPr>
        <w:t>flexibilizade</w:t>
      </w:r>
      <w:proofErr w:type="spellEnd"/>
      <w:r>
        <w:rPr>
          <w:rFonts w:ascii="Calibri" w:eastAsia="Times New Roman" w:hAnsi="Calibri" w:cstheme="minorHAnsi"/>
          <w:lang w:eastAsia="pt-BR"/>
        </w:rPr>
        <w:t xml:space="preserve"> educacional.</w:t>
      </w:r>
      <w:r>
        <w:rPr>
          <w:rFonts w:ascii="Calibri" w:eastAsia="Times New Roman" w:hAnsi="Calibri" w:cstheme="minorHAnsi"/>
          <w:lang w:eastAsia="pt-BR"/>
        </w:rPr>
        <w:br/>
        <w:t xml:space="preserve">Aprendi, segundo  Mill (2014, 2018), que a </w:t>
      </w:r>
      <w:proofErr w:type="spellStart"/>
      <w:r>
        <w:rPr>
          <w:rFonts w:ascii="Calibri" w:eastAsia="Times New Roman" w:hAnsi="Calibri" w:cstheme="minorHAnsi"/>
          <w:lang w:eastAsia="pt-BR"/>
        </w:rPr>
        <w:t>a</w:t>
      </w:r>
      <w:proofErr w:type="spellEnd"/>
      <w:r>
        <w:rPr>
          <w:rFonts w:ascii="Calibri" w:eastAsia="Times New Roman" w:hAnsi="Calibri" w:cstheme="minorHAnsi"/>
          <w:lang w:eastAsia="pt-BR"/>
        </w:rPr>
        <w:t xml:space="preserve"> flexibilidade espacial da educação está relacionada às¨ possibilidades de mobilidade geográfica, limitações físicas e deslocamento dos </w:t>
      </w:r>
      <w:proofErr w:type="spellStart"/>
      <w:r>
        <w:rPr>
          <w:rFonts w:ascii="Calibri" w:eastAsia="Times New Roman" w:hAnsi="Calibri" w:cstheme="minorHAnsi"/>
          <w:lang w:eastAsia="pt-BR"/>
        </w:rPr>
        <w:t>estudantes¨.Que</w:t>
      </w:r>
      <w:proofErr w:type="spellEnd"/>
      <w:r>
        <w:rPr>
          <w:rFonts w:ascii="Calibri" w:eastAsia="Times New Roman" w:hAnsi="Calibri" w:cstheme="minorHAnsi"/>
          <w:lang w:eastAsia="pt-BR"/>
        </w:rPr>
        <w:t xml:space="preserve"> a flexibilidade curricular possibilita ao aluno autonomia quanto a escolha das atividades relacionadas à sua formação, e que os tempos de execução dessas atividades podem ser </w:t>
      </w:r>
      <w:proofErr w:type="spellStart"/>
      <w:r>
        <w:rPr>
          <w:rFonts w:ascii="Calibri" w:eastAsia="Times New Roman" w:hAnsi="Calibri" w:cstheme="minorHAnsi"/>
          <w:lang w:eastAsia="pt-BR"/>
        </w:rPr>
        <w:t>flexíveis,mediante</w:t>
      </w:r>
      <w:proofErr w:type="spellEnd"/>
      <w:r>
        <w:rPr>
          <w:rFonts w:ascii="Calibri" w:eastAsia="Times New Roman" w:hAnsi="Calibri" w:cstheme="minorHAnsi"/>
          <w:lang w:eastAsia="pt-BR"/>
        </w:rPr>
        <w:t xml:space="preserve"> a utilização de ambientes virtuais de aprendizagem.</w:t>
      </w:r>
    </w:p>
    <w:p w14:paraId="7CD6664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1EF3DB"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67E03C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0B63E6B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1297239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4B3D56A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316B95"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Planejamento e organização de animações para educação</w:t>
      </w:r>
    </w:p>
    <w:p w14:paraId="01F8E7B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4DEB80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2F473FF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B6C9EAC"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componente mostrou o conceitos e história da animação, diferentes técnicas e a utilização das mesmas no ambiente de aprendizagem. Ofertou subsídios para que animações sejam utilizadas no planejamento pedagógico.</w:t>
      </w:r>
    </w:p>
    <w:p w14:paraId="7110071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EEC2E8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15C1EDF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D2554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 exercício desse componente aprendi que animação está relacionada com ilustrações e elementos gráficos que  interligadas estabelecem movimentos. Que a sua utilização no contexto educacional não é algo recente, mas que a tempos atrás já foram feitas tentativas exitosas, e outras não.</w:t>
      </w:r>
      <w:r>
        <w:rPr>
          <w:rFonts w:ascii="Calibri" w:eastAsia="Times New Roman" w:hAnsi="Calibri" w:cstheme="minorHAnsi"/>
          <w:lang w:eastAsia="pt-BR"/>
        </w:rPr>
        <w:br/>
        <w:t>Pude refletir a respeito da utilização de animações no cinema, tornando-o educacional:</w:t>
      </w:r>
      <w:r>
        <w:rPr>
          <w:rFonts w:ascii="Calibri" w:eastAsia="Times New Roman" w:hAnsi="Calibri" w:cstheme="minorHAnsi"/>
          <w:lang w:eastAsia="pt-BR"/>
        </w:rPr>
        <w:br/>
        <w:t>A maior parte dos filmes produzidos nos primeiros</w:t>
      </w:r>
      <w:r>
        <w:rPr>
          <w:rFonts w:ascii="Calibri" w:eastAsia="Times New Roman" w:hAnsi="Calibri" w:cstheme="minorHAnsi"/>
          <w:lang w:eastAsia="pt-BR"/>
        </w:rPr>
        <w:br/>
        <w:t>anos da história do cinema, todos de brevíssima</w:t>
      </w:r>
      <w:r>
        <w:rPr>
          <w:rFonts w:ascii="Calibri" w:eastAsia="Times New Roman" w:hAnsi="Calibri" w:cstheme="minorHAnsi"/>
          <w:lang w:eastAsia="pt-BR"/>
        </w:rPr>
        <w:br/>
        <w:t>duração, era de caráter documental: vistas de</w:t>
      </w:r>
      <w:r>
        <w:rPr>
          <w:rFonts w:ascii="Calibri" w:eastAsia="Times New Roman" w:hAnsi="Calibri" w:cstheme="minorHAnsi"/>
          <w:lang w:eastAsia="pt-BR"/>
        </w:rPr>
        <w:br/>
        <w:t>cidades e locais interessantes, pessoas famosas,</w:t>
      </w:r>
      <w:r>
        <w:rPr>
          <w:rFonts w:ascii="Calibri" w:eastAsia="Times New Roman" w:hAnsi="Calibri" w:cstheme="minorHAnsi"/>
          <w:lang w:eastAsia="pt-BR"/>
        </w:rPr>
        <w:br/>
        <w:t>o mar, os trens, dançarinos, ginastas. Bom</w:t>
      </w:r>
      <w:r>
        <w:rPr>
          <w:rFonts w:ascii="Calibri" w:eastAsia="Times New Roman" w:hAnsi="Calibri" w:cstheme="minorHAnsi"/>
          <w:lang w:eastAsia="pt-BR"/>
        </w:rPr>
        <w:br/>
        <w:t>número dessas fitas ingênuas dos primeiros</w:t>
      </w:r>
      <w:r>
        <w:rPr>
          <w:rFonts w:ascii="Calibri" w:eastAsia="Times New Roman" w:hAnsi="Calibri" w:cstheme="minorHAnsi"/>
          <w:lang w:eastAsia="pt-BR"/>
        </w:rPr>
        <w:br/>
        <w:t>tempos é tido como antecedentes do cinema</w:t>
      </w:r>
      <w:r>
        <w:rPr>
          <w:rFonts w:ascii="Calibri" w:eastAsia="Times New Roman" w:hAnsi="Calibri" w:cstheme="minorHAnsi"/>
          <w:lang w:eastAsia="pt-BR"/>
        </w:rPr>
        <w:br/>
        <w:t>educativo (PFROMM NETTO, 2001, p. 77).</w:t>
      </w:r>
      <w:r>
        <w:rPr>
          <w:rFonts w:ascii="Calibri" w:eastAsia="Times New Roman" w:hAnsi="Calibri" w:cstheme="minorHAnsi"/>
          <w:lang w:eastAsia="pt-BR"/>
        </w:rPr>
        <w:br/>
        <w:t>Pude aprender os passos para utilização de animações num projeto educacional. Primeiramente pensando na temática que será trabalhada, um nome para a atividade. Seguindo, elabora-se uma ementa que delimitará em que dimensões o tema será tratado, quais materiais didáticos serão utilizados e atividades serão propostas. Por fim, pensando nos objetivos pedagógicos que deverão ser alcançados.</w:t>
      </w:r>
      <w:r>
        <w:rPr>
          <w:rFonts w:ascii="Calibri" w:eastAsia="Times New Roman" w:hAnsi="Calibri" w:cstheme="minorHAnsi"/>
          <w:lang w:eastAsia="pt-BR"/>
        </w:rPr>
        <w:br/>
        <w:t xml:space="preserve">Refleti que atividades contendo animações possibilita que os alunos interajam com </w:t>
      </w:r>
      <w:r>
        <w:rPr>
          <w:rFonts w:ascii="Calibri" w:eastAsia="Times New Roman" w:hAnsi="Calibri" w:cstheme="minorHAnsi"/>
          <w:lang w:eastAsia="pt-BR"/>
        </w:rPr>
        <w:lastRenderedPageBreak/>
        <w:t>conceitos abstratos, dando sentido aos conteúdos , desenvolvendo nos alunos uma aprendizagem prazerosa e significativa</w:t>
      </w:r>
    </w:p>
    <w:p w14:paraId="5F1D472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13F60EA"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77597E4"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551107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333D0E45"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3A451F">
        <w:rPr>
          <w:rFonts w:ascii="Calibri" w:eastAsia="Times New Roman" w:hAnsi="Calibri" w:cs="Calibri"/>
          <w:b/>
          <w:bCs/>
          <w:i/>
          <w:iCs/>
          <w:sz w:val="28"/>
          <w:szCs w:val="28"/>
          <w:lang w:eastAsia="pt-BR"/>
        </w:rPr>
        <w:t>Quinta Síntese: Experiência formativa</w:t>
      </w:r>
    </w:p>
    <w:p w14:paraId="48594DCC"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sz w:val="28"/>
          <w:szCs w:val="28"/>
          <w:lang w:eastAsia="pt-BR"/>
        </w:rPr>
      </w:pPr>
    </w:p>
    <w:p w14:paraId="250A780F"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color w:val="0070C0"/>
          <w:lang w:eastAsia="pt-BR"/>
        </w:rPr>
      </w:pPr>
      <w:r w:rsidRPr="003A451F">
        <w:rPr>
          <w:rFonts w:ascii="Calibri" w:eastAsia="Times New Roman" w:hAnsi="Calibri" w:cs="Calibri"/>
          <w:b/>
          <w:bCs/>
          <w:i/>
          <w:iCs/>
          <w:color w:val="0070C0"/>
          <w:lang w:eastAsia="pt-BR"/>
        </w:rPr>
        <w:t>:. Nome do componente:</w:t>
      </w:r>
    </w:p>
    <w:p w14:paraId="1DAC8EF9"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7FF5B0C8"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3A451F">
        <w:rPr>
          <w:rFonts w:ascii="Calibri" w:eastAsia="Times New Roman" w:hAnsi="Calibri" w:cs="Calibri"/>
          <w:lang w:eastAsia="pt-BR"/>
        </w:rPr>
        <w:t>Introdução ao Design Instrucional</w:t>
      </w:r>
    </w:p>
    <w:p w14:paraId="0F8BF00E"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06850542"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color w:val="0070C0"/>
          <w:lang w:eastAsia="pt-BR"/>
        </w:rPr>
      </w:pPr>
      <w:r w:rsidRPr="003A451F">
        <w:rPr>
          <w:rFonts w:ascii="Calibri" w:eastAsia="Times New Roman" w:hAnsi="Calibri" w:cs="Calibri"/>
          <w:b/>
          <w:bCs/>
          <w:i/>
          <w:iCs/>
          <w:color w:val="0070C0"/>
          <w:lang w:eastAsia="pt-BR"/>
        </w:rPr>
        <w:t>:. Descrição do componente realizado:</w:t>
      </w:r>
    </w:p>
    <w:p w14:paraId="382762FC"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5A0D2541"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3A451F">
        <w:rPr>
          <w:rFonts w:ascii="Calibri" w:eastAsia="Times New Roman" w:hAnsi="Calibri" w:cs="Calibri"/>
          <w:lang w:eastAsia="pt-BR"/>
        </w:rPr>
        <w:t>Design instrucional é a engenharia pedagógica , a partir de uma estrutura didática educacional.</w:t>
      </w:r>
    </w:p>
    <w:p w14:paraId="455B01EF"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4F660710"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color w:val="0070C0"/>
          <w:lang w:eastAsia="pt-BR"/>
        </w:rPr>
      </w:pPr>
      <w:r w:rsidRPr="003A451F">
        <w:rPr>
          <w:rFonts w:ascii="Calibri" w:eastAsia="Times New Roman" w:hAnsi="Calibri" w:cs="Calibri"/>
          <w:b/>
          <w:bCs/>
          <w:i/>
          <w:iCs/>
          <w:color w:val="0070C0"/>
          <w:lang w:eastAsia="pt-BR"/>
        </w:rPr>
        <w:t>:. Reflexão pessoal sobre a experiência formativa no componente:</w:t>
      </w:r>
    </w:p>
    <w:p w14:paraId="1829D778"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183BC43A"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3A451F">
        <w:rPr>
          <w:rFonts w:ascii="Calibri" w:eastAsia="Times New Roman" w:hAnsi="Calibri" w:cs="Calibri"/>
          <w:lang w:eastAsia="pt-BR"/>
        </w:rPr>
        <w:t xml:space="preserve">Refleti que design instrucional é um desenho educacional que atende diferentes perfis de alunos. Diz respeito a como o aluno irá estudar, como os </w:t>
      </w:r>
      <w:proofErr w:type="spellStart"/>
      <w:r w:rsidRPr="003A451F">
        <w:rPr>
          <w:rFonts w:ascii="Calibri" w:eastAsia="Times New Roman" w:hAnsi="Calibri" w:cs="Calibri"/>
          <w:lang w:eastAsia="pt-BR"/>
        </w:rPr>
        <w:t>conteudos</w:t>
      </w:r>
      <w:proofErr w:type="spellEnd"/>
      <w:r w:rsidRPr="003A451F">
        <w:rPr>
          <w:rFonts w:ascii="Calibri" w:eastAsia="Times New Roman" w:hAnsi="Calibri" w:cs="Calibri"/>
          <w:lang w:eastAsia="pt-BR"/>
        </w:rPr>
        <w:t xml:space="preserve"> serão entregues aos alunos (estruturas). </w:t>
      </w:r>
      <w:proofErr w:type="spellStart"/>
      <w:r w:rsidRPr="003A451F">
        <w:rPr>
          <w:rFonts w:ascii="Calibri" w:eastAsia="Times New Roman" w:hAnsi="Calibri" w:cs="Calibri"/>
          <w:lang w:eastAsia="pt-BR"/>
        </w:rPr>
        <w:t>Dai</w:t>
      </w:r>
      <w:proofErr w:type="spellEnd"/>
      <w:r w:rsidRPr="003A451F">
        <w:rPr>
          <w:rFonts w:ascii="Calibri" w:eastAsia="Times New Roman" w:hAnsi="Calibri" w:cs="Calibri"/>
          <w:lang w:eastAsia="pt-BR"/>
        </w:rPr>
        <w:t xml:space="preserve"> a necessidade de se conhecer o perfil do aluno.</w:t>
      </w:r>
    </w:p>
    <w:p w14:paraId="47E3B04C" w14:textId="77777777" w:rsidR="003A451F" w:rsidRPr="003A451F" w:rsidRDefault="003A451F" w:rsidP="003A45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41F0CC24" w14:textId="6DAFE69C"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DD45C1E"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6DEB8F9" w14:textId="77777777" w:rsidR="00714F25" w:rsidRDefault="00714F25">
      <w:pPr>
        <w:shd w:val="clear" w:color="auto" w:fill="FFFFFF"/>
        <w:spacing w:after="0" w:line="240" w:lineRule="auto"/>
        <w:jc w:val="both"/>
        <w:rPr>
          <w:rFonts w:cstheme="minorHAnsi"/>
        </w:rPr>
      </w:pPr>
    </w:p>
    <w:p w14:paraId="096B0CA4"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br w:type="page"/>
      </w:r>
    </w:p>
    <w:p w14:paraId="6AD09D6F"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5. Ideias e propostas de aplicação pedagógica de tecnologias digitais</w:t>
      </w:r>
    </w:p>
    <w:p w14:paraId="60348B75"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AD6E324"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00D4BB8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2B605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271BE73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80EBEF"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Bebês na ativa</w:t>
      </w:r>
    </w:p>
    <w:p w14:paraId="10E8255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EC40B6"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667B470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5FD6B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Educação infantil 2 (pré-escolar – 3 a 6 anos)</w:t>
      </w:r>
    </w:p>
    <w:p w14:paraId="51BE07A5"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2382FD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409112D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88CAEF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Ciências em geral</w:t>
      </w:r>
    </w:p>
    <w:p w14:paraId="68219AB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3A306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F5FE74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37DB5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presencial</w:t>
      </w:r>
    </w:p>
    <w:p w14:paraId="12E5946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7C304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1354F85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C83F0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Utilização da metodologia ativa de Rotação por estações</w:t>
      </w:r>
    </w:p>
    <w:p w14:paraId="4626E16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A33CC2"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7D5ECBB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BA4B9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5DF3333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01219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Etapa </w:t>
      </w:r>
      <w:proofErr w:type="spellStart"/>
      <w:r>
        <w:rPr>
          <w:rFonts w:ascii="Calibri" w:eastAsia="Times New Roman" w:hAnsi="Calibri" w:cstheme="minorHAnsi"/>
          <w:lang w:eastAsia="pt-BR"/>
        </w:rPr>
        <w:t>pré</w:t>
      </w:r>
      <w:proofErr w:type="spellEnd"/>
      <w:r>
        <w:rPr>
          <w:rFonts w:ascii="Calibri" w:eastAsia="Times New Roman" w:hAnsi="Calibri" w:cstheme="minorHAnsi"/>
          <w:lang w:eastAsia="pt-BR"/>
        </w:rPr>
        <w:t>-evento:</w:t>
      </w:r>
      <w:r>
        <w:rPr>
          <w:rFonts w:ascii="Calibri" w:eastAsia="Times New Roman" w:hAnsi="Calibri" w:cstheme="minorHAnsi"/>
          <w:lang w:eastAsia="pt-BR"/>
        </w:rPr>
        <w:br/>
        <w:t>1. Abriremos inscrições on-line para os pais/responsáveis interessados em trazer  seus bebês para experimentar O JARDIM DA BRINCADEIRAS.</w:t>
      </w:r>
      <w:r>
        <w:rPr>
          <w:rFonts w:ascii="Calibri" w:eastAsia="Times New Roman" w:hAnsi="Calibri" w:cstheme="minorHAnsi"/>
          <w:lang w:eastAsia="pt-BR"/>
        </w:rPr>
        <w:br/>
        <w:t>2. Uma vez confirmada a inscrição, os pais receberão em casa um tablet com um aplicativo da Atração, contendo: 01 livro digital + 01 jogo + 07 músicas + programação da atividade na Feira</w:t>
      </w:r>
      <w:r>
        <w:rPr>
          <w:rFonts w:ascii="Calibri" w:eastAsia="Times New Roman" w:hAnsi="Calibri" w:cstheme="minorHAnsi"/>
          <w:lang w:eastAsia="pt-BR"/>
        </w:rPr>
        <w:br/>
        <w:t>3. Os pais receberão a orientação para apresentar este material especialmente elaborado para o evento aos seus bebês. E conversarão com eles sobre os temas, numa espécie de preparação para as experiências que virão.</w:t>
      </w:r>
      <w:r>
        <w:rPr>
          <w:rFonts w:ascii="Calibri" w:eastAsia="Times New Roman" w:hAnsi="Calibri" w:cstheme="minorHAnsi"/>
          <w:lang w:eastAsia="pt-BR"/>
        </w:rPr>
        <w:br/>
        <w:t>4. Um canal de dúvidas será disponibilizado aos pais para que eles possam desenvolver essa interação com seus filhos sem qualquer dúvida sobre o direcionamento ou a finalidade da atividade.</w:t>
      </w:r>
      <w:r>
        <w:rPr>
          <w:rFonts w:ascii="Calibri" w:eastAsia="Times New Roman" w:hAnsi="Calibri" w:cstheme="minorHAnsi"/>
          <w:lang w:eastAsia="pt-BR"/>
        </w:rPr>
        <w:br/>
      </w:r>
    </w:p>
    <w:p w14:paraId="0471AE4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83814F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3A89178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58810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se mostra vantajosa em apresentar momentos de aprendizagem que serão prazerosos aos alunos, fazendo que haja interação entre conceitos e atividades, proporcionando um aprendizado significativo</w:t>
      </w:r>
    </w:p>
    <w:p w14:paraId="365B452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78F84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lastRenderedPageBreak/>
        <w:t>---: Procedimentos de aplicação (passo a passo detalhado de como aplicar):</w:t>
      </w:r>
    </w:p>
    <w:p w14:paraId="49D9B97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AC3BB5"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Na Feira:</w:t>
      </w:r>
      <w:r>
        <w:rPr>
          <w:rFonts w:ascii="Calibri" w:eastAsia="Times New Roman" w:hAnsi="Calibri" w:cstheme="minorHAnsi"/>
          <w:lang w:eastAsia="pt-BR"/>
        </w:rPr>
        <w:br/>
        <w:t>JARDIM DAS BRINCADEIRAS é um espaço pensado e planejado especialmente para receber bebês de 1 a 2 anos com seus pais/responsáveis que participarão de ricas vivências de aprendizagem fundamentadas em metodologias ativas, por meio da interação com outros adultos, crianças e pela experimentação/manipulação de objetos.</w:t>
      </w:r>
      <w:r>
        <w:rPr>
          <w:rFonts w:ascii="Calibri" w:eastAsia="Times New Roman" w:hAnsi="Calibri" w:cstheme="minorHAnsi"/>
          <w:lang w:eastAsia="pt-BR"/>
        </w:rPr>
        <w:br/>
        <w:t>A atração receberá o nome de JARDIM DAS BRINCADEIRAS, pois crianças aprendem brincando. O espaço estará dividido em 3 estações (canteiros), sendo:</w:t>
      </w:r>
      <w:r>
        <w:rPr>
          <w:rFonts w:ascii="Calibri" w:eastAsia="Times New Roman" w:hAnsi="Calibri" w:cstheme="minorHAnsi"/>
          <w:lang w:eastAsia="pt-BR"/>
        </w:rPr>
        <w:br/>
        <w:t>1. Estação das Formas: Livre manipulação de objetos previamente selecionados, de formas, texturas e cores diferentes. Em seguida orientação aos pais para conduzir jogos de construção de torres, pilhas de objetos semelhantes, segundo a forma, ou segundo a cor e jogos de encaixe.</w:t>
      </w:r>
      <w:r>
        <w:rPr>
          <w:rFonts w:ascii="Calibri" w:eastAsia="Times New Roman" w:hAnsi="Calibri" w:cstheme="minorHAnsi"/>
          <w:lang w:eastAsia="pt-BR"/>
        </w:rPr>
        <w:br/>
        <w:t>2. Estação dos Sons: Entrando no ambiente, a criança vai se surpreender ao ouvir sons da natureza: pássaros, besouros, pequenos animais e cachoeiras, ao mesmo tempo em que vê as imagens sendo  projetadas nas paredes, uma após a outra. No momento seguinte, teremos a experimentação/manipulação de objetos diversos que produzem sons e sejam adaptados à musicalização infantil: Tambores, caixas, chocalhos, xilofones, e demais instrumentos musicais especialmente desenvolvidos para a faixa etária em questão.  Finalizando, os bebês e seus pais são convidados a participar em uma bandinha divertida conduzida por professores de música, vestindo figurinos coloridos e criativos para despertar a atenção e a curiosidade das crianças. Aqui elas poderão interagir por meio da escuta, dança, da emissão de sons.</w:t>
      </w:r>
      <w:r>
        <w:rPr>
          <w:rFonts w:ascii="Calibri" w:eastAsia="Times New Roman" w:hAnsi="Calibri" w:cstheme="minorHAnsi"/>
          <w:lang w:eastAsia="pt-BR"/>
        </w:rPr>
        <w:br/>
        <w:t>3. Estação das Cores: Contação de história: “Bom dia, todas as cores”  (Ruth Rocha), com uso de uma tela digital reproduzindo o cenário da história, iluminação cuidadosamente planejada e figurino e adereços para enriquecer a apresentação. Em seguida, construção coletiva de um painel de desenhos pintados à mão com tintas especiais atóxicas, antialérgicas e laváveis.</w:t>
      </w:r>
      <w:r>
        <w:rPr>
          <w:rFonts w:ascii="Calibri" w:eastAsia="Times New Roman" w:hAnsi="Calibri" w:cstheme="minorHAnsi"/>
          <w:lang w:eastAsia="pt-BR"/>
        </w:rPr>
        <w:br/>
        <w:t xml:space="preserve">Ainda um outro espaço será disponibilizado. Nele  haverá um globo interativo, representando o Sol; árvores e plantas estarão ao redor dele. Os bebês observarão o Sol em dois momentos distintos: um primeiro ¨apagado¨, e num segundo momento mostrando a sua ¨claridade¨. Nesse segundo momento árvores e plantas iriam se movimentar/ crescer, dando ao bebê uma </w:t>
      </w:r>
      <w:proofErr w:type="spellStart"/>
      <w:r>
        <w:rPr>
          <w:rFonts w:ascii="Calibri" w:eastAsia="Times New Roman" w:hAnsi="Calibri" w:cstheme="minorHAnsi"/>
          <w:lang w:eastAsia="pt-BR"/>
        </w:rPr>
        <w:t>idéia</w:t>
      </w:r>
      <w:proofErr w:type="spellEnd"/>
      <w:r>
        <w:rPr>
          <w:rFonts w:ascii="Calibri" w:eastAsia="Times New Roman" w:hAnsi="Calibri" w:cstheme="minorHAnsi"/>
          <w:lang w:eastAsia="pt-BR"/>
        </w:rPr>
        <w:t xml:space="preserve"> inicial do fenômeno da fotossíntese.</w:t>
      </w:r>
    </w:p>
    <w:p w14:paraId="2A7B5AC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5778AF"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0BBDC857"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BB6143"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se mostra inovadora, contando com a utilização de metodologias ativas de aprendizagem</w:t>
      </w:r>
    </w:p>
    <w:p w14:paraId="518F0EE5"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3B52EF"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16E9A2A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12601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O público desta atração são os bebês de 1 a 2 anos, acompanhados de seus pais/responsáveis. Nesta etapa, as crianças são naturalmente curiosas e, uma vez que acabaram de conquistar a habilidade de caminhar, estão completamente empenhadas em explorar o ambiente que as cerca. Portanto a opção pelas metodologias ativas para nortear o planejamento das atividades é sem dúvida a escolha mais acertada, aproveitando a disposição das crianças, com a participação dos pais/responsáveis, vamos desenvolver um ambiente de aprendizagem, que estimule a criatividade e </w:t>
      </w:r>
      <w:r>
        <w:rPr>
          <w:rFonts w:ascii="Calibri" w:eastAsia="Times New Roman" w:hAnsi="Calibri" w:cstheme="minorHAnsi"/>
          <w:lang w:eastAsia="pt-BR"/>
        </w:rPr>
        <w:lastRenderedPageBreak/>
        <w:t>autonomia da criança.</w:t>
      </w:r>
      <w:r>
        <w:rPr>
          <w:rFonts w:ascii="Calibri" w:eastAsia="Times New Roman" w:hAnsi="Calibri" w:cstheme="minorHAnsi"/>
          <w:lang w:eastAsia="pt-BR"/>
        </w:rPr>
        <w:br/>
        <w:t xml:space="preserve">A metodologia da Sala de Aula Invertida pode se configurar no uso de tecnologia para apresentação de conteúdo antes da participação no evento, como uma forma de preparação. Conforme observa VALENTE (2014), nessa modalidade o conteúdo e as instruções são passados aos alunos, antes de estar em sala de aula, podendo ser </w:t>
      </w:r>
      <w:proofErr w:type="spellStart"/>
      <w:r>
        <w:rPr>
          <w:rFonts w:ascii="Calibri" w:eastAsia="Times New Roman" w:hAnsi="Calibri" w:cstheme="minorHAnsi"/>
          <w:lang w:eastAsia="pt-BR"/>
        </w:rPr>
        <w:t>conteúdos</w:t>
      </w:r>
      <w:proofErr w:type="spellEnd"/>
      <w:r>
        <w:rPr>
          <w:rFonts w:ascii="Calibri" w:eastAsia="Times New Roman" w:hAnsi="Calibri" w:cstheme="minorHAnsi"/>
          <w:lang w:eastAsia="pt-BR"/>
        </w:rPr>
        <w:t xml:space="preserve"> online (vídeos, áudios, games, textos e afins) ou físicos (textos impressos).</w:t>
      </w:r>
      <w:r>
        <w:rPr>
          <w:rFonts w:ascii="Calibri" w:eastAsia="Times New Roman" w:hAnsi="Calibri" w:cstheme="minorHAnsi"/>
          <w:lang w:eastAsia="pt-BR"/>
        </w:rPr>
        <w:br/>
        <w:t>Outra característica desta metodologia é que tanto o material a ser utilizado on-line quanto os ambientes de aprendizagem em sala de aula são altamente estruturados e bem planejados (FLIPPED CLASSROOM FIELD GUIDE, 2014 apud VALENTE, 2014, p. 86).</w:t>
      </w:r>
      <w:r>
        <w:rPr>
          <w:rFonts w:ascii="Calibri" w:eastAsia="Times New Roman" w:hAnsi="Calibri" w:cstheme="minorHAnsi"/>
          <w:lang w:eastAsia="pt-BR"/>
        </w:rPr>
        <w:br/>
        <w:t>Além da Sala de Aula Invertida, entendemos que a proposta de atividade também busca amparo na Aprendizagem Baseada em Problemas, uma vez que os bebês serão estimulados a solucionar problemas por meio de  jogos de empilhar e encaixar na estação das formas. Na estação dos sons, o desafio será produzir sons a partir dos objetos e instrumentos à sua disposição, imitando outros adultos ou outras crianças.</w:t>
      </w:r>
      <w:r>
        <w:rPr>
          <w:rFonts w:ascii="Calibri" w:eastAsia="Times New Roman" w:hAnsi="Calibri" w:cstheme="minorHAnsi"/>
          <w:lang w:eastAsia="pt-BR"/>
        </w:rPr>
        <w:br/>
        <w:t>A Aprendizagem Baseada em Problemas é uma metodologia de ensino e aprendizagem que considera o ambiente centrado no aluno, conforme afirmam SANTIAGO E OLIVEIRA (2019, p.11). Este é colocado frente a problemas práticos que ele deve resolver. Esta abordagem é bastante interessante, pois desenvolve a capacidade de análise e síntese, o raciocínio lógico e a criatividade.</w:t>
      </w:r>
      <w:r>
        <w:rPr>
          <w:rFonts w:ascii="Calibri" w:eastAsia="Times New Roman" w:hAnsi="Calibri" w:cstheme="minorHAnsi"/>
          <w:lang w:eastAsia="pt-BR"/>
        </w:rPr>
        <w:br/>
      </w:r>
    </w:p>
    <w:p w14:paraId="07FD811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4E195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062DD04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9B1E50" w14:textId="70DFD7F4"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roofErr w:type="spellStart"/>
      <w:r>
        <w:rPr>
          <w:rFonts w:ascii="Calibri" w:eastAsia="Times New Roman" w:hAnsi="Calibri" w:cstheme="minorHAnsi"/>
          <w:lang w:eastAsia="pt-BR"/>
        </w:rPr>
        <w:t>Izadora</w:t>
      </w:r>
      <w:proofErr w:type="spellEnd"/>
      <w:r w:rsidR="003A451F">
        <w:rPr>
          <w:rFonts w:ascii="Calibri" w:eastAsia="Times New Roman" w:hAnsi="Calibri" w:cstheme="minorHAnsi"/>
          <w:lang w:eastAsia="pt-BR"/>
        </w:rPr>
        <w:t xml:space="preserve"> </w:t>
      </w:r>
      <w:r>
        <w:rPr>
          <w:rFonts w:ascii="Calibri" w:eastAsia="Times New Roman" w:hAnsi="Calibri" w:cstheme="minorHAnsi"/>
          <w:lang w:eastAsia="pt-BR"/>
        </w:rPr>
        <w:t>Dourado(Líder)</w:t>
      </w:r>
      <w:r>
        <w:rPr>
          <w:rFonts w:ascii="Calibri" w:eastAsia="Times New Roman" w:hAnsi="Calibri" w:cstheme="minorHAnsi"/>
          <w:lang w:eastAsia="pt-BR"/>
        </w:rPr>
        <w:br/>
        <w:t>Guilherme Lopes</w:t>
      </w:r>
      <w:r>
        <w:rPr>
          <w:rFonts w:ascii="Calibri" w:eastAsia="Times New Roman" w:hAnsi="Calibri" w:cstheme="minorHAnsi"/>
          <w:lang w:eastAsia="pt-BR"/>
        </w:rPr>
        <w:br/>
      </w:r>
      <w:proofErr w:type="spellStart"/>
      <w:r>
        <w:rPr>
          <w:rFonts w:ascii="Calibri" w:eastAsia="Times New Roman" w:hAnsi="Calibri" w:cstheme="minorHAnsi"/>
          <w:lang w:eastAsia="pt-BR"/>
        </w:rPr>
        <w:t>Lamara</w:t>
      </w:r>
      <w:proofErr w:type="spellEnd"/>
      <w:r>
        <w:rPr>
          <w:rFonts w:ascii="Calibri" w:eastAsia="Times New Roman" w:hAnsi="Calibri" w:cstheme="minorHAnsi"/>
          <w:lang w:eastAsia="pt-BR"/>
        </w:rPr>
        <w:t xml:space="preserve"> Lívia Simões</w:t>
      </w:r>
      <w:r>
        <w:rPr>
          <w:rFonts w:ascii="Calibri" w:eastAsia="Times New Roman" w:hAnsi="Calibri" w:cstheme="minorHAnsi"/>
          <w:lang w:eastAsia="pt-BR"/>
        </w:rPr>
        <w:br/>
        <w:t>Maurício de Aquino</w:t>
      </w:r>
      <w:r>
        <w:rPr>
          <w:rFonts w:ascii="Calibri" w:eastAsia="Times New Roman" w:hAnsi="Calibri" w:cstheme="minorHAnsi"/>
          <w:lang w:eastAsia="pt-BR"/>
        </w:rPr>
        <w:br/>
      </w:r>
      <w:proofErr w:type="spellStart"/>
      <w:r>
        <w:rPr>
          <w:rFonts w:ascii="Calibri" w:eastAsia="Times New Roman" w:hAnsi="Calibri" w:cstheme="minorHAnsi"/>
          <w:lang w:eastAsia="pt-BR"/>
        </w:rPr>
        <w:t>Ellem</w:t>
      </w:r>
      <w:proofErr w:type="spellEnd"/>
      <w:r>
        <w:rPr>
          <w:rFonts w:ascii="Calibri" w:eastAsia="Times New Roman" w:hAnsi="Calibri" w:cstheme="minorHAnsi"/>
          <w:lang w:eastAsia="pt-BR"/>
        </w:rPr>
        <w:t xml:space="preserve"> Chase</w:t>
      </w:r>
      <w:r>
        <w:rPr>
          <w:rFonts w:ascii="Calibri" w:eastAsia="Times New Roman" w:hAnsi="Calibri" w:cstheme="minorHAnsi"/>
          <w:lang w:eastAsia="pt-BR"/>
        </w:rPr>
        <w:br/>
        <w:t xml:space="preserve">Renata </w:t>
      </w:r>
      <w:proofErr w:type="spellStart"/>
      <w:r>
        <w:rPr>
          <w:rFonts w:ascii="Calibri" w:eastAsia="Times New Roman" w:hAnsi="Calibri" w:cstheme="minorHAnsi"/>
          <w:lang w:eastAsia="pt-BR"/>
        </w:rPr>
        <w:t>Pamplin</w:t>
      </w:r>
      <w:proofErr w:type="spellEnd"/>
      <w:r>
        <w:rPr>
          <w:rFonts w:ascii="Calibri" w:eastAsia="Times New Roman" w:hAnsi="Calibri" w:cstheme="minorHAnsi"/>
          <w:lang w:eastAsia="pt-BR"/>
        </w:rPr>
        <w:br/>
      </w:r>
    </w:p>
    <w:p w14:paraId="27E6AE9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C4B44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3045682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B88D61"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Elaboração de atividades pedagógicas</w:t>
      </w:r>
    </w:p>
    <w:p w14:paraId="5014C8C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688FBB"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E5ECD4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45F6F10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8A0665"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240A8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38B50C4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4A5BA58" w14:textId="1B17979D"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utilização de um soft</w:t>
      </w:r>
      <w:r w:rsidR="003A451F">
        <w:rPr>
          <w:rFonts w:ascii="Calibri" w:eastAsia="Times New Roman" w:hAnsi="Calibri" w:cstheme="minorHAnsi"/>
          <w:lang w:eastAsia="pt-BR"/>
        </w:rPr>
        <w:t>w</w:t>
      </w:r>
      <w:r>
        <w:rPr>
          <w:rFonts w:ascii="Calibri" w:eastAsia="Times New Roman" w:hAnsi="Calibri" w:cstheme="minorHAnsi"/>
          <w:lang w:eastAsia="pt-BR"/>
        </w:rPr>
        <w:t>are no ensino de geometria molecular</w:t>
      </w:r>
    </w:p>
    <w:p w14:paraId="34EA89A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B0852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22F19BD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9F52D93"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médio</w:t>
      </w:r>
    </w:p>
    <w:p w14:paraId="3DE2346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00F84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0241CA1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F25EFF"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Química</w:t>
      </w:r>
    </w:p>
    <w:p w14:paraId="5D332E8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F8D1CB5"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3393048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2262E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presencial</w:t>
      </w:r>
    </w:p>
    <w:p w14:paraId="0439DF7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3D8E26"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4383261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5820FC"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Utilização de animação no ensino de Geometria molecular</w:t>
      </w:r>
    </w:p>
    <w:p w14:paraId="64F62FF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39B47C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071DCC2E"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2EB23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2378AA7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730B56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br/>
        <w:t>PROCEDIMENTO EXPERIMENTAL</w:t>
      </w:r>
      <w:r>
        <w:rPr>
          <w:rFonts w:ascii="Calibri" w:eastAsia="Times New Roman" w:hAnsi="Calibri" w:cstheme="minorHAnsi"/>
          <w:lang w:eastAsia="pt-BR"/>
        </w:rPr>
        <w:br/>
        <w:t>1. Primeiramente o aluno deverá  selecionar a função ¨</w:t>
      </w:r>
      <w:proofErr w:type="spellStart"/>
      <w:r>
        <w:rPr>
          <w:rFonts w:ascii="Calibri" w:eastAsia="Times New Roman" w:hAnsi="Calibri" w:cstheme="minorHAnsi"/>
          <w:lang w:eastAsia="pt-BR"/>
        </w:rPr>
        <w:t>Model</w:t>
      </w:r>
      <w:proofErr w:type="spellEnd"/>
      <w:r>
        <w:rPr>
          <w:rFonts w:ascii="Calibri" w:eastAsia="Times New Roman" w:hAnsi="Calibri" w:cstheme="minorHAnsi"/>
          <w:lang w:eastAsia="pt-BR"/>
        </w:rPr>
        <w:t>¨, clicando nesse ícone surgirá um átomo de central, representado por uma pequena bola azul.</w:t>
      </w:r>
      <w:r>
        <w:rPr>
          <w:rFonts w:ascii="Calibri" w:eastAsia="Times New Roman" w:hAnsi="Calibri" w:cstheme="minorHAnsi"/>
          <w:lang w:eastAsia="pt-BR"/>
        </w:rPr>
        <w:br/>
      </w:r>
      <w:r>
        <w:rPr>
          <w:rFonts w:ascii="Calibri" w:eastAsia="Times New Roman" w:hAnsi="Calibri" w:cstheme="minorHAnsi"/>
          <w:lang w:eastAsia="pt-BR"/>
        </w:rPr>
        <w:br/>
        <w:t>2. Para estabelecer ligações químicas no átomo de carbono previamente selecionado, haverá no ícone ¨</w:t>
      </w:r>
      <w:proofErr w:type="spellStart"/>
      <w:r>
        <w:rPr>
          <w:rFonts w:ascii="Calibri" w:eastAsia="Times New Roman" w:hAnsi="Calibri" w:cstheme="minorHAnsi"/>
          <w:lang w:eastAsia="pt-BR"/>
        </w:rPr>
        <w:t>Bonding</w:t>
      </w:r>
      <w:proofErr w:type="spellEnd"/>
      <w:r>
        <w:rPr>
          <w:rFonts w:ascii="Calibri" w:eastAsia="Times New Roman" w:hAnsi="Calibri" w:cstheme="minorHAnsi"/>
          <w:lang w:eastAsia="pt-BR"/>
        </w:rPr>
        <w:t>¨ três diferentes opções: Ligações simples, duplas e triplas.</w:t>
      </w:r>
      <w:r>
        <w:rPr>
          <w:rFonts w:ascii="Calibri" w:eastAsia="Times New Roman" w:hAnsi="Calibri" w:cstheme="minorHAnsi"/>
          <w:lang w:eastAsia="pt-BR"/>
        </w:rPr>
        <w:br/>
      </w:r>
      <w:r>
        <w:rPr>
          <w:rFonts w:ascii="Calibri" w:eastAsia="Times New Roman" w:hAnsi="Calibri" w:cstheme="minorHAnsi"/>
          <w:lang w:eastAsia="pt-BR"/>
        </w:rPr>
        <w:br/>
        <w:t>3. Anote os ângulos formados pelas ligações no átomo central, nas seguintes situações:</w:t>
      </w:r>
      <w:r>
        <w:rPr>
          <w:rFonts w:ascii="Calibri" w:eastAsia="Times New Roman" w:hAnsi="Calibri" w:cstheme="minorHAnsi"/>
          <w:lang w:eastAsia="pt-BR"/>
        </w:rPr>
        <w:br/>
      </w:r>
      <w:r>
        <w:rPr>
          <w:rFonts w:ascii="Calibri" w:eastAsia="Times New Roman" w:hAnsi="Calibri" w:cstheme="minorHAnsi"/>
          <w:lang w:eastAsia="pt-BR"/>
        </w:rPr>
        <w:br/>
        <w:t>Nº de ligações Nº de par de elétrons Ângulo    molécula</w:t>
      </w:r>
      <w:r>
        <w:rPr>
          <w:rFonts w:ascii="Calibri" w:eastAsia="Times New Roman" w:hAnsi="Calibri" w:cstheme="minorHAnsi"/>
          <w:lang w:eastAsia="pt-BR"/>
        </w:rPr>
        <w:br/>
        <w:t>1 ligação simples 0</w:t>
      </w:r>
      <w:r>
        <w:rPr>
          <w:rFonts w:ascii="Calibri" w:eastAsia="Times New Roman" w:hAnsi="Calibri" w:cstheme="minorHAnsi"/>
          <w:lang w:eastAsia="pt-BR"/>
        </w:rPr>
        <w:br/>
        <w:t>2 ligações simples 0</w:t>
      </w:r>
      <w:r>
        <w:rPr>
          <w:rFonts w:ascii="Calibri" w:eastAsia="Times New Roman" w:hAnsi="Calibri" w:cstheme="minorHAnsi"/>
          <w:lang w:eastAsia="pt-BR"/>
        </w:rPr>
        <w:br/>
        <w:t>2 ligações simples 01</w:t>
      </w:r>
      <w:r>
        <w:rPr>
          <w:rFonts w:ascii="Calibri" w:eastAsia="Times New Roman" w:hAnsi="Calibri" w:cstheme="minorHAnsi"/>
          <w:lang w:eastAsia="pt-BR"/>
        </w:rPr>
        <w:br/>
        <w:t>3 ligações simples 01</w:t>
      </w:r>
      <w:r>
        <w:rPr>
          <w:rFonts w:ascii="Calibri" w:eastAsia="Times New Roman" w:hAnsi="Calibri" w:cstheme="minorHAnsi"/>
          <w:lang w:eastAsia="pt-BR"/>
        </w:rPr>
        <w:br/>
        <w:t>4 ligações simples 0</w:t>
      </w:r>
      <w:r>
        <w:rPr>
          <w:rFonts w:ascii="Calibri" w:eastAsia="Times New Roman" w:hAnsi="Calibri" w:cstheme="minorHAnsi"/>
          <w:lang w:eastAsia="pt-BR"/>
        </w:rPr>
        <w:br/>
      </w:r>
      <w:r>
        <w:rPr>
          <w:rFonts w:ascii="Calibri" w:eastAsia="Times New Roman" w:hAnsi="Calibri" w:cstheme="minorHAnsi"/>
          <w:lang w:eastAsia="pt-BR"/>
        </w:rPr>
        <w:br/>
        <w:t xml:space="preserve">OBS: Entre uma montagem e outra de uma molécula, utilizar o ícone ¨Remove </w:t>
      </w:r>
      <w:proofErr w:type="spellStart"/>
      <w:r>
        <w:rPr>
          <w:rFonts w:ascii="Calibri" w:eastAsia="Times New Roman" w:hAnsi="Calibri" w:cstheme="minorHAnsi"/>
          <w:lang w:eastAsia="pt-BR"/>
        </w:rPr>
        <w:t>All</w:t>
      </w:r>
      <w:proofErr w:type="spellEnd"/>
      <w:r>
        <w:rPr>
          <w:rFonts w:ascii="Calibri" w:eastAsia="Times New Roman" w:hAnsi="Calibri" w:cstheme="minorHAnsi"/>
          <w:lang w:eastAsia="pt-BR"/>
        </w:rPr>
        <w:t>¨; Para adicionar um par de elétrons clicar no ícone ¨</w:t>
      </w:r>
      <w:proofErr w:type="spellStart"/>
      <w:r>
        <w:rPr>
          <w:rFonts w:ascii="Calibri" w:eastAsia="Times New Roman" w:hAnsi="Calibri" w:cstheme="minorHAnsi"/>
          <w:lang w:eastAsia="pt-BR"/>
        </w:rPr>
        <w:t>Lone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Pair</w:t>
      </w:r>
      <w:proofErr w:type="spellEnd"/>
      <w:r>
        <w:rPr>
          <w:rFonts w:ascii="Calibri" w:eastAsia="Times New Roman" w:hAnsi="Calibri" w:cstheme="minorHAnsi"/>
          <w:lang w:eastAsia="pt-BR"/>
        </w:rPr>
        <w:t>¨.</w:t>
      </w:r>
      <w:r>
        <w:rPr>
          <w:rFonts w:ascii="Calibri" w:eastAsia="Times New Roman" w:hAnsi="Calibri" w:cstheme="minorHAnsi"/>
          <w:lang w:eastAsia="pt-BR"/>
        </w:rPr>
        <w:br/>
      </w:r>
      <w:r>
        <w:rPr>
          <w:rFonts w:ascii="Calibri" w:eastAsia="Times New Roman" w:hAnsi="Calibri" w:cstheme="minorHAnsi"/>
          <w:lang w:eastAsia="pt-BR"/>
        </w:rPr>
        <w:br/>
        <w:t>Pergunta: O que ocorre com a molécula quando um par de elétrons é inserido no átomo central? A inserção de um segundo par de elétrons gera alguma diferenciação na molécula? Explique.</w:t>
      </w:r>
      <w:r>
        <w:rPr>
          <w:rFonts w:ascii="Calibri" w:eastAsia="Times New Roman" w:hAnsi="Calibri" w:cstheme="minorHAnsi"/>
          <w:lang w:eastAsia="pt-BR"/>
        </w:rPr>
        <w:br/>
        <w:t>4.Selecione o ícone ¨ Real moléculas¨. No campo superior direito será observado um ícone contendo uma relação de moléculas. Selecione as moléculas citadas abaixo, e anote as informações pertinentes a cada uma delas:</w:t>
      </w:r>
      <w:r>
        <w:rPr>
          <w:rFonts w:ascii="Calibri" w:eastAsia="Times New Roman" w:hAnsi="Calibri" w:cstheme="minorHAnsi"/>
          <w:lang w:eastAsia="pt-BR"/>
        </w:rPr>
        <w:br/>
        <w:t xml:space="preserve">OBS: Para verificar o ângulo das ligações selecionar o ícone Show Bond </w:t>
      </w:r>
      <w:proofErr w:type="spellStart"/>
      <w:r>
        <w:rPr>
          <w:rFonts w:ascii="Calibri" w:eastAsia="Times New Roman" w:hAnsi="Calibri" w:cstheme="minorHAnsi"/>
          <w:lang w:eastAsia="pt-BR"/>
        </w:rPr>
        <w:t>Angles</w:t>
      </w:r>
      <w:proofErr w:type="spellEnd"/>
      <w:r>
        <w:rPr>
          <w:rFonts w:ascii="Calibri" w:eastAsia="Times New Roman" w:hAnsi="Calibri" w:cstheme="minorHAnsi"/>
          <w:lang w:eastAsia="pt-BR"/>
        </w:rPr>
        <w:t xml:space="preserve">; para identificar a geometria clique na parte inferior: </w:t>
      </w:r>
      <w:proofErr w:type="spellStart"/>
      <w:r>
        <w:rPr>
          <w:rFonts w:ascii="Calibri" w:eastAsia="Times New Roman" w:hAnsi="Calibri" w:cstheme="minorHAnsi"/>
          <w:lang w:eastAsia="pt-BR"/>
        </w:rPr>
        <w:t>Name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Molecule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Geometry</w:t>
      </w:r>
      <w:proofErr w:type="spellEnd"/>
      <w:r>
        <w:rPr>
          <w:rFonts w:ascii="Calibri" w:eastAsia="Times New Roman" w:hAnsi="Calibri" w:cstheme="minorHAnsi"/>
          <w:lang w:eastAsia="pt-BR"/>
        </w:rPr>
        <w:br/>
        <w:t>4.1     H2O        nº par de elétrons:____       ângulo das ligações:___ geometria:__________</w:t>
      </w:r>
      <w:r>
        <w:rPr>
          <w:rFonts w:ascii="Calibri" w:eastAsia="Times New Roman" w:hAnsi="Calibri" w:cstheme="minorHAnsi"/>
          <w:lang w:eastAsia="pt-BR"/>
        </w:rPr>
        <w:br/>
        <w:t>4.2     CO2        nº par de elétrons:____        ângulo das ligações:___ geometria:__________</w:t>
      </w:r>
      <w:r>
        <w:rPr>
          <w:rFonts w:ascii="Calibri" w:eastAsia="Times New Roman" w:hAnsi="Calibri" w:cstheme="minorHAnsi"/>
          <w:lang w:eastAsia="pt-BR"/>
        </w:rPr>
        <w:br/>
        <w:t>4.3     SO2             nº par de elétrons:____        ângulo das ligações:___ geometria:__________</w:t>
      </w:r>
      <w:r>
        <w:rPr>
          <w:rFonts w:ascii="Calibri" w:eastAsia="Times New Roman" w:hAnsi="Calibri" w:cstheme="minorHAnsi"/>
          <w:lang w:eastAsia="pt-BR"/>
        </w:rPr>
        <w:br/>
        <w:t xml:space="preserve">4.4     BF3             nº par de elétrons:____         ângulo das ligações:___ </w:t>
      </w:r>
      <w:r>
        <w:rPr>
          <w:rFonts w:ascii="Calibri" w:eastAsia="Times New Roman" w:hAnsi="Calibri" w:cstheme="minorHAnsi"/>
          <w:lang w:eastAsia="pt-BR"/>
        </w:rPr>
        <w:lastRenderedPageBreak/>
        <w:t>geometria:__________</w:t>
      </w:r>
      <w:r>
        <w:rPr>
          <w:rFonts w:ascii="Calibri" w:eastAsia="Times New Roman" w:hAnsi="Calibri" w:cstheme="minorHAnsi"/>
          <w:lang w:eastAsia="pt-BR"/>
        </w:rPr>
        <w:br/>
        <w:t>4.5     NH3            nº par de elétrons:____         ângulo das ligações:___ geometria:__________</w:t>
      </w:r>
      <w:r>
        <w:rPr>
          <w:rFonts w:ascii="Calibri" w:eastAsia="Times New Roman" w:hAnsi="Calibri" w:cstheme="minorHAnsi"/>
          <w:lang w:eastAsia="pt-BR"/>
        </w:rPr>
        <w:br/>
        <w:t>4.6     CH4        nº par de elétrons:____         ângulo das ligações:___ geometria:__________</w:t>
      </w:r>
      <w:r>
        <w:rPr>
          <w:rFonts w:ascii="Calibri" w:eastAsia="Times New Roman" w:hAnsi="Calibri" w:cstheme="minorHAnsi"/>
          <w:lang w:eastAsia="pt-BR"/>
        </w:rPr>
        <w:br/>
      </w:r>
      <w:r>
        <w:rPr>
          <w:rFonts w:ascii="Calibri" w:eastAsia="Times New Roman" w:hAnsi="Calibri" w:cstheme="minorHAnsi"/>
          <w:lang w:eastAsia="pt-BR"/>
        </w:rPr>
        <w:br/>
        <w:t>Questões:</w:t>
      </w:r>
      <w:r>
        <w:rPr>
          <w:rFonts w:ascii="Calibri" w:eastAsia="Times New Roman" w:hAnsi="Calibri" w:cstheme="minorHAnsi"/>
          <w:lang w:eastAsia="pt-BR"/>
        </w:rPr>
        <w:br/>
        <w:t>4.11  Classifique cada uma das moléculas citadas no item anterior quanto à Polaridade (Polar ou Apolar).</w:t>
      </w:r>
      <w:r>
        <w:rPr>
          <w:rFonts w:ascii="Calibri" w:eastAsia="Times New Roman" w:hAnsi="Calibri" w:cstheme="minorHAnsi"/>
          <w:lang w:eastAsia="pt-BR"/>
        </w:rPr>
        <w:br/>
      </w:r>
      <w:r>
        <w:rPr>
          <w:rFonts w:ascii="Calibri" w:eastAsia="Times New Roman" w:hAnsi="Calibri" w:cstheme="minorHAnsi"/>
          <w:lang w:eastAsia="pt-BR"/>
        </w:rPr>
        <w:br/>
        <w:t>4.12  Qual das moléculas citadas se dissolveria em água? Justifique.</w:t>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p>
    <w:p w14:paraId="52AC1B4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F9EDA4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7C2939D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49E1CE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Os alunos terão a </w:t>
      </w:r>
      <w:proofErr w:type="spellStart"/>
      <w:r>
        <w:rPr>
          <w:rFonts w:ascii="Calibri" w:eastAsia="Times New Roman" w:hAnsi="Calibri" w:cstheme="minorHAnsi"/>
          <w:lang w:eastAsia="pt-BR"/>
        </w:rPr>
        <w:t>possibibilidade</w:t>
      </w:r>
      <w:proofErr w:type="spellEnd"/>
      <w:r>
        <w:rPr>
          <w:rFonts w:ascii="Calibri" w:eastAsia="Times New Roman" w:hAnsi="Calibri" w:cstheme="minorHAnsi"/>
          <w:lang w:eastAsia="pt-BR"/>
        </w:rPr>
        <w:t xml:space="preserve"> de visualizar algo abstrato , interagindo com os conceitos de forma divertida, tendo assim uma aprendizagem significativa</w:t>
      </w:r>
    </w:p>
    <w:p w14:paraId="50C8356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B61FB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04EC75A6"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6A089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PROCEDIMENTO EXPERIMENTAL</w:t>
      </w:r>
      <w:r>
        <w:rPr>
          <w:rFonts w:ascii="Calibri" w:eastAsia="Times New Roman" w:hAnsi="Calibri" w:cstheme="minorHAnsi"/>
          <w:lang w:eastAsia="pt-BR"/>
        </w:rPr>
        <w:br/>
        <w:t>1. Primeiramente o aluno deverá  selecionar a função ¨</w:t>
      </w:r>
      <w:proofErr w:type="spellStart"/>
      <w:r>
        <w:rPr>
          <w:rFonts w:ascii="Calibri" w:eastAsia="Times New Roman" w:hAnsi="Calibri" w:cstheme="minorHAnsi"/>
          <w:lang w:eastAsia="pt-BR"/>
        </w:rPr>
        <w:t>Model</w:t>
      </w:r>
      <w:proofErr w:type="spellEnd"/>
      <w:r>
        <w:rPr>
          <w:rFonts w:ascii="Calibri" w:eastAsia="Times New Roman" w:hAnsi="Calibri" w:cstheme="minorHAnsi"/>
          <w:lang w:eastAsia="pt-BR"/>
        </w:rPr>
        <w:t>¨, clicando nesse ícone surgirá um átomo de central, representado por uma pequena bola azul.</w:t>
      </w:r>
      <w:r>
        <w:rPr>
          <w:rFonts w:ascii="Calibri" w:eastAsia="Times New Roman" w:hAnsi="Calibri" w:cstheme="minorHAnsi"/>
          <w:lang w:eastAsia="pt-BR"/>
        </w:rPr>
        <w:br/>
      </w:r>
      <w:r>
        <w:rPr>
          <w:rFonts w:ascii="Calibri" w:eastAsia="Times New Roman" w:hAnsi="Calibri" w:cstheme="minorHAnsi"/>
          <w:lang w:eastAsia="pt-BR"/>
        </w:rPr>
        <w:br/>
        <w:t>2. Para estabelecer ligações químicas no átomo de carbono previamente selecionado, haverá no ícone ¨</w:t>
      </w:r>
      <w:proofErr w:type="spellStart"/>
      <w:r>
        <w:rPr>
          <w:rFonts w:ascii="Calibri" w:eastAsia="Times New Roman" w:hAnsi="Calibri" w:cstheme="minorHAnsi"/>
          <w:lang w:eastAsia="pt-BR"/>
        </w:rPr>
        <w:t>Bonding</w:t>
      </w:r>
      <w:proofErr w:type="spellEnd"/>
      <w:r>
        <w:rPr>
          <w:rFonts w:ascii="Calibri" w:eastAsia="Times New Roman" w:hAnsi="Calibri" w:cstheme="minorHAnsi"/>
          <w:lang w:eastAsia="pt-BR"/>
        </w:rPr>
        <w:t>¨ três diferentes opções: Ligações simples, duplas e triplas.</w:t>
      </w:r>
      <w:r>
        <w:rPr>
          <w:rFonts w:ascii="Calibri" w:eastAsia="Times New Roman" w:hAnsi="Calibri" w:cstheme="minorHAnsi"/>
          <w:lang w:eastAsia="pt-BR"/>
        </w:rPr>
        <w:br/>
      </w:r>
      <w:r>
        <w:rPr>
          <w:rFonts w:ascii="Calibri" w:eastAsia="Times New Roman" w:hAnsi="Calibri" w:cstheme="minorHAnsi"/>
          <w:lang w:eastAsia="pt-BR"/>
        </w:rPr>
        <w:br/>
        <w:t>3. Anote os ângulos formados pelas ligações no átomo central, nas seguintes situações:</w:t>
      </w:r>
      <w:r>
        <w:rPr>
          <w:rFonts w:ascii="Calibri" w:eastAsia="Times New Roman" w:hAnsi="Calibri" w:cstheme="minorHAnsi"/>
          <w:lang w:eastAsia="pt-BR"/>
        </w:rPr>
        <w:br/>
      </w:r>
      <w:r>
        <w:rPr>
          <w:rFonts w:ascii="Calibri" w:eastAsia="Times New Roman" w:hAnsi="Calibri" w:cstheme="minorHAnsi"/>
          <w:lang w:eastAsia="pt-BR"/>
        </w:rPr>
        <w:br/>
        <w:t>Nº de ligações Nº de par de elétrons Ângulo    molécula</w:t>
      </w:r>
      <w:r>
        <w:rPr>
          <w:rFonts w:ascii="Calibri" w:eastAsia="Times New Roman" w:hAnsi="Calibri" w:cstheme="minorHAnsi"/>
          <w:lang w:eastAsia="pt-BR"/>
        </w:rPr>
        <w:br/>
        <w:t>1 ligação simples 0</w:t>
      </w:r>
      <w:r>
        <w:rPr>
          <w:rFonts w:ascii="Calibri" w:eastAsia="Times New Roman" w:hAnsi="Calibri" w:cstheme="minorHAnsi"/>
          <w:lang w:eastAsia="pt-BR"/>
        </w:rPr>
        <w:br/>
        <w:t>2 ligações simples 0</w:t>
      </w:r>
      <w:r>
        <w:rPr>
          <w:rFonts w:ascii="Calibri" w:eastAsia="Times New Roman" w:hAnsi="Calibri" w:cstheme="minorHAnsi"/>
          <w:lang w:eastAsia="pt-BR"/>
        </w:rPr>
        <w:br/>
        <w:t>2 ligações simples 01</w:t>
      </w:r>
      <w:r>
        <w:rPr>
          <w:rFonts w:ascii="Calibri" w:eastAsia="Times New Roman" w:hAnsi="Calibri" w:cstheme="minorHAnsi"/>
          <w:lang w:eastAsia="pt-BR"/>
        </w:rPr>
        <w:br/>
        <w:t>3 ligações simples 01</w:t>
      </w:r>
      <w:r>
        <w:rPr>
          <w:rFonts w:ascii="Calibri" w:eastAsia="Times New Roman" w:hAnsi="Calibri" w:cstheme="minorHAnsi"/>
          <w:lang w:eastAsia="pt-BR"/>
        </w:rPr>
        <w:br/>
        <w:t>4 ligações simples 0</w:t>
      </w:r>
      <w:r>
        <w:rPr>
          <w:rFonts w:ascii="Calibri" w:eastAsia="Times New Roman" w:hAnsi="Calibri" w:cstheme="minorHAnsi"/>
          <w:lang w:eastAsia="pt-BR"/>
        </w:rPr>
        <w:br/>
      </w:r>
      <w:r>
        <w:rPr>
          <w:rFonts w:ascii="Calibri" w:eastAsia="Times New Roman" w:hAnsi="Calibri" w:cstheme="minorHAnsi"/>
          <w:lang w:eastAsia="pt-BR"/>
        </w:rPr>
        <w:br/>
        <w:t xml:space="preserve">OBS: Entre uma montagem e outra de uma molécula, utilizar o ícone ¨Remove </w:t>
      </w:r>
      <w:proofErr w:type="spellStart"/>
      <w:r>
        <w:rPr>
          <w:rFonts w:ascii="Calibri" w:eastAsia="Times New Roman" w:hAnsi="Calibri" w:cstheme="minorHAnsi"/>
          <w:lang w:eastAsia="pt-BR"/>
        </w:rPr>
        <w:t>All</w:t>
      </w:r>
      <w:proofErr w:type="spellEnd"/>
      <w:r>
        <w:rPr>
          <w:rFonts w:ascii="Calibri" w:eastAsia="Times New Roman" w:hAnsi="Calibri" w:cstheme="minorHAnsi"/>
          <w:lang w:eastAsia="pt-BR"/>
        </w:rPr>
        <w:t>¨; Para adicionar um par de elétrons clicar no ícone ¨</w:t>
      </w:r>
      <w:proofErr w:type="spellStart"/>
      <w:r>
        <w:rPr>
          <w:rFonts w:ascii="Calibri" w:eastAsia="Times New Roman" w:hAnsi="Calibri" w:cstheme="minorHAnsi"/>
          <w:lang w:eastAsia="pt-BR"/>
        </w:rPr>
        <w:t>Lone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Pair</w:t>
      </w:r>
      <w:proofErr w:type="spellEnd"/>
      <w:r>
        <w:rPr>
          <w:rFonts w:ascii="Calibri" w:eastAsia="Times New Roman" w:hAnsi="Calibri" w:cstheme="minorHAnsi"/>
          <w:lang w:eastAsia="pt-BR"/>
        </w:rPr>
        <w:t>¨.</w:t>
      </w:r>
      <w:r>
        <w:rPr>
          <w:rFonts w:ascii="Calibri" w:eastAsia="Times New Roman" w:hAnsi="Calibri" w:cstheme="minorHAnsi"/>
          <w:lang w:eastAsia="pt-BR"/>
        </w:rPr>
        <w:br/>
      </w:r>
      <w:r>
        <w:rPr>
          <w:rFonts w:ascii="Calibri" w:eastAsia="Times New Roman" w:hAnsi="Calibri" w:cstheme="minorHAnsi"/>
          <w:lang w:eastAsia="pt-BR"/>
        </w:rPr>
        <w:br/>
        <w:t>Pergunta: O que ocorre com a molécula quando um par de elétrons é inserido no átomo central? A inserção de um segundo par de elétrons gera alguma diferenciação na molécula? Explique.</w:t>
      </w:r>
      <w:r>
        <w:rPr>
          <w:rFonts w:ascii="Calibri" w:eastAsia="Times New Roman" w:hAnsi="Calibri" w:cstheme="minorHAnsi"/>
          <w:lang w:eastAsia="pt-BR"/>
        </w:rPr>
        <w:br/>
        <w:t>4.Selecione o ícone ¨ Real moléculas¨. No campo superior direito será observado um ícone contendo uma relação de moléculas. Selecione as moléculas citadas abaixo, e anote as informações pertinentes a cada uma delas:</w:t>
      </w:r>
      <w:r>
        <w:rPr>
          <w:rFonts w:ascii="Calibri" w:eastAsia="Times New Roman" w:hAnsi="Calibri" w:cstheme="minorHAnsi"/>
          <w:lang w:eastAsia="pt-BR"/>
        </w:rPr>
        <w:br/>
        <w:t xml:space="preserve">OBS: Para verificar o ângulo das ligações selecionar o ícone Show Bond </w:t>
      </w:r>
      <w:proofErr w:type="spellStart"/>
      <w:r>
        <w:rPr>
          <w:rFonts w:ascii="Calibri" w:eastAsia="Times New Roman" w:hAnsi="Calibri" w:cstheme="minorHAnsi"/>
          <w:lang w:eastAsia="pt-BR"/>
        </w:rPr>
        <w:t>Angles</w:t>
      </w:r>
      <w:proofErr w:type="spellEnd"/>
      <w:r>
        <w:rPr>
          <w:rFonts w:ascii="Calibri" w:eastAsia="Times New Roman" w:hAnsi="Calibri" w:cstheme="minorHAnsi"/>
          <w:lang w:eastAsia="pt-BR"/>
        </w:rPr>
        <w:t xml:space="preserve">; para </w:t>
      </w:r>
      <w:r>
        <w:rPr>
          <w:rFonts w:ascii="Calibri" w:eastAsia="Times New Roman" w:hAnsi="Calibri" w:cstheme="minorHAnsi"/>
          <w:lang w:eastAsia="pt-BR"/>
        </w:rPr>
        <w:lastRenderedPageBreak/>
        <w:t xml:space="preserve">identificar a geometria clique na parte inferior: </w:t>
      </w:r>
      <w:proofErr w:type="spellStart"/>
      <w:r>
        <w:rPr>
          <w:rFonts w:ascii="Calibri" w:eastAsia="Times New Roman" w:hAnsi="Calibri" w:cstheme="minorHAnsi"/>
          <w:lang w:eastAsia="pt-BR"/>
        </w:rPr>
        <w:t>Name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Molecule</w:t>
      </w:r>
      <w:proofErr w:type="spellEnd"/>
      <w:r>
        <w:rPr>
          <w:rFonts w:ascii="Calibri" w:eastAsia="Times New Roman" w:hAnsi="Calibri" w:cstheme="minorHAnsi"/>
          <w:lang w:eastAsia="pt-BR"/>
        </w:rPr>
        <w:t xml:space="preserve"> </w:t>
      </w:r>
      <w:proofErr w:type="spellStart"/>
      <w:r>
        <w:rPr>
          <w:rFonts w:ascii="Calibri" w:eastAsia="Times New Roman" w:hAnsi="Calibri" w:cstheme="minorHAnsi"/>
          <w:lang w:eastAsia="pt-BR"/>
        </w:rPr>
        <w:t>Geometry</w:t>
      </w:r>
      <w:proofErr w:type="spellEnd"/>
      <w:r>
        <w:rPr>
          <w:rFonts w:ascii="Calibri" w:eastAsia="Times New Roman" w:hAnsi="Calibri" w:cstheme="minorHAnsi"/>
          <w:lang w:eastAsia="pt-BR"/>
        </w:rPr>
        <w:br/>
        <w:t>4.1     H2O        nº par de elétrons:____       ângulo das ligações:___ geometria:__________</w:t>
      </w:r>
      <w:r>
        <w:rPr>
          <w:rFonts w:ascii="Calibri" w:eastAsia="Times New Roman" w:hAnsi="Calibri" w:cstheme="minorHAnsi"/>
          <w:lang w:eastAsia="pt-BR"/>
        </w:rPr>
        <w:br/>
        <w:t>4.2     CO2        nº par de elétrons:____        ângulo das ligações:___ geometria:__________</w:t>
      </w:r>
      <w:r>
        <w:rPr>
          <w:rFonts w:ascii="Calibri" w:eastAsia="Times New Roman" w:hAnsi="Calibri" w:cstheme="minorHAnsi"/>
          <w:lang w:eastAsia="pt-BR"/>
        </w:rPr>
        <w:br/>
        <w:t>4.3     SO2             nº par de elétrons:____        ângulo das ligações:___ geometria:__________</w:t>
      </w:r>
      <w:r>
        <w:rPr>
          <w:rFonts w:ascii="Calibri" w:eastAsia="Times New Roman" w:hAnsi="Calibri" w:cstheme="minorHAnsi"/>
          <w:lang w:eastAsia="pt-BR"/>
        </w:rPr>
        <w:br/>
        <w:t>4.4     BF3             nº par de elétrons:____         ângulo das ligações:___ geometria:__________</w:t>
      </w:r>
      <w:r>
        <w:rPr>
          <w:rFonts w:ascii="Calibri" w:eastAsia="Times New Roman" w:hAnsi="Calibri" w:cstheme="minorHAnsi"/>
          <w:lang w:eastAsia="pt-BR"/>
        </w:rPr>
        <w:br/>
        <w:t>4.5     NH3            nº par de elétrons:____         ângulo das ligações:___ geometria:__________</w:t>
      </w:r>
      <w:r>
        <w:rPr>
          <w:rFonts w:ascii="Calibri" w:eastAsia="Times New Roman" w:hAnsi="Calibri" w:cstheme="minorHAnsi"/>
          <w:lang w:eastAsia="pt-BR"/>
        </w:rPr>
        <w:br/>
        <w:t>4.6     CH4        nº par de elétrons:____         ângulo das ligações:___ geometria:__________</w:t>
      </w:r>
      <w:r>
        <w:rPr>
          <w:rFonts w:ascii="Calibri" w:eastAsia="Times New Roman" w:hAnsi="Calibri" w:cstheme="minorHAnsi"/>
          <w:lang w:eastAsia="pt-BR"/>
        </w:rPr>
        <w:br/>
      </w:r>
      <w:r>
        <w:rPr>
          <w:rFonts w:ascii="Calibri" w:eastAsia="Times New Roman" w:hAnsi="Calibri" w:cstheme="minorHAnsi"/>
          <w:lang w:eastAsia="pt-BR"/>
        </w:rPr>
        <w:br/>
        <w:t>Questões:</w:t>
      </w:r>
      <w:r>
        <w:rPr>
          <w:rFonts w:ascii="Calibri" w:eastAsia="Times New Roman" w:hAnsi="Calibri" w:cstheme="minorHAnsi"/>
          <w:lang w:eastAsia="pt-BR"/>
        </w:rPr>
        <w:br/>
        <w:t>4.11  Classifique cada uma das moléculas citadas no item anterior quanto à Polaridade (Polar ou Apolar).</w:t>
      </w:r>
      <w:r>
        <w:rPr>
          <w:rFonts w:ascii="Calibri" w:eastAsia="Times New Roman" w:hAnsi="Calibri" w:cstheme="minorHAnsi"/>
          <w:lang w:eastAsia="pt-BR"/>
        </w:rPr>
        <w:br/>
      </w:r>
      <w:r>
        <w:rPr>
          <w:rFonts w:ascii="Calibri" w:eastAsia="Times New Roman" w:hAnsi="Calibri" w:cstheme="minorHAnsi"/>
          <w:lang w:eastAsia="pt-BR"/>
        </w:rPr>
        <w:br/>
        <w:t>4.12  Qual das moléculas citadas se dissolveria em água? Justifique.</w:t>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r>
        <w:rPr>
          <w:rFonts w:ascii="Calibri" w:eastAsia="Times New Roman" w:hAnsi="Calibri" w:cstheme="minorHAnsi"/>
          <w:lang w:eastAsia="pt-BR"/>
        </w:rPr>
        <w:br/>
      </w:r>
    </w:p>
    <w:p w14:paraId="44D78369"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D919C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5BFB25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2906B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atividade propõe que o aluno aprenda um conteúdo abstrato, de uma forma dinâmica, utilizando-se de um software. Dessa maneira o ensino se torna prazeroso e significativo</w:t>
      </w:r>
    </w:p>
    <w:p w14:paraId="1EF3C89E"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9640DF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5E78C24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C1055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Utilização de animação no ensino de Química</w:t>
      </w:r>
    </w:p>
    <w:p w14:paraId="5CF5B5C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4AE2AA"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28E67205"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B0F0A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Autor: Maurício de Aquino</w:t>
      </w:r>
    </w:p>
    <w:p w14:paraId="3E0BF68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BFE638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193DFA6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9BB334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Elaboração de atividades pedagógicas</w:t>
      </w:r>
    </w:p>
    <w:p w14:paraId="1DAB150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753105A"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8A71FD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1E7E52F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41232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EF223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610103C7"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FADB0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método de rotação por estações aplicado ao ensino de Biologia</w:t>
      </w:r>
    </w:p>
    <w:p w14:paraId="78B1B7C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4E3CFC4"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42A66BE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585F3EE"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lastRenderedPageBreak/>
        <w:t>Ensino médio</w:t>
      </w:r>
    </w:p>
    <w:p w14:paraId="7EEBACB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24E4F6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0149421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79491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Biologia</w:t>
      </w:r>
    </w:p>
    <w:p w14:paraId="31F6D8C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E7C17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6F66E71"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F7A7F6"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presencial</w:t>
      </w:r>
    </w:p>
    <w:p w14:paraId="55F36A1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392F58"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0ADA380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A37413"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Utilização da metodologia ativa de Rotação por estações</w:t>
      </w:r>
    </w:p>
    <w:p w14:paraId="49A8E47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51112D"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140CDFCA"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CF2065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7BEA667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6AA14C"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As atividades serão realizadas na sala de informática. Essa sala será previamente</w:t>
      </w:r>
      <w:r>
        <w:rPr>
          <w:rFonts w:ascii="Calibri" w:eastAsia="Times New Roman" w:hAnsi="Calibri" w:cstheme="minorHAnsi"/>
          <w:lang w:eastAsia="pt-BR"/>
        </w:rPr>
        <w:br/>
        <w:t>organizada pela pesquisadora e pelo professor.</w:t>
      </w:r>
      <w:r>
        <w:rPr>
          <w:rFonts w:ascii="Calibri" w:eastAsia="Times New Roman" w:hAnsi="Calibri" w:cstheme="minorHAnsi"/>
          <w:lang w:eastAsia="pt-BR"/>
        </w:rPr>
        <w:br/>
        <w:t>Nos 10 minutos iniciais os alunos serão organizados em quatro estações, cada uma</w:t>
      </w:r>
      <w:r>
        <w:rPr>
          <w:rFonts w:ascii="Calibri" w:eastAsia="Times New Roman" w:hAnsi="Calibri" w:cstheme="minorHAnsi"/>
          <w:lang w:eastAsia="pt-BR"/>
        </w:rPr>
        <w:br/>
        <w:t>com uma quantidade equivalente de alunos e uma atividade diferente.</w:t>
      </w:r>
      <w:r>
        <w:rPr>
          <w:rFonts w:ascii="Calibri" w:eastAsia="Times New Roman" w:hAnsi="Calibri" w:cstheme="minorHAnsi"/>
          <w:lang w:eastAsia="pt-BR"/>
        </w:rPr>
        <w:br/>
        <w:t>Nas estações em que é necessário o uso do computador, os alunos serão organizados</w:t>
      </w:r>
      <w:r>
        <w:rPr>
          <w:rFonts w:ascii="Calibri" w:eastAsia="Times New Roman" w:hAnsi="Calibri" w:cstheme="minorHAnsi"/>
          <w:lang w:eastAsia="pt-BR"/>
        </w:rPr>
        <w:br/>
        <w:t>em dupla para o uso em conjunto de um computador na sala de informática.</w:t>
      </w:r>
      <w:r>
        <w:rPr>
          <w:rFonts w:ascii="Calibri" w:eastAsia="Times New Roman" w:hAnsi="Calibri" w:cstheme="minorHAnsi"/>
          <w:lang w:eastAsia="pt-BR"/>
        </w:rPr>
        <w:br/>
        <w:t>As atividades do modelo de rotação por estações terão duração de 60 minutos, sendo</w:t>
      </w:r>
      <w:r>
        <w:rPr>
          <w:rFonts w:ascii="Calibri" w:eastAsia="Times New Roman" w:hAnsi="Calibri" w:cstheme="minorHAnsi"/>
          <w:lang w:eastAsia="pt-BR"/>
        </w:rPr>
        <w:br/>
        <w:t>que os alunos ficarão 15 minutos em cada estação.</w:t>
      </w:r>
      <w:r>
        <w:rPr>
          <w:rFonts w:ascii="Calibri" w:eastAsia="Times New Roman" w:hAnsi="Calibri" w:cstheme="minorHAnsi"/>
          <w:lang w:eastAsia="pt-BR"/>
        </w:rPr>
        <w:br/>
        <w:t>Será entregue um roteiro para cada dupla de alunos.</w:t>
      </w:r>
      <w:r>
        <w:rPr>
          <w:rFonts w:ascii="Calibri" w:eastAsia="Times New Roman" w:hAnsi="Calibri" w:cstheme="minorHAnsi"/>
          <w:lang w:eastAsia="pt-BR"/>
        </w:rPr>
        <w:br/>
        <w:t>Em cada círculo haverá atividades distintas, com questões no roteiro que deverão ser</w:t>
      </w:r>
      <w:r>
        <w:rPr>
          <w:rFonts w:ascii="Calibri" w:eastAsia="Times New Roman" w:hAnsi="Calibri" w:cstheme="minorHAnsi"/>
          <w:lang w:eastAsia="pt-BR"/>
        </w:rPr>
        <w:br/>
        <w:t>respondidas pelos alunos.</w:t>
      </w:r>
      <w:r>
        <w:rPr>
          <w:rFonts w:ascii="Calibri" w:eastAsia="Times New Roman" w:hAnsi="Calibri" w:cstheme="minorHAnsi"/>
          <w:lang w:eastAsia="pt-BR"/>
        </w:rPr>
        <w:br/>
        <w:t>Objetiva-se que cada grupo passe ao final da aula por todas as estações.</w:t>
      </w:r>
      <w:r>
        <w:rPr>
          <w:rFonts w:ascii="Calibri" w:eastAsia="Times New Roman" w:hAnsi="Calibri" w:cstheme="minorHAnsi"/>
          <w:lang w:eastAsia="pt-BR"/>
        </w:rPr>
        <w:br/>
        <w:t>Após a realização da atividade de rotação pelas estações haverá a entrega do roteiro.</w:t>
      </w:r>
      <w:r>
        <w:rPr>
          <w:rFonts w:ascii="Calibri" w:eastAsia="Times New Roman" w:hAnsi="Calibri" w:cstheme="minorHAnsi"/>
          <w:lang w:eastAsia="pt-BR"/>
        </w:rPr>
        <w:br/>
        <w:t>Em seguida será entregue aos alunos e ao professor um questionário opinativo sobre o</w:t>
      </w:r>
      <w:r>
        <w:rPr>
          <w:rFonts w:ascii="Calibri" w:eastAsia="Times New Roman" w:hAnsi="Calibri" w:cstheme="minorHAnsi"/>
          <w:lang w:eastAsia="pt-BR"/>
        </w:rPr>
        <w:br/>
        <w:t>método utilizado. Nos 10 minutos finais será feita a reorganização da sala.</w:t>
      </w:r>
    </w:p>
    <w:p w14:paraId="17BAE35D"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B118D6"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6012B07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08C6A2"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adotada contém a proposta de metodologias ativas de aprendizagem, que devidamente utilizada proporciona aos alunos uma aprendizagem significativa.</w:t>
      </w:r>
      <w:r>
        <w:rPr>
          <w:rFonts w:ascii="Calibri" w:eastAsia="Times New Roman" w:hAnsi="Calibri" w:cstheme="minorHAnsi"/>
          <w:lang w:eastAsia="pt-BR"/>
        </w:rPr>
        <w:br/>
        <w:t>Os alunos se mostrarão mais interessados pela atividade, havendo maior interação entre os colegas e entre o professor. Há possibilidade de diminuição de indisciplina e aumento da concentração dos alunos.</w:t>
      </w:r>
    </w:p>
    <w:p w14:paraId="13B902EE"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B2224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3BD9D20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E5A9D39"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Todos os grupos terão que transitar nas quatro estações e em cada estação haverá</w:t>
      </w:r>
      <w:r>
        <w:rPr>
          <w:rFonts w:ascii="Calibri" w:eastAsia="Times New Roman" w:hAnsi="Calibri" w:cstheme="minorHAnsi"/>
          <w:lang w:eastAsia="pt-BR"/>
        </w:rPr>
        <w:br/>
        <w:t>questões que precisarão ser respondidas e entregues ao final da aula.</w:t>
      </w:r>
      <w:r>
        <w:rPr>
          <w:rFonts w:ascii="Calibri" w:eastAsia="Times New Roman" w:hAnsi="Calibri" w:cstheme="minorHAnsi"/>
          <w:lang w:eastAsia="pt-BR"/>
        </w:rPr>
        <w:br/>
        <w:t>Os alunos terão 15 minutos em cada estação para a realização das atividades</w:t>
      </w:r>
      <w:r>
        <w:rPr>
          <w:rFonts w:ascii="Calibri" w:eastAsia="Times New Roman" w:hAnsi="Calibri" w:cstheme="minorHAnsi"/>
          <w:lang w:eastAsia="pt-BR"/>
        </w:rPr>
        <w:br/>
        <w:t>propostas.</w:t>
      </w:r>
      <w:r>
        <w:rPr>
          <w:rFonts w:ascii="Calibri" w:eastAsia="Times New Roman" w:hAnsi="Calibri" w:cstheme="minorHAnsi"/>
          <w:lang w:eastAsia="pt-BR"/>
        </w:rPr>
        <w:br/>
      </w:r>
      <w:r>
        <w:rPr>
          <w:rFonts w:ascii="Calibri" w:eastAsia="Times New Roman" w:hAnsi="Calibri" w:cstheme="minorHAnsi"/>
          <w:lang w:eastAsia="pt-BR"/>
        </w:rPr>
        <w:lastRenderedPageBreak/>
        <w:t>Os alunos em dupla devem conversar e discutir entre si antes de chegar à resposta. Ao</w:t>
      </w:r>
      <w:r>
        <w:rPr>
          <w:rFonts w:ascii="Calibri" w:eastAsia="Times New Roman" w:hAnsi="Calibri" w:cstheme="minorHAnsi"/>
          <w:lang w:eastAsia="pt-BR"/>
        </w:rPr>
        <w:br/>
        <w:t>término da atividade, o professor recolherá os roteiros das duplas de alunos.</w:t>
      </w:r>
      <w:r>
        <w:rPr>
          <w:rFonts w:ascii="Calibri" w:eastAsia="Times New Roman" w:hAnsi="Calibri" w:cstheme="minorHAnsi"/>
          <w:lang w:eastAsia="pt-BR"/>
        </w:rPr>
        <w:br/>
        <w:t>O professor ficará localizado no centro da sala tirando as possíveis dúvidas dos alunos.</w:t>
      </w:r>
      <w:r>
        <w:rPr>
          <w:rFonts w:ascii="Calibri" w:eastAsia="Times New Roman" w:hAnsi="Calibri" w:cstheme="minorHAnsi"/>
          <w:lang w:eastAsia="pt-BR"/>
        </w:rPr>
        <w:br/>
        <w:t>O professor direcionará cada grupo de alunos à uma estação com uma atividade</w:t>
      </w:r>
    </w:p>
    <w:p w14:paraId="654E6F44"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D0F828F"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27106F4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C89F400"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mostra uma atividade que está inserida no contexto de metodologias ativas de aprendizagem, possibilitando aos alunos aprender de um modo diferente e eficaz.</w:t>
      </w:r>
    </w:p>
    <w:p w14:paraId="13626B7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1C23276"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5216BE78"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D95E71F"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D06ED3"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93850F7"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00871C67"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A595AE2"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100642C"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0FC9A4"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33B79ABB"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5B7BF0B" w14:textId="77777777" w:rsidR="00714F25" w:rsidRDefault="000971F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Elaboração de atividades pedagógicas</w:t>
      </w:r>
    </w:p>
    <w:p w14:paraId="1528CAF0" w14:textId="77777777" w:rsidR="00714F25" w:rsidRDefault="00714F2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8FE06AB"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2452B1C7"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37AE91A"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D4D3AB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46D1BDF8"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7719DF2"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5CC5385C"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5100D8C" w14:textId="77777777" w:rsidR="00714F25" w:rsidRDefault="000971F3">
      <w:pPr>
        <w:shd w:val="clear" w:color="auto" w:fill="FFFFFF"/>
        <w:spacing w:after="0" w:line="240" w:lineRule="auto"/>
        <w:jc w:val="both"/>
        <w:rPr>
          <w:rFonts w:asciiTheme="minorHAnsi" w:eastAsia="Times New Roman" w:hAnsiTheme="minorHAnsi" w:cstheme="minorHAnsi"/>
          <w:lang w:eastAsia="pt-BR"/>
        </w:rPr>
      </w:pPr>
      <w:r>
        <w:br w:type="page"/>
      </w:r>
    </w:p>
    <w:p w14:paraId="23E46B75" w14:textId="245238C2"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6. Reflexão pessoal sobre o tema tratado no TCC: síntese e recomendações</w:t>
      </w:r>
    </w:p>
    <w:p w14:paraId="01583782" w14:textId="30561F37" w:rsidR="00975BB6" w:rsidRDefault="00975BB6">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p>
    <w:p w14:paraId="72F8422B" w14:textId="5A567B05" w:rsidR="00975BB6" w:rsidRPr="00975BB6" w:rsidRDefault="00975BB6">
      <w:pPr>
        <w:shd w:val="clear" w:color="auto" w:fill="FFFFFF"/>
        <w:spacing w:after="0" w:line="240" w:lineRule="auto"/>
        <w:jc w:val="both"/>
        <w:rPr>
          <w:rFonts w:asciiTheme="minorHAnsi" w:eastAsia="Times New Roman" w:hAnsiTheme="minorHAnsi" w:cstheme="minorHAnsi"/>
          <w:color w:val="000000" w:themeColor="text1"/>
          <w:sz w:val="28"/>
          <w:szCs w:val="28"/>
          <w:lang w:eastAsia="pt-BR"/>
        </w:rPr>
      </w:pPr>
      <w:r w:rsidRPr="00975BB6">
        <w:rPr>
          <w:rFonts w:asciiTheme="minorHAnsi" w:eastAsia="Times New Roman" w:hAnsiTheme="minorHAnsi" w:cstheme="minorHAnsi"/>
          <w:color w:val="000000" w:themeColor="text1"/>
          <w:sz w:val="28"/>
          <w:szCs w:val="28"/>
          <w:lang w:eastAsia="pt-BR"/>
        </w:rPr>
        <w:t>O tema tratado no TCC se trata de uma metodologia pouco utilizada no contexto de metodologias ativas, se mostrando muito interessante no processo de ensino-aprendizagem. A utilização da metodologia de Rotação por estações proporciona aos alunos desenvolvimento de habilidades e competências como a de trabalhar em equipe, resolução de problemas, sendo muito eficaz quando bem elaborada .</w:t>
      </w:r>
    </w:p>
    <w:p w14:paraId="0CFB38CE" w14:textId="77777777" w:rsidR="00714F25" w:rsidRPr="00975BB6" w:rsidRDefault="00714F25">
      <w:pPr>
        <w:shd w:val="clear" w:color="auto" w:fill="FFFFFF"/>
        <w:spacing w:after="0" w:line="240" w:lineRule="auto"/>
        <w:jc w:val="both"/>
        <w:rPr>
          <w:rFonts w:asciiTheme="minorHAnsi" w:eastAsia="Times New Roman" w:hAnsiTheme="minorHAnsi" w:cstheme="minorHAnsi"/>
          <w:color w:val="000000" w:themeColor="text1"/>
          <w:lang w:eastAsia="pt-BR"/>
        </w:rPr>
      </w:pPr>
    </w:p>
    <w:p w14:paraId="1CBEED63" w14:textId="77777777" w:rsidR="00714F25" w:rsidRPr="00975BB6" w:rsidRDefault="00714F25">
      <w:pPr>
        <w:shd w:val="clear" w:color="auto" w:fill="FFFFFF"/>
        <w:spacing w:after="0" w:line="240" w:lineRule="auto"/>
        <w:jc w:val="both"/>
        <w:rPr>
          <w:rFonts w:asciiTheme="minorHAnsi" w:eastAsia="Times New Roman" w:hAnsiTheme="minorHAnsi" w:cstheme="minorHAnsi"/>
          <w:color w:val="000000" w:themeColor="text1"/>
          <w:lang w:eastAsia="pt-BR"/>
        </w:rPr>
      </w:pPr>
    </w:p>
    <w:p w14:paraId="63A5AB6E" w14:textId="77777777" w:rsidR="00714F25" w:rsidRPr="00975BB6" w:rsidRDefault="00714F25">
      <w:pPr>
        <w:shd w:val="clear" w:color="auto" w:fill="FFFFFF"/>
        <w:spacing w:after="0" w:line="240" w:lineRule="auto"/>
        <w:jc w:val="both"/>
        <w:rPr>
          <w:rFonts w:asciiTheme="minorHAnsi" w:eastAsia="Times New Roman" w:hAnsiTheme="minorHAnsi" w:cstheme="minorHAnsi"/>
          <w:color w:val="000000" w:themeColor="text1"/>
          <w:lang w:eastAsia="pt-BR"/>
        </w:rPr>
      </w:pPr>
    </w:p>
    <w:p w14:paraId="65AE8B34"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741F2779"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6A3A4823" w14:textId="77777777" w:rsidR="00714F25" w:rsidRDefault="000971F3">
      <w:pPr>
        <w:spacing w:after="0" w:line="240" w:lineRule="auto"/>
        <w:rPr>
          <w:rFonts w:asciiTheme="minorHAnsi" w:eastAsia="Times New Roman" w:hAnsiTheme="minorHAnsi" w:cstheme="minorHAnsi"/>
          <w:lang w:eastAsia="pt-BR"/>
        </w:rPr>
      </w:pPr>
      <w:r>
        <w:br w:type="page"/>
      </w:r>
    </w:p>
    <w:p w14:paraId="58EE583B" w14:textId="77777777" w:rsidR="00714F25" w:rsidRDefault="000971F3">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7. Referências</w:t>
      </w:r>
    </w:p>
    <w:p w14:paraId="4ABBB064" w14:textId="77777777" w:rsidR="00714F25" w:rsidRDefault="00714F25">
      <w:pPr>
        <w:shd w:val="clear" w:color="auto" w:fill="FFFFFF"/>
        <w:spacing w:after="0" w:line="240" w:lineRule="auto"/>
        <w:jc w:val="both"/>
        <w:rPr>
          <w:rFonts w:asciiTheme="minorHAnsi" w:eastAsia="Times New Roman" w:hAnsiTheme="minorHAnsi" w:cstheme="minorHAnsi"/>
          <w:lang w:eastAsia="pt-BR"/>
        </w:rPr>
      </w:pPr>
    </w:p>
    <w:p w14:paraId="1D6AC7D1" w14:textId="77777777" w:rsidR="00714F25" w:rsidRDefault="00714F25">
      <w:pPr>
        <w:shd w:val="clear" w:color="auto" w:fill="FFFFFF"/>
        <w:spacing w:after="0" w:line="240" w:lineRule="auto"/>
        <w:jc w:val="both"/>
      </w:pPr>
    </w:p>
    <w:p w14:paraId="24806E73" w14:textId="1DCE2D8D" w:rsidR="00714F25" w:rsidRDefault="004946F2">
      <w:pPr>
        <w:shd w:val="clear" w:color="auto" w:fill="FFFFFF"/>
        <w:spacing w:after="0" w:line="240" w:lineRule="auto"/>
        <w:jc w:val="both"/>
      </w:pPr>
      <w:r>
        <w:t xml:space="preserve">KENSKI, V. Educação e tecnologias: o novo ritmo da informação. Campinas: Papirus, 2007. </w:t>
      </w:r>
    </w:p>
    <w:p w14:paraId="09B6483A" w14:textId="77777777" w:rsidR="00D86A1A" w:rsidRDefault="00D86A1A">
      <w:pPr>
        <w:shd w:val="clear" w:color="auto" w:fill="FFFFFF"/>
        <w:spacing w:after="0" w:line="240" w:lineRule="auto"/>
        <w:jc w:val="both"/>
      </w:pPr>
    </w:p>
    <w:p w14:paraId="0A8702B7" w14:textId="29D8FCB1" w:rsidR="00D86A1A" w:rsidRDefault="00D86A1A">
      <w:pPr>
        <w:shd w:val="clear" w:color="auto" w:fill="FFFFFF"/>
        <w:spacing w:after="0" w:line="240" w:lineRule="auto"/>
        <w:jc w:val="both"/>
      </w:pPr>
      <w:r>
        <w:t xml:space="preserve">FREIRE, P. Pedagogia do Oprimido. 17. ed. Rio de Janeiro: Paz e Terra, 1987. </w:t>
      </w:r>
    </w:p>
    <w:p w14:paraId="0462DE35" w14:textId="77777777" w:rsidR="00D86A1A" w:rsidRDefault="00D86A1A">
      <w:pPr>
        <w:shd w:val="clear" w:color="auto" w:fill="FFFFFF"/>
        <w:spacing w:after="0" w:line="240" w:lineRule="auto"/>
        <w:jc w:val="both"/>
      </w:pPr>
    </w:p>
    <w:p w14:paraId="7F2432CA" w14:textId="0EC11914" w:rsidR="00D86A1A" w:rsidRDefault="00D86A1A">
      <w:pPr>
        <w:shd w:val="clear" w:color="auto" w:fill="FFFFFF"/>
        <w:spacing w:after="0" w:line="240" w:lineRule="auto"/>
        <w:jc w:val="both"/>
      </w:pPr>
      <w:r>
        <w:t>PERRENOUD, P.; PAQUAY, L.; ALTET, M.; CHARLIER, E. Formando Professores Profissionais. 2. ed. Porto Alegre: Artmed, 2001.</w:t>
      </w:r>
    </w:p>
    <w:p w14:paraId="20EBDD3F" w14:textId="1F2315F3" w:rsidR="00D86A1A" w:rsidRDefault="00D86A1A">
      <w:pPr>
        <w:shd w:val="clear" w:color="auto" w:fill="FFFFFF"/>
        <w:spacing w:after="0" w:line="240" w:lineRule="auto"/>
        <w:jc w:val="both"/>
      </w:pPr>
    </w:p>
    <w:p w14:paraId="200DC294" w14:textId="699654E4" w:rsidR="00D86A1A" w:rsidRDefault="00D86A1A">
      <w:pPr>
        <w:shd w:val="clear" w:color="auto" w:fill="FFFFFF"/>
        <w:spacing w:after="0" w:line="240" w:lineRule="auto"/>
        <w:jc w:val="both"/>
      </w:pPr>
      <w:r>
        <w:t xml:space="preserve">PINTO JUNIOR, E. G; FREITAS JUNIOR, C.L A. de. METODOLOGIAS DE ENSINO NA ATUALIDADE: novas possibilidades de explorar a história. In: IX Seminário Nacional de Estudos e Pesquisas 'História Sociedade e Educação no Brasil, 2012, João Pessoa. Anais </w:t>
      </w:r>
      <w:proofErr w:type="spellStart"/>
      <w:r>
        <w:t>Eletronicos</w:t>
      </w:r>
      <w:proofErr w:type="spellEnd"/>
      <w:r>
        <w:t>. João Pessoa: Navegando, 2012.</w:t>
      </w:r>
    </w:p>
    <w:p w14:paraId="47438BF7" w14:textId="055D541B" w:rsidR="00D86A1A" w:rsidRDefault="00D86A1A">
      <w:pPr>
        <w:shd w:val="clear" w:color="auto" w:fill="FFFFFF"/>
        <w:spacing w:after="0" w:line="240" w:lineRule="auto"/>
        <w:jc w:val="both"/>
      </w:pPr>
    </w:p>
    <w:p w14:paraId="68704D53" w14:textId="35D6F921" w:rsidR="00D86A1A" w:rsidRDefault="00D86A1A">
      <w:pPr>
        <w:shd w:val="clear" w:color="auto" w:fill="FFFFFF"/>
        <w:spacing w:after="0" w:line="240" w:lineRule="auto"/>
        <w:jc w:val="both"/>
      </w:pPr>
      <w:r>
        <w:t xml:space="preserve">SIMON, F. O.; SANCHEZ, C. G.; SILVA, D. </w:t>
      </w:r>
      <w:proofErr w:type="spellStart"/>
      <w:r>
        <w:t>da</w:t>
      </w:r>
      <w:proofErr w:type="spellEnd"/>
      <w:r>
        <w:t xml:space="preserve">; BARROS FILHO, J.; ALMEIDA, N. de ; VERASZTO, E. V. Análise Crítica da </w:t>
      </w:r>
      <w:proofErr w:type="spellStart"/>
      <w:r>
        <w:t>implementaçao</w:t>
      </w:r>
      <w:proofErr w:type="spellEnd"/>
      <w:r>
        <w:t xml:space="preserve"> de Novas metodologias de Ensino. In: XXXI Congresso Brasileiro de Ensino de Engenharia, 2003</w:t>
      </w:r>
    </w:p>
    <w:p w14:paraId="13203B83" w14:textId="5697BFDE" w:rsidR="00D86A1A" w:rsidRDefault="00D86A1A">
      <w:pPr>
        <w:shd w:val="clear" w:color="auto" w:fill="FFFFFF"/>
        <w:spacing w:after="0" w:line="240" w:lineRule="auto"/>
        <w:jc w:val="both"/>
      </w:pPr>
    </w:p>
    <w:p w14:paraId="16A89918" w14:textId="0B93E9CF" w:rsidR="00D86A1A" w:rsidRDefault="00D86A1A">
      <w:pPr>
        <w:shd w:val="clear" w:color="auto" w:fill="FFFFFF"/>
        <w:spacing w:after="0" w:line="240" w:lineRule="auto"/>
        <w:jc w:val="both"/>
      </w:pPr>
      <w:r>
        <w:t xml:space="preserve">STAKER, H.; HORN, M. B. </w:t>
      </w:r>
      <w:proofErr w:type="spellStart"/>
      <w:r>
        <w:t>Classifying</w:t>
      </w:r>
      <w:proofErr w:type="spellEnd"/>
      <w:r>
        <w:t xml:space="preserve"> K–12 </w:t>
      </w:r>
      <w:proofErr w:type="spellStart"/>
      <w:r>
        <w:t>blended</w:t>
      </w:r>
      <w:proofErr w:type="spellEnd"/>
      <w:r>
        <w:t xml:space="preserve"> </w:t>
      </w:r>
      <w:proofErr w:type="spellStart"/>
      <w:r>
        <w:t>learning</w:t>
      </w:r>
      <w:proofErr w:type="spellEnd"/>
      <w:r>
        <w:t xml:space="preserve">. Mountain </w:t>
      </w:r>
      <w:proofErr w:type="spellStart"/>
      <w:r>
        <w:t>View</w:t>
      </w:r>
      <w:proofErr w:type="spellEnd"/>
      <w:r>
        <w:t xml:space="preserve">, CA: </w:t>
      </w:r>
      <w:proofErr w:type="spellStart"/>
      <w:r>
        <w:t>Innosight</w:t>
      </w:r>
      <w:proofErr w:type="spellEnd"/>
      <w:r>
        <w:t xml:space="preserve"> </w:t>
      </w:r>
      <w:proofErr w:type="spellStart"/>
      <w:r>
        <w:t>Institute</w:t>
      </w:r>
      <w:proofErr w:type="spellEnd"/>
      <w:r>
        <w:t>, Inc. 2012. Disponível em: http://www.christenseninstitute.org/ wp-content/uploads/2013/04/Classifying-K-12-blended-learning.pdf.</w:t>
      </w:r>
    </w:p>
    <w:p w14:paraId="447D61DF" w14:textId="19208048" w:rsidR="00D86A1A" w:rsidRDefault="00D86A1A">
      <w:pPr>
        <w:shd w:val="clear" w:color="auto" w:fill="FFFFFF"/>
        <w:spacing w:after="0" w:line="240" w:lineRule="auto"/>
        <w:jc w:val="both"/>
      </w:pPr>
    </w:p>
    <w:p w14:paraId="0EE5FC96" w14:textId="760709EB" w:rsidR="00D86A1A" w:rsidRDefault="00D86A1A">
      <w:pPr>
        <w:shd w:val="clear" w:color="auto" w:fill="FFFFFF"/>
        <w:spacing w:after="0" w:line="240" w:lineRule="auto"/>
        <w:jc w:val="both"/>
      </w:pPr>
      <w:r>
        <w:t>ROSA, R. Trabalho docente: dificuldades apontadas pelos professores no uso das tecnologias. VII Encontro de Pesquisa em Educação, II Congresso Internacional, Trabalho docente e Processos Educativos, II Simpósio de Ética em Pesquisa, 2013</w:t>
      </w:r>
    </w:p>
    <w:p w14:paraId="07146FD7" w14:textId="36133B23" w:rsidR="00D86A1A" w:rsidRDefault="00D86A1A">
      <w:pPr>
        <w:shd w:val="clear" w:color="auto" w:fill="FFFFFF"/>
        <w:spacing w:after="0" w:line="240" w:lineRule="auto"/>
        <w:jc w:val="both"/>
      </w:pPr>
    </w:p>
    <w:p w14:paraId="49A8A9E4" w14:textId="77777777" w:rsidR="00D86A1A" w:rsidRPr="00C97A61" w:rsidRDefault="00D86A1A" w:rsidP="00D86A1A">
      <w:pPr>
        <w:rPr>
          <w:rFonts w:cstheme="minorHAnsi"/>
        </w:rPr>
      </w:pPr>
      <w:r w:rsidRPr="00C97A61">
        <w:rPr>
          <w:rFonts w:cstheme="minorHAnsi"/>
        </w:rPr>
        <w:t xml:space="preserve">SILVA, Marco. Sala de aula interativa. A educação presencial e à distância em sintonia com a era digital e com a cidadania. In: </w:t>
      </w:r>
      <w:proofErr w:type="spellStart"/>
      <w:r w:rsidRPr="00C97A61">
        <w:rPr>
          <w:rFonts w:cstheme="minorHAnsi"/>
        </w:rPr>
        <w:t>Intercom</w:t>
      </w:r>
      <w:proofErr w:type="spellEnd"/>
      <w:r w:rsidRPr="00C97A61">
        <w:rPr>
          <w:rFonts w:cstheme="minorHAnsi"/>
        </w:rPr>
        <w:t xml:space="preserve"> – Congresso Brasileiro da Comunicação, XXIV, 2001. Campo Grande. Anais... Campo Grande: 2001. p. 1-20.</w:t>
      </w:r>
    </w:p>
    <w:p w14:paraId="668A732E" w14:textId="77777777" w:rsidR="00D86A1A" w:rsidRPr="00C97A61" w:rsidRDefault="00D86A1A" w:rsidP="00D86A1A">
      <w:pPr>
        <w:rPr>
          <w:rFonts w:cstheme="minorHAnsi"/>
        </w:rPr>
      </w:pPr>
      <w:r w:rsidRPr="00C97A61">
        <w:rPr>
          <w:rFonts w:cstheme="minorHAnsi"/>
        </w:rPr>
        <w:t>THOMPSON, J. B. Mídia e modernidade. Uma teoria social da mídia. Petrópolis: Vozes, 1998.</w:t>
      </w:r>
    </w:p>
    <w:p w14:paraId="6871A65E" w14:textId="77777777" w:rsidR="00D86A1A" w:rsidRDefault="00D86A1A" w:rsidP="00D86A1A">
      <w:pPr>
        <w:rPr>
          <w:rFonts w:cstheme="minorHAnsi"/>
        </w:rPr>
      </w:pPr>
      <w:r w:rsidRPr="00C97A61">
        <w:rPr>
          <w:rFonts w:cstheme="minorHAnsi"/>
        </w:rPr>
        <w:t>BERTOLDO L. H. Integração de mídias na educação. Editora Pixel.2017</w:t>
      </w:r>
    </w:p>
    <w:p w14:paraId="6B084B3F" w14:textId="77777777" w:rsidR="00D86A1A" w:rsidRDefault="00D86A1A" w:rsidP="00D86A1A">
      <w:r>
        <w:t>MILITÃO, N. M. Flexibilização curricular. In: FIDALGO, F.; MACHADO, L. (</w:t>
      </w:r>
      <w:proofErr w:type="spellStart"/>
      <w:r>
        <w:t>Orgs</w:t>
      </w:r>
      <w:proofErr w:type="spellEnd"/>
      <w:r>
        <w:t xml:space="preserve">.). Dicionário de Educação Profissional. Belo Horizonte: </w:t>
      </w:r>
      <w:proofErr w:type="spellStart"/>
      <w:r>
        <w:t>Nete</w:t>
      </w:r>
      <w:proofErr w:type="spellEnd"/>
      <w:r>
        <w:t>/</w:t>
      </w:r>
      <w:proofErr w:type="spellStart"/>
      <w:r>
        <w:t>FaE</w:t>
      </w:r>
      <w:proofErr w:type="spellEnd"/>
      <w:r>
        <w:t>/UFMG, 2000. p. 159.</w:t>
      </w:r>
    </w:p>
    <w:p w14:paraId="383BADB1" w14:textId="77777777" w:rsidR="00D86A1A" w:rsidRDefault="00D86A1A" w:rsidP="00D86A1A">
      <w:r>
        <w:t xml:space="preserve">MILL, D. Flexibilidade educacional na cibercultura: analisando espaços, tempos e currículo em produções científicas da área educacional. RIED: Revista </w:t>
      </w:r>
      <w:proofErr w:type="spellStart"/>
      <w:r>
        <w:t>Iberoamericana</w:t>
      </w:r>
      <w:proofErr w:type="spellEnd"/>
      <w:r>
        <w:t xml:space="preserve"> de </w:t>
      </w:r>
      <w:proofErr w:type="spellStart"/>
      <w:r>
        <w:t>Educación</w:t>
      </w:r>
      <w:proofErr w:type="spellEnd"/>
      <w:r>
        <w:t xml:space="preserve"> a </w:t>
      </w:r>
      <w:proofErr w:type="spellStart"/>
      <w:r>
        <w:t>Distancia</w:t>
      </w:r>
      <w:proofErr w:type="spellEnd"/>
      <w:r>
        <w:t xml:space="preserve">, v. 17, n. 2, p. 97-126, 2014. MILL, D. Flexibilidade pedagógica na cultura digital. In: MILL, D. (Org.). Dicionário crítico de educação e tecnologias e de educação a distância. Campinas: Papirus, 2018. p. 259-263. </w:t>
      </w:r>
    </w:p>
    <w:p w14:paraId="6483383D" w14:textId="77777777" w:rsidR="00D86A1A" w:rsidRPr="00C97A61" w:rsidRDefault="00D86A1A" w:rsidP="00D86A1A">
      <w:pPr>
        <w:rPr>
          <w:rFonts w:cstheme="minorHAnsi"/>
        </w:rPr>
      </w:pPr>
      <w:r>
        <w:lastRenderedPageBreak/>
        <w:t xml:space="preserve">COSTA, M. L. F.; MILL, D. Sala de aula virtual. In: MILL, D. (Org.). Dicionário crítico de educação e tecnologias e de educação a distância. Campinas: Papirus, 2018. p. 575-577. </w:t>
      </w:r>
    </w:p>
    <w:p w14:paraId="1AD071C1" w14:textId="77777777" w:rsidR="00D86A1A" w:rsidRDefault="00D86A1A">
      <w:pPr>
        <w:shd w:val="clear" w:color="auto" w:fill="FFFFFF"/>
        <w:spacing w:after="0" w:line="240" w:lineRule="auto"/>
        <w:jc w:val="both"/>
      </w:pPr>
    </w:p>
    <w:sectPr w:rsidR="00D86A1A">
      <w:footerReference w:type="default" r:id="rId11"/>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24653" w14:textId="77777777" w:rsidR="003B3730" w:rsidRDefault="003B3730">
      <w:pPr>
        <w:spacing w:after="0" w:line="240" w:lineRule="auto"/>
      </w:pPr>
      <w:r>
        <w:separator/>
      </w:r>
    </w:p>
  </w:endnote>
  <w:endnote w:type="continuationSeparator" w:id="0">
    <w:p w14:paraId="64D6CDE3" w14:textId="77777777" w:rsidR="003B3730" w:rsidRDefault="003B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84296"/>
      <w:docPartObj>
        <w:docPartGallery w:val="Page Numbers (Bottom of Page)"/>
        <w:docPartUnique/>
      </w:docPartObj>
    </w:sdtPr>
    <w:sdtEndPr/>
    <w:sdtContent>
      <w:p w14:paraId="18C1EBD5" w14:textId="77777777" w:rsidR="00714F25" w:rsidRDefault="000971F3">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33E4D" w14:textId="77777777" w:rsidR="003B3730" w:rsidRDefault="003B3730">
      <w:pPr>
        <w:spacing w:after="0" w:line="240" w:lineRule="auto"/>
      </w:pPr>
      <w:r>
        <w:separator/>
      </w:r>
    </w:p>
  </w:footnote>
  <w:footnote w:type="continuationSeparator" w:id="0">
    <w:p w14:paraId="7E0BFD81" w14:textId="77777777" w:rsidR="003B3730" w:rsidRDefault="003B3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D7984"/>
    <w:multiLevelType w:val="hybridMultilevel"/>
    <w:tmpl w:val="6D6E6F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25"/>
    <w:rsid w:val="000971F3"/>
    <w:rsid w:val="003619DC"/>
    <w:rsid w:val="003A451F"/>
    <w:rsid w:val="003B3730"/>
    <w:rsid w:val="003E0565"/>
    <w:rsid w:val="004946F2"/>
    <w:rsid w:val="00714F25"/>
    <w:rsid w:val="008D59CA"/>
    <w:rsid w:val="00975BB6"/>
    <w:rsid w:val="00D86A1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4A3"/>
  <w15:docId w15:val="{F9C8E8EE-2C93-4475-92AA-A789FC2B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77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4912</Words>
  <Characters>26527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Mauricio de Aquino</cp:lastModifiedBy>
  <cp:revision>5</cp:revision>
  <dcterms:created xsi:type="dcterms:W3CDTF">2020-11-04T16:02:00Z</dcterms:created>
  <dcterms:modified xsi:type="dcterms:W3CDTF">2020-11-04T17:01:00Z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