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Sociologia histórica processual</w:t>
      </w:r>
    </w:p>
    <w:p w:rsidR="00000000" w:rsidDel="00000000" w:rsidP="00000000" w:rsidRDefault="00000000" w:rsidRPr="00000000" w14:paraId="00000002">
      <w:pPr>
        <w:rPr/>
      </w:pPr>
      <w:r w:rsidDel="00000000" w:rsidR="00000000" w:rsidRPr="00000000">
        <w:rPr>
          <w:rtl w:val="0"/>
        </w:rPr>
        <w:t xml:space="preserve">Métodos mistos</w:t>
      </w:r>
    </w:p>
    <w:p w:rsidR="00000000" w:rsidDel="00000000" w:rsidP="00000000" w:rsidRDefault="00000000" w:rsidRPr="00000000" w14:paraId="00000003">
      <w:pPr>
        <w:rPr/>
      </w:pPr>
      <w:r w:rsidDel="00000000" w:rsidR="00000000" w:rsidRPr="00000000">
        <w:rPr>
          <w:rtl w:val="0"/>
        </w:rPr>
        <w:t xml:space="preserve">Séries temporais e análise de processos</w:t>
      </w:r>
    </w:p>
    <w:p w:rsidR="00000000" w:rsidDel="00000000" w:rsidP="00000000" w:rsidRDefault="00000000" w:rsidRPr="00000000" w14:paraId="00000004">
      <w:pPr>
        <w:rPr/>
      </w:pPr>
      <w:r w:rsidDel="00000000" w:rsidR="00000000" w:rsidRPr="00000000">
        <w:rPr>
          <w:rtl w:val="0"/>
        </w:rPr>
        <w:t xml:space="preserve">Dados e Fontes</w:t>
      </w:r>
    </w:p>
    <w:p w:rsidR="00000000" w:rsidDel="00000000" w:rsidP="00000000" w:rsidRDefault="00000000" w:rsidRPr="00000000" w14:paraId="00000005">
      <w:pPr>
        <w:pStyle w:val="Heading1"/>
        <w:spacing w:line="360" w:lineRule="auto"/>
        <w:jc w:val="both"/>
        <w:rPr>
          <w:rFonts w:ascii="Times New Roman" w:cs="Times New Roman" w:eastAsia="Times New Roman" w:hAnsi="Times New Roman"/>
          <w:b w:val="1"/>
          <w:bCs w:val="1"/>
          <w:sz w:val="28"/>
          <w:szCs w:val="28"/>
        </w:rPr>
      </w:pPr>
      <w:bookmarkStart w:colFirst="0" w:colLast="0" w:name="_pg1086n7vv9y" w:id="0"/>
      <w:bookmarkEnd w:id="0"/>
      <w:r w:rsidDel="00000000" w:rsidR="00000000" w:rsidRPr="00000000">
        <w:rPr>
          <w:rFonts w:ascii="Times New Roman" w:cs="Times New Roman" w:eastAsia="Times New Roman" w:hAnsi="Times New Roman"/>
          <w:b w:val="1"/>
          <w:bCs w:val="1"/>
          <w:sz w:val="28"/>
          <w:szCs w:val="28"/>
          <w:rtl w:val="0"/>
        </w:rPr>
        <w:t xml:space="preserve">Capítulo 2: Metodologia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spacing w:before="400" w:line="360" w:lineRule="auto"/>
        <w:jc w:val="both"/>
        <w:rPr>
          <w:rFonts w:ascii="Times New Roman" w:cs="Times New Roman" w:eastAsia="Times New Roman" w:hAnsi="Times New Roman"/>
          <w:b w:val="1"/>
          <w:bCs w:val="1"/>
          <w:sz w:val="24"/>
          <w:szCs w:val="24"/>
        </w:rPr>
      </w:pPr>
      <w:bookmarkStart w:colFirst="0" w:colLast="0" w:name="_ij2zybwwc5z2" w:id="1"/>
      <w:bookmarkEnd w:id="1"/>
      <w:r w:rsidDel="00000000" w:rsidR="00000000" w:rsidRPr="00000000">
        <w:rPr>
          <w:rFonts w:ascii="Times New Roman" w:cs="Times New Roman" w:eastAsia="Times New Roman" w:hAnsi="Times New Roman"/>
          <w:b w:val="1"/>
          <w:bCs w:val="1"/>
          <w:sz w:val="24"/>
          <w:szCs w:val="24"/>
          <w:rtl w:val="0"/>
        </w:rPr>
        <w:t xml:space="preserve">1. Estratégias de comparação histórica e seleção de casos</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estratégia comparativa a ser empregada na investigação utilizará diferentes lógicas de comparação </w:t>
      </w:r>
      <w:hyperlink r:id="rId7">
        <w:r w:rsidDel="00000000" w:rsidR="00000000" w:rsidRPr="00000000">
          <w:rPr>
            <w:rFonts w:ascii="Times New Roman" w:cs="Times New Roman" w:eastAsia="Times New Roman" w:hAnsi="Times New Roman"/>
            <w:sz w:val="24"/>
            <w:szCs w:val="24"/>
            <w:rtl w:val="0"/>
          </w:rPr>
          <w:t xml:space="preserve">(Tilly, 1984)</w:t>
        </w:r>
      </w:hyperlink>
      <w:r w:rsidDel="00000000" w:rsidR="00000000" w:rsidRPr="00000000">
        <w:rPr>
          <w:rFonts w:ascii="Times New Roman" w:cs="Times New Roman" w:eastAsia="Times New Roman" w:hAnsi="Times New Roman"/>
          <w:sz w:val="24"/>
          <w:szCs w:val="24"/>
          <w:rtl w:val="0"/>
        </w:rPr>
        <w:t xml:space="preserve"> adequadas ao estudo qualitativo de poucos casos (</w:t>
      </w:r>
      <w:r w:rsidDel="00000000" w:rsidR="00000000" w:rsidRPr="00000000">
        <w:rPr>
          <w:rFonts w:ascii="Times New Roman" w:cs="Times New Roman" w:eastAsia="Times New Roman" w:hAnsi="Times New Roman"/>
          <w:i w:val="1"/>
          <w:iCs w:val="1"/>
          <w:sz w:val="24"/>
          <w:szCs w:val="24"/>
          <w:rtl w:val="0"/>
        </w:rPr>
        <w:t xml:space="preserve">small-N</w:t>
      </w:r>
      <w:r w:rsidDel="00000000" w:rsidR="00000000" w:rsidRPr="00000000">
        <w:rPr>
          <w:rFonts w:ascii="Times New Roman" w:cs="Times New Roman" w:eastAsia="Times New Roman" w:hAnsi="Times New Roman"/>
          <w:sz w:val="24"/>
          <w:szCs w:val="24"/>
          <w:rtl w:val="0"/>
        </w:rPr>
        <w:t xml:space="preserve">), individualmente estudados via rastreamento de processos </w:t>
      </w:r>
      <w:hyperlink r:id="rId8">
        <w:r w:rsidDel="00000000" w:rsidR="00000000" w:rsidRPr="00000000">
          <w:rPr>
            <w:rFonts w:ascii="Times New Roman" w:cs="Times New Roman" w:eastAsia="Times New Roman" w:hAnsi="Times New Roman"/>
            <w:sz w:val="24"/>
            <w:szCs w:val="24"/>
            <w:rtl w:val="0"/>
          </w:rPr>
          <w:t xml:space="preserve">(Bennett e Checkel, 2015; Mahoney, 2015)</w:t>
        </w:r>
      </w:hyperlink>
      <w:r w:rsidDel="00000000" w:rsidR="00000000" w:rsidRPr="00000000">
        <w:rPr>
          <w:rFonts w:ascii="Times New Roman" w:cs="Times New Roman" w:eastAsia="Times New Roman" w:hAnsi="Times New Roman"/>
          <w:sz w:val="24"/>
          <w:szCs w:val="24"/>
          <w:rtl w:val="0"/>
        </w:rPr>
        <w:t xml:space="preserve"> e com ênfase na triangulação de dados quantitativos e qualitativos. Dentro das abordagens sociológicas, há distintas formas de se pensar o exercício comparativo, especialmente quando consideradas configurações de nível macro. É importante deixar claro que essas distinções são analíticas e muitas vezes os trabalhos se encontram nas fronteiras dessas categorias ou são constituídos de múltiplas dessas estratégias </w:t>
      </w:r>
      <w:hyperlink r:id="rId9">
        <w:r w:rsidDel="00000000" w:rsidR="00000000" w:rsidRPr="00000000">
          <w:rPr>
            <w:rFonts w:ascii="Times New Roman" w:cs="Times New Roman" w:eastAsia="Times New Roman" w:hAnsi="Times New Roman"/>
            <w:sz w:val="24"/>
            <w:szCs w:val="24"/>
            <w:rtl w:val="0"/>
          </w:rPr>
          <w:t xml:space="preserve">(Skocpol, 1984b; Tilly, 1984)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Duas tipologias são bastante utilizadas, uma em Tilly </w:t>
      </w:r>
      <w:hyperlink r:id="rId10">
        <w:r w:rsidDel="00000000" w:rsidR="00000000" w:rsidRPr="00000000">
          <w:rPr>
            <w:rFonts w:ascii="Times New Roman" w:cs="Times New Roman" w:eastAsia="Times New Roman" w:hAnsi="Times New Roman"/>
            <w:sz w:val="24"/>
            <w:szCs w:val="24"/>
            <w:rtl w:val="0"/>
          </w:rPr>
          <w:t xml:space="preserve">(1984)</w:t>
        </w:r>
      </w:hyperlink>
      <w:r w:rsidDel="00000000" w:rsidR="00000000" w:rsidRPr="00000000">
        <w:rPr>
          <w:rFonts w:ascii="Times New Roman" w:cs="Times New Roman" w:eastAsia="Times New Roman" w:hAnsi="Times New Roman"/>
          <w:sz w:val="24"/>
          <w:szCs w:val="24"/>
          <w:rtl w:val="0"/>
        </w:rPr>
        <w:t xml:space="preserve"> e outra em Skocpol e Somers </w:t>
      </w:r>
      <w:hyperlink r:id="rId11">
        <w:r w:rsidDel="00000000" w:rsidR="00000000" w:rsidRPr="00000000">
          <w:rPr>
            <w:rFonts w:ascii="Times New Roman" w:cs="Times New Roman" w:eastAsia="Times New Roman" w:hAnsi="Times New Roman"/>
            <w:sz w:val="24"/>
            <w:szCs w:val="24"/>
            <w:rtl w:val="0"/>
          </w:rPr>
          <w:t xml:space="preserve">(Skocpol e Somers, 1980)</w:t>
        </w:r>
      </w:hyperlink>
      <w:r w:rsidDel="00000000" w:rsidR="00000000" w:rsidRPr="00000000">
        <w:rPr>
          <w:rFonts w:ascii="Times New Roman" w:cs="Times New Roman" w:eastAsia="Times New Roman" w:hAnsi="Times New Roman"/>
          <w:sz w:val="24"/>
          <w:szCs w:val="24"/>
          <w:rtl w:val="0"/>
        </w:rPr>
        <w:t xml:space="preserve">, especialmente naqueles que enfatizam o caráter histórico das comparações. De sua parte, Tilly destaca “grandes comparações” sem enfatizar uma discussão de causalidade </w:t>
      </w:r>
      <w:hyperlink r:id="rId12">
        <w:r w:rsidDel="00000000" w:rsidR="00000000" w:rsidRPr="00000000">
          <w:rPr>
            <w:rFonts w:ascii="Times New Roman" w:cs="Times New Roman" w:eastAsia="Times New Roman" w:hAnsi="Times New Roman"/>
            <w:sz w:val="24"/>
            <w:szCs w:val="24"/>
            <w:rtl w:val="0"/>
          </w:rPr>
          <w:t xml:space="preserve">(Tilly, 1984)</w:t>
        </w:r>
      </w:hyperlink>
      <w:r w:rsidDel="00000000" w:rsidR="00000000" w:rsidRPr="00000000">
        <w:rPr>
          <w:rFonts w:ascii="Times New Roman" w:cs="Times New Roman" w:eastAsia="Times New Roman" w:hAnsi="Times New Roman"/>
          <w:sz w:val="24"/>
          <w:szCs w:val="24"/>
          <w:rtl w:val="0"/>
        </w:rPr>
        <w:t xml:space="preserve">. O autor propõe quatro tipos de comparação: universalizantes, de busca de variação, abrangentes e individualizantes. Nesta investigação elas serão utilizadas como estratégias para diferentes questões de pesquisa e escalas analíticas específicas, dividindo-se o “caso brasileiro” da desindustrialização em subcasos de forma a responder às distintas problemáticas.</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primeiro lugar, pretende-se realizar comparações universalizantes, orientadas a compreender a similaridade fundamental entre casos distintos </w:t>
      </w:r>
      <w:hyperlink r:id="rId13">
        <w:r w:rsidDel="00000000" w:rsidR="00000000" w:rsidRPr="00000000">
          <w:rPr>
            <w:rFonts w:ascii="Times New Roman" w:cs="Times New Roman" w:eastAsia="Times New Roman" w:hAnsi="Times New Roman"/>
            <w:sz w:val="24"/>
            <w:szCs w:val="24"/>
            <w:rtl w:val="0"/>
          </w:rPr>
          <w:t xml:space="preserve">(Tilly, 1984, p. 83)</w:t>
        </w:r>
      </w:hyperlink>
      <w:r w:rsidDel="00000000" w:rsidR="00000000" w:rsidRPr="00000000">
        <w:rPr>
          <w:rFonts w:ascii="Times New Roman" w:cs="Times New Roman" w:eastAsia="Times New Roman" w:hAnsi="Times New Roman"/>
          <w:sz w:val="24"/>
          <w:szCs w:val="24"/>
          <w:rtl w:val="0"/>
        </w:rPr>
        <w:t xml:space="preserve">. Respondem as perguntas: o que há de comum nos processos de desindustrialização brasileiro ocorridos aproximadamente de 1961 a 1967, 1986 a 1998 e de 2004</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em diante (B, E e G, cf. figura 2 abaixo)? Os períodos precedentes, de ciclos de industrialização ou estabilidade (A, C, D e F, cf. figura 2 abaixo), possuem similaridades que explicam os desenvolvimentos futuros?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periodização da trajetória industrial brasileira</w:t>
      </w:r>
    </w:p>
    <w:p w:rsidR="00000000" w:rsidDel="00000000" w:rsidP="00000000" w:rsidRDefault="00000000" w:rsidRPr="00000000" w14:paraId="0000000D">
      <w:pPr>
        <w:spacing w:line="360" w:lineRule="auto"/>
        <w:ind w:firstLine="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27971"/>
            <wp:effectExtent b="0" l="0" r="0" t="0"/>
            <wp:docPr id="1" name="image1.png"/>
            <a:graphic>
              <a:graphicData uri="http://schemas.openxmlformats.org/drawingml/2006/picture">
                <pic:pic>
                  <pic:nvPicPr>
                    <pic:cNvPr id="0" name="image1.png"/>
                    <pic:cNvPicPr preferRelativeResize="0"/>
                  </pic:nvPicPr>
                  <pic:blipFill>
                    <a:blip r:embed="rId14"/>
                    <a:srcRect b="0" l="0" r="0" t="2272"/>
                    <a:stretch>
                      <a:fillRect/>
                    </a:stretch>
                  </pic:blipFill>
                  <pic:spPr>
                    <a:xfrm>
                      <a:off x="0" y="0"/>
                      <a:ext cx="5943600" cy="352797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Adaptado a partir de Morceiro </w:t>
      </w:r>
      <w:hyperlink r:id="rId15">
        <w:r w:rsidDel="00000000" w:rsidR="00000000" w:rsidRPr="00000000">
          <w:rPr>
            <w:rFonts w:ascii="Times New Roman" w:cs="Times New Roman" w:eastAsia="Times New Roman" w:hAnsi="Times New Roman"/>
            <w:sz w:val="20"/>
            <w:szCs w:val="20"/>
            <w:rtl w:val="0"/>
          </w:rPr>
          <w:t xml:space="preserve">(2021)</w:t>
        </w:r>
      </w:hyperlink>
      <w:r w:rsidDel="00000000" w:rsidR="00000000" w:rsidRPr="00000000">
        <w:rPr>
          <w:rtl w:val="0"/>
        </w:rPr>
      </w:r>
    </w:p>
    <w:p w:rsidR="00000000" w:rsidDel="00000000" w:rsidP="00000000" w:rsidRDefault="00000000" w:rsidRPr="00000000" w14:paraId="0000000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segundo lugar, serão são enfocadas as comparações em busca de variação, a partir das quais tenta-se identificar um princípio de variação, na intensidade ou tipo, de um mesmo fenômeno </w:t>
      </w:r>
      <w:hyperlink r:id="rId16">
        <w:r w:rsidDel="00000000" w:rsidR="00000000" w:rsidRPr="00000000">
          <w:rPr>
            <w:rFonts w:ascii="Times New Roman" w:cs="Times New Roman" w:eastAsia="Times New Roman" w:hAnsi="Times New Roman"/>
            <w:sz w:val="24"/>
            <w:szCs w:val="24"/>
            <w:rtl w:val="0"/>
          </w:rPr>
          <w:t xml:space="preserve">(Tilly, 1984, p. 83)</w:t>
        </w:r>
      </w:hyperlink>
      <w:r w:rsidDel="00000000" w:rsidR="00000000" w:rsidRPr="00000000">
        <w:rPr>
          <w:rFonts w:ascii="Times New Roman" w:cs="Times New Roman" w:eastAsia="Times New Roman" w:hAnsi="Times New Roman"/>
          <w:sz w:val="24"/>
          <w:szCs w:val="24"/>
          <w:rtl w:val="0"/>
        </w:rPr>
        <w:t xml:space="preserve">. Pergunta-se, então, qual a variação entre subsetores industriais distintos (transformação, construção e extrativo) diante das mesmas políticas públicas, contexto político e cenário macroeconômico? Como a variação institucional entre estados brasileiros líderes industriais (São Paulo e Rio de Janeiro) explica mudanças na sua participação na indústria nacional nos mesmos períodos? </w:t>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a investigação mobilizará comparações abrangentes, que buscam estabelecer as relações entre os casos como pertencente a um mesmo sistema a partir de suas posições e características </w:t>
      </w:r>
      <w:hyperlink r:id="rId17">
        <w:r w:rsidDel="00000000" w:rsidR="00000000" w:rsidRPr="00000000">
          <w:rPr>
            <w:rFonts w:ascii="Times New Roman" w:cs="Times New Roman" w:eastAsia="Times New Roman" w:hAnsi="Times New Roman"/>
            <w:sz w:val="24"/>
            <w:szCs w:val="24"/>
            <w:rtl w:val="0"/>
          </w:rPr>
          <w:t xml:space="preserve">(Tilly, 1984, p. 84)</w:t>
        </w:r>
      </w:hyperlink>
      <w:r w:rsidDel="00000000" w:rsidR="00000000" w:rsidRPr="00000000">
        <w:rPr>
          <w:rFonts w:ascii="Times New Roman" w:cs="Times New Roman" w:eastAsia="Times New Roman" w:hAnsi="Times New Roman"/>
          <w:sz w:val="24"/>
          <w:szCs w:val="24"/>
          <w:rtl w:val="0"/>
        </w:rPr>
        <w:t xml:space="preserve">. Tais comparações aqui se refletem na pergunta: como territórios produtivos passando por dinâmicas opostas (ABC Paulista e Sul Fluminense) se relacionam enquanto parte de uma mesma reorganização da indústria nacional?</w:t>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das três estratégias mencionadas acima, há as comparações individualizantes. Estas são comparações que visam identificar a especificidade de um caso frente a um fenômeno </w:t>
      </w:r>
      <w:hyperlink r:id="rId18">
        <w:r w:rsidDel="00000000" w:rsidR="00000000" w:rsidRPr="00000000">
          <w:rPr>
            <w:rFonts w:ascii="Times New Roman" w:cs="Times New Roman" w:eastAsia="Times New Roman" w:hAnsi="Times New Roman"/>
            <w:sz w:val="24"/>
            <w:szCs w:val="24"/>
            <w:rtl w:val="0"/>
          </w:rPr>
          <w:t xml:space="preserve">(Tilly, 1984, p. 83)</w:t>
        </w:r>
      </w:hyperlink>
      <w:r w:rsidDel="00000000" w:rsidR="00000000" w:rsidRPr="00000000">
        <w:rPr>
          <w:rFonts w:ascii="Times New Roman" w:cs="Times New Roman" w:eastAsia="Times New Roman" w:hAnsi="Times New Roman"/>
          <w:sz w:val="24"/>
          <w:szCs w:val="24"/>
          <w:rtl w:val="0"/>
        </w:rPr>
        <w:t xml:space="preserve">. Apesar de não ser mobilizada aqui em nenhum dos casos, na prática, o conjunto deste trabalho, baseado no diálogo das três outras comparações, visa produzir em parte um olhar detido sobre o caso brasileiro que pode ser lido como uma tentativa de elaborar sua especificidade. Cada uma das lógicas acima se reflete prioritariamente, portanto, em uma escala analítica prioritária (nacional, estadual, sub-regional) ou na integração destas.</w:t>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à definição de Tilly, Skocpol e Somers </w:t>
      </w:r>
      <w:hyperlink r:id="rId19">
        <w:r w:rsidDel="00000000" w:rsidR="00000000" w:rsidRPr="00000000">
          <w:rPr>
            <w:rFonts w:ascii="Times New Roman" w:cs="Times New Roman" w:eastAsia="Times New Roman" w:hAnsi="Times New Roman"/>
            <w:sz w:val="24"/>
            <w:szCs w:val="24"/>
            <w:rtl w:val="0"/>
          </w:rPr>
          <w:t xml:space="preserve">(1980)</w:t>
        </w:r>
      </w:hyperlink>
      <w:r w:rsidDel="00000000" w:rsidR="00000000" w:rsidRPr="00000000">
        <w:rPr>
          <w:rFonts w:ascii="Times New Roman" w:cs="Times New Roman" w:eastAsia="Times New Roman" w:hAnsi="Times New Roman"/>
          <w:sz w:val="24"/>
          <w:szCs w:val="24"/>
          <w:rtl w:val="0"/>
        </w:rPr>
        <w:t xml:space="preserve"> elaboraram uma tipologia baseada em três estratégias comparativas. A primeira diz respeito às estratégias de demonstração paralela, nas quais dada teoria é identificada e tenta-se demonstrar sua aplicabilidade a mais de um caso. É similar à lógica universalizante de Tilly, apesar desta última enfatizar mais o caráter indutivo ao passo que a demonstração paralela enfatiza o caráter dedutivo. A segunda remete às estratégias de contraste de contextos, onde o objetivo é identificar a especificidade de um caso, sendo assim similares à lógica individualizante. A terceira são análises macro-causais, nas quais o se busca identificar configurações causais que produzem dados resultados, seja através da similaridade dos casos ou sua diferença. São similares por vezes às lógicas de universalização, novamente, ou de busca de variação, respectivamente.</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terceira estratégia, a macro-causal, portanto, se aproxima mais claramente da estratégia desta investigação. Tal análise macro-causal é bastante identificada com a sociologia histórica </w:t>
      </w:r>
      <w:hyperlink r:id="rId20">
        <w:r w:rsidDel="00000000" w:rsidR="00000000" w:rsidRPr="00000000">
          <w:rPr>
            <w:rFonts w:ascii="Times New Roman" w:cs="Times New Roman" w:eastAsia="Times New Roman" w:hAnsi="Times New Roman"/>
            <w:sz w:val="24"/>
            <w:szCs w:val="24"/>
            <w:rtl w:val="0"/>
          </w:rPr>
          <w:t xml:space="preserve">(Skocpol, 1984b)</w:t>
        </w:r>
      </w:hyperlink>
      <w:r w:rsidDel="00000000" w:rsidR="00000000" w:rsidRPr="00000000">
        <w:rPr>
          <w:rFonts w:ascii="Times New Roman" w:cs="Times New Roman" w:eastAsia="Times New Roman" w:hAnsi="Times New Roman"/>
          <w:sz w:val="24"/>
          <w:szCs w:val="24"/>
          <w:rtl w:val="0"/>
        </w:rPr>
        <w:t xml:space="preserve"> e com a análise histórico comparativa </w:t>
      </w:r>
      <w:hyperlink r:id="rId21">
        <w:r w:rsidDel="00000000" w:rsidR="00000000" w:rsidRPr="00000000">
          <w:rPr>
            <w:rFonts w:ascii="Times New Roman" w:cs="Times New Roman" w:eastAsia="Times New Roman" w:hAnsi="Times New Roman"/>
            <w:sz w:val="24"/>
            <w:szCs w:val="24"/>
            <w:rtl w:val="0"/>
          </w:rPr>
          <w:t xml:space="preserve">(Mahoney e Rueschemeyer, 2003)</w:t>
        </w:r>
      </w:hyperlink>
      <w:r w:rsidDel="00000000" w:rsidR="00000000" w:rsidRPr="00000000">
        <w:rPr>
          <w:rFonts w:ascii="Times New Roman" w:cs="Times New Roman" w:eastAsia="Times New Roman" w:hAnsi="Times New Roman"/>
          <w:sz w:val="24"/>
          <w:szCs w:val="24"/>
          <w:rtl w:val="0"/>
        </w:rPr>
        <w:t xml:space="preserve">. Ela apresenta com frequência dois desenhos de pesquisa comuns em estudos comparativos e que servem de auxílio para a seleção de casos: a seleção de casos mais similares e a seleção de casos mais diferentes </w:t>
      </w:r>
      <w:hyperlink r:id="rId22">
        <w:r w:rsidDel="00000000" w:rsidR="00000000" w:rsidRPr="00000000">
          <w:rPr>
            <w:rFonts w:ascii="Times New Roman" w:cs="Times New Roman" w:eastAsia="Times New Roman" w:hAnsi="Times New Roman"/>
            <w:sz w:val="24"/>
            <w:szCs w:val="24"/>
            <w:rtl w:val="0"/>
          </w:rPr>
          <w:t xml:space="preserve">(Skocpol e Somers, 1980)</w:t>
        </w:r>
      </w:hyperlink>
      <w:r w:rsidDel="00000000" w:rsidR="00000000" w:rsidRPr="00000000">
        <w:rPr>
          <w:rFonts w:ascii="Times New Roman" w:cs="Times New Roman" w:eastAsia="Times New Roman" w:hAnsi="Times New Roman"/>
          <w:sz w:val="24"/>
          <w:szCs w:val="24"/>
          <w:rtl w:val="0"/>
        </w:rPr>
        <w:t xml:space="preserve">. Esse desenho é baseado na obra de Stuart Mill, </w:t>
      </w:r>
      <w:r w:rsidDel="00000000" w:rsidR="00000000" w:rsidRPr="00000000">
        <w:rPr>
          <w:rFonts w:ascii="Times New Roman" w:cs="Times New Roman" w:eastAsia="Times New Roman" w:hAnsi="Times New Roman"/>
          <w:i w:val="1"/>
          <w:iCs w:val="1"/>
          <w:sz w:val="24"/>
          <w:szCs w:val="24"/>
          <w:rtl w:val="0"/>
        </w:rPr>
        <w:t xml:space="preserve">A System of Logic</w:t>
      </w:r>
      <w:r w:rsidDel="00000000" w:rsidR="00000000" w:rsidRPr="00000000">
        <w:rPr>
          <w:rFonts w:ascii="Times New Roman" w:cs="Times New Roman" w:eastAsia="Times New Roman" w:hAnsi="Times New Roman"/>
          <w:sz w:val="24"/>
          <w:szCs w:val="24"/>
          <w:rtl w:val="0"/>
        </w:rPr>
        <w:t xml:space="preserve">, e reflete a preocupação de um conjunto de autores com o elemento da causalidade, às vezes denominado uma configuração causal. Sua proposição é que casos para comparação deveriam ser selecionados quando tivessem resultados – a variável dependente – similares e compartilhassem apenas uma característica – a variável independente – essencial. Ou, alternativamente, quando tivessem resultados distintos, mas compartilhassem de todas menos uma característica essencial. A identificação dessas características chave permitiria ao pesquisador elaborar a análise das causas necessárias e suficientes para o fenômeno investigado.</w:t>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da ampla defesa desse critério de seleção nos estudos histórico-comparativos, é raro que estudos de fato consigam atingir esses critérios estritos </w:t>
      </w:r>
      <w:hyperlink r:id="rId23">
        <w:r w:rsidDel="00000000" w:rsidR="00000000" w:rsidRPr="00000000">
          <w:rPr>
            <w:rFonts w:ascii="Times New Roman" w:cs="Times New Roman" w:eastAsia="Times New Roman" w:hAnsi="Times New Roman"/>
            <w:sz w:val="24"/>
            <w:szCs w:val="24"/>
            <w:rtl w:val="0"/>
          </w:rPr>
          <w:t xml:space="preserve">(Anckar, 2008)</w:t>
        </w:r>
      </w:hyperlink>
      <w:r w:rsidDel="00000000" w:rsidR="00000000" w:rsidRPr="00000000">
        <w:rPr>
          <w:rFonts w:ascii="Times New Roman" w:cs="Times New Roman" w:eastAsia="Times New Roman" w:hAnsi="Times New Roman"/>
          <w:sz w:val="24"/>
          <w:szCs w:val="24"/>
          <w:rtl w:val="0"/>
        </w:rPr>
        <w:t xml:space="preserve">. A seleção de casos “mais similares” ou “mais diferentes” é uma flexibilização dessa regra de forma a permitir a análise </w:t>
      </w:r>
      <w:hyperlink r:id="rId24">
        <w:r w:rsidDel="00000000" w:rsidR="00000000" w:rsidRPr="00000000">
          <w:rPr>
            <w:rFonts w:ascii="Times New Roman" w:cs="Times New Roman" w:eastAsia="Times New Roman" w:hAnsi="Times New Roman"/>
            <w:sz w:val="24"/>
            <w:szCs w:val="24"/>
            <w:rtl w:val="0"/>
          </w:rPr>
          <w:t xml:space="preserve">(Perissinotto, 2023a)</w:t>
        </w:r>
      </w:hyperlink>
      <w:r w:rsidDel="00000000" w:rsidR="00000000" w:rsidRPr="00000000">
        <w:rPr>
          <w:rFonts w:ascii="Times New Roman" w:cs="Times New Roman" w:eastAsia="Times New Roman" w:hAnsi="Times New Roman"/>
          <w:sz w:val="24"/>
          <w:szCs w:val="24"/>
          <w:rtl w:val="0"/>
        </w:rPr>
        <w:t xml:space="preserve">. De toda forma, continua improvável que os casos realmente sejam os mais similares ou mais distintos possíveis </w:t>
      </w:r>
      <w:hyperlink r:id="rId25">
        <w:r w:rsidDel="00000000" w:rsidR="00000000" w:rsidRPr="00000000">
          <w:rPr>
            <w:rFonts w:ascii="Times New Roman" w:cs="Times New Roman" w:eastAsia="Times New Roman" w:hAnsi="Times New Roman"/>
            <w:sz w:val="24"/>
            <w:szCs w:val="24"/>
            <w:rtl w:val="0"/>
          </w:rPr>
          <w:t xml:space="preserve">(Perissinotto, 2023b)</w:t>
        </w:r>
      </w:hyperlink>
      <w:r w:rsidDel="00000000" w:rsidR="00000000" w:rsidRPr="00000000">
        <w:rPr>
          <w:rFonts w:ascii="Times New Roman" w:cs="Times New Roman" w:eastAsia="Times New Roman" w:hAnsi="Times New Roman"/>
          <w:sz w:val="24"/>
          <w:szCs w:val="24"/>
          <w:rtl w:val="0"/>
        </w:rPr>
        <w:t xml:space="preserve">. Adicionalmente, o método apresenta limitações no que concerne fenômenos com configurações multi causais – isto é, em que diversas causas se combinam para um mesmo resultado. Como resposta a necessidade de comparação baseada na combinação de várias causas (i.e. variáveis independentes), alguns autores propuseram o método QCA </w:t>
      </w:r>
      <w:hyperlink r:id="rId26">
        <w:r w:rsidDel="00000000" w:rsidR="00000000" w:rsidRPr="00000000">
          <w:rPr>
            <w:rFonts w:ascii="Times New Roman" w:cs="Times New Roman" w:eastAsia="Times New Roman" w:hAnsi="Times New Roman"/>
            <w:sz w:val="24"/>
            <w:szCs w:val="24"/>
            <w:rtl w:val="0"/>
          </w:rPr>
          <w:t xml:space="preserve">(Ragin, 2014; Rihoux e Ragin, 2009)</w:t>
        </w:r>
      </w:hyperlink>
      <w:r w:rsidDel="00000000" w:rsidR="00000000" w:rsidRPr="00000000">
        <w:rPr>
          <w:rFonts w:ascii="Times New Roman" w:cs="Times New Roman" w:eastAsia="Times New Roman" w:hAnsi="Times New Roman"/>
          <w:sz w:val="24"/>
          <w:szCs w:val="24"/>
          <w:rtl w:val="0"/>
        </w:rPr>
        <w:t xml:space="preserve">, mas este exige ou a ampliação do número de casos (o que nem sempre é possível) ou o foco em menos variáveis (o que nem é sempre desejável).</w:t>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técnicas inspiradas em Mill também são desafiadas por fenômenos que podem possuir causas distintas com o mesmo resultado </w:t>
      </w:r>
      <w:hyperlink r:id="rId27">
        <w:r w:rsidDel="00000000" w:rsidR="00000000" w:rsidRPr="00000000">
          <w:rPr>
            <w:rFonts w:ascii="Times New Roman" w:cs="Times New Roman" w:eastAsia="Times New Roman" w:hAnsi="Times New Roman"/>
            <w:sz w:val="24"/>
            <w:szCs w:val="24"/>
            <w:rtl w:val="0"/>
          </w:rPr>
          <w:t xml:space="preserve">(Bennett e Checkel, 2015, p. 201)</w:t>
        </w:r>
      </w:hyperlink>
      <w:r w:rsidDel="00000000" w:rsidR="00000000" w:rsidRPr="00000000">
        <w:rPr>
          <w:rFonts w:ascii="Times New Roman" w:cs="Times New Roman" w:eastAsia="Times New Roman" w:hAnsi="Times New Roman"/>
          <w:sz w:val="24"/>
          <w:szCs w:val="24"/>
          <w:rtl w:val="0"/>
        </w:rPr>
        <w:t xml:space="preserve"> e quando há forte interação de variáveis </w:t>
      </w:r>
      <w:hyperlink r:id="rId28">
        <w:r w:rsidDel="00000000" w:rsidR="00000000" w:rsidRPr="00000000">
          <w:rPr>
            <w:rFonts w:ascii="Times New Roman" w:cs="Times New Roman" w:eastAsia="Times New Roman" w:hAnsi="Times New Roman"/>
            <w:sz w:val="24"/>
            <w:szCs w:val="24"/>
            <w:rtl w:val="0"/>
          </w:rPr>
          <w:t xml:space="preserve">(Mahoney, 2003)</w:t>
        </w:r>
      </w:hyperlink>
      <w:r w:rsidDel="00000000" w:rsidR="00000000" w:rsidRPr="00000000">
        <w:rPr>
          <w:rFonts w:ascii="Times New Roman" w:cs="Times New Roman" w:eastAsia="Times New Roman" w:hAnsi="Times New Roman"/>
          <w:sz w:val="24"/>
          <w:szCs w:val="24"/>
          <w:rtl w:val="0"/>
        </w:rPr>
        <w:t xml:space="preserve">. Há ainda a questão de que o recorte temporal pode alterar a definição da variável resultante ou o fato das variáveis causais não terem presença homogênea no tempo. Por exemplo, em contraste com países da Europa Ocidental e EUA, até meados dos anos 1980 o Brasil poderia ser entendido como um caso negativo de desindustrialização. Posteriormente, podemos classificá-lo como um caso positivo. Cabe então integrá-lo como um caso caracterizado por variáveis muito distintas e resultado semelhante – desindustrialização –, assumindo recortes temporais distintos para cada país? Ou tratá-lo como um caso de resultado distinto de outros países – industrialização – , mantendo o mesmo recorte temporal, incompleto no caso brasileiro, para todos os casos?</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variáveis dependentes contínuas complexificam o problema de definição de até que ponto as diferenças de intensidade em um fenômeno consistem em resultados distintos. Todas as condições acima se aplicam fortemente ao estudo da desindustrialização. A tabela 3 abaixo resume alguns dos problemas lógicos do uso de similaridades e diferenças sem análise de processos.</w:t>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será discutido a frente, técnicas de rastreamento de processo são bons recursos para compensar essas dificuldades sem sair do escopo de pesquisas de amostragens pequenas. São particularmente adequadas para análises históricas dada sua capacidade de reconstituir sequências temporais, que são as unidades de análise e comparação. Tais técnicas ajudam na medida em que permitem indutivamente identificar possíveis variáveis omissas do caso ou verificar dedutivamente a causalidade de uma variável para o resultado, sem necessariamente identificá-la como a única variável distinta ou similar entre casos </w:t>
      </w:r>
      <w:hyperlink r:id="rId29">
        <w:r w:rsidDel="00000000" w:rsidR="00000000" w:rsidRPr="00000000">
          <w:rPr>
            <w:rFonts w:ascii="Times New Roman" w:cs="Times New Roman" w:eastAsia="Times New Roman" w:hAnsi="Times New Roman"/>
            <w:sz w:val="24"/>
            <w:szCs w:val="24"/>
            <w:rtl w:val="0"/>
          </w:rPr>
          <w:t xml:space="preserve">(Bennett e Checkel, 2015; George e Bennett, 2005; Mahoney, 2015)</w:t>
        </w:r>
      </w:hyperlink>
      <w:r w:rsidDel="00000000" w:rsidR="00000000" w:rsidRPr="00000000">
        <w:rPr>
          <w:rFonts w:ascii="Times New Roman" w:cs="Times New Roman" w:eastAsia="Times New Roman" w:hAnsi="Times New Roman"/>
          <w:sz w:val="24"/>
          <w:szCs w:val="24"/>
          <w:rtl w:val="0"/>
        </w:rPr>
        <w:t xml:space="preserve">. É baseado nessa premissa de que se fez a seleção de casos a partir da variável dependente – o processo de desindustrialização –, com fins de ressaltar aspectos e dinâmicas mais importantes do fenômeno a ser analisado. Isso não implica descarte da tentativa de uso, dentro do possível, de maior similaridade ou maior diferença, mas sim sua flexibilização necessária.</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3: problemas lógicos na seleção de casos mais similares e distintos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1500"/>
        <w:gridCol w:w="4695"/>
        <w:tblGridChange w:id="0">
          <w:tblGrid>
            <w:gridCol w:w="3165"/>
            <w:gridCol w:w="1500"/>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Configurações de causas e efeitos</w:t>
            </w:r>
          </w:p>
          <w:p w:rsidR="00000000" w:rsidDel="00000000" w:rsidP="00000000" w:rsidRDefault="00000000" w:rsidRPr="00000000" w14:paraId="0000001C">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Entre ( ) estão elementos causais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 B) + C + D --&gt; X</w:t>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 E) + F + G --&gt;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Múltiplas causas para um mesmo 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causa A está presente em duas configurações que possuem o mesmo resultado. Ela é influente para este, mas via rastreamento de processos podemos determinar que B e E são também influentes para a o mesmo efeito (são causas distintas do mesmo fenômeno, mas não compartilhadas nos casos)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 B) + C + D --&gt; X</w:t>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 E) + C + D –&gt;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Interação de variáveis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causa A é presente em configurações com resultados distintos, mas não é irrelevante para estes, como C ou D. Na verdade A causa X OU Y a depender de sua combinação com B ou E (que isoladamente podem não ter efeito em X ou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360" w:lineRule="auto"/>
              <w:ind w:firstLine="72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 + B + C → X</w:t>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 + E + C →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Causas distintas para um mesmo fenômeno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e D são causas distintas do mesmo fenômeno. Repare que a presença de C em ambas as configurações não obriga esta a ser causa. A e D representam múltiplos caminhos para o mesmo resultado</w:t>
            </w:r>
          </w:p>
        </w:tc>
      </w:tr>
    </w:tbl>
    <w:p w:rsidR="00000000" w:rsidDel="00000000" w:rsidP="00000000" w:rsidRDefault="00000000" w:rsidRPr="00000000" w14:paraId="0000002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autoria própria</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é importante notar que a seleção de casos (ou construção desses) seguem estratégias distintas. Para as primeiras comparações, são considerados recortes temporais de uma mesma sequência, o que implica observação da influência de um caso no outro sempre numa mesma direção, do passado ao presente. Para as comparações entre estados, as duas sequências temporais são comparadas como independentes e paralelas entre si. Para o caso das sub-regiões se inverte a lógica e a ênfase é no aspecto relacional dos dois casos. A tabela 4 abaixo resume os casos e suas percebidas similaridades e diferenças.</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4: casos analíticos e estratégia de seleção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550"/>
        <w:gridCol w:w="4800"/>
        <w:tblGridChange w:id="0">
          <w:tblGrid>
            <w:gridCol w:w="2010"/>
            <w:gridCol w:w="2550"/>
            <w:gridCol w:w="4800"/>
          </w:tblGrid>
        </w:tblGridChange>
      </w:tblGrid>
      <w:tr>
        <w:trPr>
          <w:cantSplit w:val="0"/>
          <w:tblHeader w:val="0"/>
        </w:trPr>
        <w:tc>
          <w:tcPr>
            <w:tcBorders>
              <w:top w:color="000000" w:space="0" w:sz="12" w:val="single"/>
              <w:left w:color="000000" w:space="0" w:sz="12" w:val="single"/>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w:t>
            </w:r>
          </w:p>
        </w:tc>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Similaridades relevantes</w:t>
            </w:r>
          </w:p>
        </w:tc>
        <w:tc>
          <w:tcPr>
            <w:tcBorders>
              <w:top w:color="000000" w:space="0" w:sz="12" w:val="single"/>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Diferenças Relevantes</w:t>
            </w:r>
          </w:p>
        </w:tc>
      </w:tr>
      <w:tr>
        <w:trPr>
          <w:cantSplit w:val="0"/>
          <w:trHeight w:val="440" w:hRule="atLeast"/>
          <w:tblHeader w:val="0"/>
        </w:trPr>
        <w:tc>
          <w:tcPr>
            <w:tcBorders>
              <w:top w:color="000000" w:space="0" w:sz="12" w:val="single"/>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Brasil 1961-1967</w:t>
            </w:r>
          </w:p>
        </w:tc>
        <w:tc>
          <w:tcPr>
            <w:vMerge w:val="restart"/>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Desindustrialização</w:t>
            </w:r>
          </w:p>
        </w:tc>
        <w:tc>
          <w:tcPr>
            <w:tcBorders>
              <w:top w:color="000000" w:space="0" w:sz="12" w:val="single"/>
              <w:left w:color="000000" w:space="0" w:sz="0" w:val="nil"/>
              <w:bottom w:color="000000" w:space="0" w:sz="0" w:val="nil"/>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Transição de democracia para ditadura, governos de matiz ideológica alternante, forte crise econômica</w:t>
            </w:r>
          </w:p>
        </w:tc>
      </w:tr>
      <w:tr>
        <w:trPr>
          <w:cantSplit w:val="0"/>
          <w:trHeight w:val="44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Brasil 1986-1998</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Transição de ditadura para democracia, governos de centro direita, crise inflacionária</w:t>
            </w:r>
          </w:p>
        </w:tc>
      </w:tr>
      <w:tr>
        <w:trPr>
          <w:cantSplit w:val="0"/>
          <w:trHeight w:val="440" w:hRule="atLeast"/>
          <w:tblHeader w:val="0"/>
        </w:trPr>
        <w:tc>
          <w:tcPr>
            <w:tcBorders>
              <w:top w:color="000000" w:space="0" w:sz="0" w:val="nil"/>
              <w:left w:color="000000" w:space="0" w:sz="12" w:val="single"/>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Brasil 2004-2023</w:t>
            </w:r>
          </w:p>
        </w:tc>
        <w:tc>
          <w:tcPr>
            <w:vMerge w:val="continue"/>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Democracia, contexto neoliberal, governos de centro esquerda, estabilidade e crescimento econômico</w:t>
            </w:r>
          </w:p>
        </w:tc>
      </w:tr>
      <w:tr>
        <w:trPr>
          <w:cantSplit w:val="0"/>
          <w:trHeight w:val="440" w:hRule="atLeast"/>
          <w:tblHeader w:val="0"/>
        </w:trPr>
        <w:tc>
          <w:tcPr>
            <w:tcBorders>
              <w:top w:color="000000" w:space="0" w:sz="12" w:val="single"/>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São Paulo</w:t>
            </w:r>
          </w:p>
        </w:tc>
        <w:tc>
          <w:tcPr>
            <w:vMerge w:val="restart"/>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Líder e antigo líder industrial, maiores economias do país, região Sudeste, urbanização e industrialização antiga para padrão brasileiro</w:t>
            </w:r>
          </w:p>
        </w:tc>
        <w:tc>
          <w:tcPr>
            <w:tcBorders>
              <w:top w:color="000000" w:space="0" w:sz="12" w:val="single"/>
              <w:left w:color="000000" w:space="0" w:sz="0" w:val="nil"/>
              <w:bottom w:color="000000" w:space="0" w:sz="0" w:val="nil"/>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Perda de importância industrial leve, manutenção de força no setor de transformação, pouca força no setor extrativo</w:t>
            </w:r>
          </w:p>
        </w:tc>
      </w:tr>
      <w:tr>
        <w:trPr>
          <w:cantSplit w:val="0"/>
          <w:trHeight w:val="440" w:hRule="atLeast"/>
          <w:tblHeader w:val="0"/>
        </w:trPr>
        <w:tc>
          <w:tcPr>
            <w:tcBorders>
              <w:top w:color="000000" w:space="0" w:sz="0" w:val="nil"/>
              <w:left w:color="000000" w:space="0" w:sz="12" w:val="single"/>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 de Janeiro</w:t>
            </w:r>
          </w:p>
        </w:tc>
        <w:tc>
          <w:tcPr>
            <w:vMerge w:val="continue"/>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Forte perda de importância industrial, perda de força no setor de transformação e crescimento no setor extrativo</w:t>
            </w:r>
          </w:p>
        </w:tc>
      </w:tr>
      <w:tr>
        <w:trPr>
          <w:cantSplit w:val="0"/>
          <w:tblHeader w:val="0"/>
        </w:trPr>
        <w:tc>
          <w:tcPr>
            <w:tcBorders>
              <w:top w:color="000000" w:space="0" w:sz="12" w:val="single"/>
              <w:left w:color="000000" w:space="0" w:sz="12" w:val="single"/>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ABC paulista</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Sul fluminense</w:t>
            </w:r>
          </w:p>
        </w:tc>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Importância do setor automotivo</w:t>
            </w:r>
          </w:p>
        </w:tc>
        <w:tc>
          <w:tcPr>
            <w:tcBorders>
              <w:top w:color="000000" w:space="0" w:sz="12" w:val="single"/>
              <w:left w:color="000000" w:space="0" w:sz="0" w:val="nil"/>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Dinâmica de velhos e novos territórios produtivos</w:t>
            </w:r>
          </w:p>
        </w:tc>
      </w:tr>
    </w:tbl>
    <w:p w:rsidR="00000000" w:rsidDel="00000000" w:rsidP="00000000" w:rsidRDefault="00000000" w:rsidRPr="00000000" w14:paraId="0000004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autoria própria</w:t>
      </w:r>
    </w:p>
    <w:p w:rsidR="00000000" w:rsidDel="00000000" w:rsidP="00000000" w:rsidRDefault="00000000" w:rsidRPr="00000000" w14:paraId="0000004C">
      <w:pPr>
        <w:pStyle w:val="Heading2"/>
        <w:spacing w:before="400" w:line="360" w:lineRule="auto"/>
        <w:jc w:val="both"/>
        <w:rPr>
          <w:rFonts w:ascii="Times New Roman" w:cs="Times New Roman" w:eastAsia="Times New Roman" w:hAnsi="Times New Roman"/>
          <w:b w:val="1"/>
          <w:bCs w:val="1"/>
          <w:sz w:val="24"/>
          <w:szCs w:val="24"/>
        </w:rPr>
      </w:pPr>
      <w:bookmarkStart w:colFirst="0" w:colLast="0" w:name="_cfk5sp3ael0h" w:id="2"/>
      <w:bookmarkEnd w:id="2"/>
      <w:r w:rsidDel="00000000" w:rsidR="00000000" w:rsidRPr="00000000">
        <w:rPr>
          <w:rFonts w:ascii="Times New Roman" w:cs="Times New Roman" w:eastAsia="Times New Roman" w:hAnsi="Times New Roman"/>
          <w:b w:val="1"/>
          <w:bCs w:val="1"/>
          <w:sz w:val="24"/>
          <w:szCs w:val="24"/>
          <w:rtl w:val="0"/>
        </w:rPr>
        <w:t xml:space="preserve">2. Rastreamento de Processos e a comparação de sequências</w:t>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uso de rastreamento de processos no âmbito sociologia histórica torna central a discussão a respeito de análises de sequências ou análises narrativas </w:t>
      </w:r>
      <w:hyperlink r:id="rId30">
        <w:r w:rsidDel="00000000" w:rsidR="00000000" w:rsidRPr="00000000">
          <w:rPr>
            <w:rFonts w:ascii="Times New Roman" w:cs="Times New Roman" w:eastAsia="Times New Roman" w:hAnsi="Times New Roman"/>
            <w:sz w:val="24"/>
            <w:szCs w:val="24"/>
            <w:rtl w:val="0"/>
          </w:rPr>
          <w:t xml:space="preserve">(Abbott, 1983, 1984, 1990; Abell, 2004; Clemens, 2007; Mahoney e Falleti, 2015)</w:t>
        </w:r>
      </w:hyperlink>
      <w:r w:rsidDel="00000000" w:rsidR="00000000" w:rsidRPr="00000000">
        <w:rPr>
          <w:rFonts w:ascii="Times New Roman" w:cs="Times New Roman" w:eastAsia="Times New Roman" w:hAnsi="Times New Roman"/>
          <w:sz w:val="24"/>
          <w:szCs w:val="24"/>
          <w:rtl w:val="0"/>
        </w:rPr>
        <w:t xml:space="preserve">. Esta é fundamentalmente um diálogo entre ciências sociais e história buscando combinar as lógicas de explicação centradas na temporalidade e no contexto, típicas da história, com esforços de generalização ou testagem teórica típicos das ciências sociais </w:t>
      </w:r>
      <w:hyperlink r:id="rId31">
        <w:r w:rsidDel="00000000" w:rsidR="00000000" w:rsidRPr="00000000">
          <w:rPr>
            <w:rFonts w:ascii="Times New Roman" w:cs="Times New Roman" w:eastAsia="Times New Roman" w:hAnsi="Times New Roman"/>
            <w:sz w:val="24"/>
            <w:szCs w:val="24"/>
            <w:rtl w:val="0"/>
          </w:rPr>
          <w:t xml:space="preserve">(Abbott, 1983)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Abell </w:t>
      </w:r>
      <w:hyperlink r:id="rId32">
        <w:r w:rsidDel="00000000" w:rsidR="00000000" w:rsidRPr="00000000">
          <w:rPr>
            <w:rFonts w:ascii="Times New Roman" w:cs="Times New Roman" w:eastAsia="Times New Roman" w:hAnsi="Times New Roman"/>
            <w:sz w:val="24"/>
            <w:szCs w:val="24"/>
            <w:rtl w:val="0"/>
          </w:rPr>
          <w:t xml:space="preserve">(2004)</w:t>
        </w:r>
      </w:hyperlink>
      <w:r w:rsidDel="00000000" w:rsidR="00000000" w:rsidRPr="00000000">
        <w:rPr>
          <w:rFonts w:ascii="Times New Roman" w:cs="Times New Roman" w:eastAsia="Times New Roman" w:hAnsi="Times New Roman"/>
          <w:sz w:val="24"/>
          <w:szCs w:val="24"/>
          <w:rtl w:val="0"/>
        </w:rPr>
        <w:t xml:space="preserve"> chega a argumentar que o uso de explicações narrativas constitui uma lógica distinta da explicação baseada em variáveis, indicando uma relação entre dois estados do mundo distintos conectados por arcos narrativos, a conexão causal entre esses dois estados </w:t>
      </w:r>
      <w:hyperlink r:id="rId33">
        <w:r w:rsidDel="00000000" w:rsidR="00000000" w:rsidRPr="00000000">
          <w:rPr>
            <w:rFonts w:ascii="Times New Roman" w:cs="Times New Roman" w:eastAsia="Times New Roman" w:hAnsi="Times New Roman"/>
            <w:sz w:val="24"/>
            <w:szCs w:val="24"/>
            <w:rtl w:val="0"/>
          </w:rPr>
          <w:t xml:space="preserve">(Abell, 2004, p. 1)</w:t>
        </w:r>
      </w:hyperlink>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 fato, a transição da realização de análises comparativas baseadas em configurações particulares de variáveis para aquelas preocupadas com processos históricos sinaliza uma transição nas ciências sociais para uma sociologia mais “historicizada” </w:t>
      </w:r>
      <w:hyperlink r:id="rId34">
        <w:r w:rsidDel="00000000" w:rsidR="00000000" w:rsidRPr="00000000">
          <w:rPr>
            <w:rFonts w:ascii="Times New Roman" w:cs="Times New Roman" w:eastAsia="Times New Roman" w:hAnsi="Times New Roman"/>
            <w:sz w:val="24"/>
            <w:szCs w:val="24"/>
            <w:rtl w:val="0"/>
          </w:rPr>
          <w:t xml:space="preserve">(Clemens, 2007)</w:t>
        </w:r>
      </w:hyperlink>
      <w:r w:rsidDel="00000000" w:rsidR="00000000" w:rsidRPr="00000000">
        <w:rPr>
          <w:rFonts w:ascii="Times New Roman" w:cs="Times New Roman" w:eastAsia="Times New Roman" w:hAnsi="Times New Roman"/>
          <w:sz w:val="24"/>
          <w:szCs w:val="24"/>
          <w:rtl w:val="0"/>
        </w:rPr>
        <w:t xml:space="preserve"> que dialoga com questões importantes para vertentes institucionalistas, estas preocupadas não apenas com efeitos de instituições congeladas no tempo (causa X para um resultado Y), mas sim com mecanismos de auto reprodução e de transformação institucional no tempo </w:t>
      </w:r>
      <w:hyperlink r:id="rId35">
        <w:r w:rsidDel="00000000" w:rsidR="00000000" w:rsidRPr="00000000">
          <w:rPr>
            <w:rFonts w:ascii="Times New Roman" w:cs="Times New Roman" w:eastAsia="Times New Roman" w:hAnsi="Times New Roman"/>
            <w:sz w:val="24"/>
            <w:szCs w:val="24"/>
            <w:rtl w:val="0"/>
          </w:rPr>
          <w:t xml:space="preserve">(Pierson, 2004)</w:t>
        </w:r>
      </w:hyperlink>
      <w:r w:rsidDel="00000000" w:rsidR="00000000" w:rsidRPr="00000000">
        <w:rPr>
          <w:rFonts w:ascii="Times New Roman" w:cs="Times New Roman" w:eastAsia="Times New Roman" w:hAnsi="Times New Roman"/>
          <w:sz w:val="24"/>
          <w:szCs w:val="24"/>
          <w:rtl w:val="0"/>
        </w:rPr>
        <w:t xml:space="preserve">, especialmente em seu diálogo com relações de poder </w:t>
      </w:r>
      <w:hyperlink r:id="rId36">
        <w:r w:rsidDel="00000000" w:rsidR="00000000" w:rsidRPr="00000000">
          <w:rPr>
            <w:rFonts w:ascii="Times New Roman" w:cs="Times New Roman" w:eastAsia="Times New Roman" w:hAnsi="Times New Roman"/>
            <w:sz w:val="24"/>
            <w:szCs w:val="24"/>
            <w:rtl w:val="0"/>
          </w:rPr>
          <w:t xml:space="preserve">(Thelen, 2010)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Enfatiza-se, entretanto, que isso não impede o uso destas narrativas na produção de generalização teórica ou comparação. O importante aqui é a capacidade de produzir a generalização de ocorrências específicas de uma sequência em eventos mais gerais. Assim, a análise da sequência de eventos produz categorias comparáveis a outras sequências de eventos </w:t>
      </w:r>
      <w:hyperlink r:id="rId37">
        <w:r w:rsidDel="00000000" w:rsidR="00000000" w:rsidRPr="00000000">
          <w:rPr>
            <w:rFonts w:ascii="Times New Roman" w:cs="Times New Roman" w:eastAsia="Times New Roman" w:hAnsi="Times New Roman"/>
            <w:sz w:val="24"/>
            <w:szCs w:val="24"/>
            <w:rtl w:val="0"/>
          </w:rPr>
          <w:t xml:space="preserve">(Mahoney e Falleti, 2015)</w:t>
        </w:r>
      </w:hyperlink>
      <w:r w:rsidDel="00000000" w:rsidR="00000000" w:rsidRPr="00000000">
        <w:rPr>
          <w:rFonts w:ascii="Times New Roman" w:cs="Times New Roman" w:eastAsia="Times New Roman" w:hAnsi="Times New Roman"/>
          <w:sz w:val="24"/>
          <w:szCs w:val="24"/>
          <w:rtl w:val="0"/>
        </w:rPr>
        <w:t xml:space="preserve">. Variáveis reaparecem na linguagem enquanto codificações desses eventos ou fatores externos que justamente influem sobre os arcos narrativos, mas com durações distintas, naturezas flexíveis e um leque, mesmo que institucionalmente constrangido, de possíveis respostas dos atores. Kreuzer </w:t>
      </w:r>
      <w:hyperlink r:id="rId38">
        <w:r w:rsidDel="00000000" w:rsidR="00000000" w:rsidRPr="00000000">
          <w:rPr>
            <w:rFonts w:ascii="Times New Roman" w:cs="Times New Roman" w:eastAsia="Times New Roman" w:hAnsi="Times New Roman"/>
            <w:sz w:val="24"/>
            <w:szCs w:val="24"/>
            <w:rtl w:val="0"/>
          </w:rPr>
          <w:t xml:space="preserve">(2023)</w:t>
        </w:r>
      </w:hyperlink>
      <w:r w:rsidDel="00000000" w:rsidR="00000000" w:rsidRPr="00000000">
        <w:rPr>
          <w:rFonts w:ascii="Times New Roman" w:cs="Times New Roman" w:eastAsia="Times New Roman" w:hAnsi="Times New Roman"/>
          <w:sz w:val="24"/>
          <w:szCs w:val="24"/>
          <w:rtl w:val="0"/>
        </w:rPr>
        <w:t xml:space="preserve"> enfatiza esse diálogo ao propor a consideração tanto de tempos históricos – as sequências de eventos ordenados – como do tempo físico – a duração, intensidade e ritmo dos processos – em dois elementos a serem combinados nas estratégias de análise histórico-comparativa.</w:t>
      </w:r>
    </w:p>
    <w:p w:rsidR="00000000" w:rsidDel="00000000" w:rsidP="00000000" w:rsidRDefault="00000000" w:rsidRPr="00000000" w14:paraId="0000005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identificação desses eventos aqui irá constituir o centro da estratégia analítica capaz de tornar transformações institucionais distintas em categorias comparáveis analiticamente. Isso significa empregar uma estratégia comparativa centrada no contexto </w:t>
      </w:r>
      <w:hyperlink r:id="rId39">
        <w:r w:rsidDel="00000000" w:rsidR="00000000" w:rsidRPr="00000000">
          <w:rPr>
            <w:rFonts w:ascii="Times New Roman" w:cs="Times New Roman" w:eastAsia="Times New Roman" w:hAnsi="Times New Roman"/>
            <w:sz w:val="24"/>
            <w:szCs w:val="24"/>
            <w:rtl w:val="0"/>
          </w:rPr>
          <w:t xml:space="preserve">(Locke e Thelen, 1995)</w:t>
        </w:r>
      </w:hyperlink>
      <w:r w:rsidDel="00000000" w:rsidR="00000000" w:rsidRPr="00000000">
        <w:rPr>
          <w:rFonts w:ascii="Times New Roman" w:cs="Times New Roman" w:eastAsia="Times New Roman" w:hAnsi="Times New Roman"/>
          <w:sz w:val="24"/>
          <w:szCs w:val="24"/>
          <w:rtl w:val="0"/>
        </w:rPr>
        <w:t xml:space="preserve">, no qual a variável comparada em dados arcos narrativos é determinada por sua significação. Por exemplo, diferentes crises econômicas (inflacionária, de excesso de produção, interrupção da produção) podem constituir um mesmo tipo de evento em distintos arcos narrativos. É dessa forma que se poderá analisar se “crises econômicas” são elemento explicativo do processo de desindustrialização. Mas a questão, para além da presença desse evento, é a relação entre sua duração, ordenamento temporal e as respostas dos atores a ele. Assim, crises econômicas produzem desindustrialização, hipoteticamente, na medida em que ocorrem em meio a determinados contextos ou por determinado tempo de forma a produzir certas reações dos atores, mas podem não fazê-lo quando essas reações forem distintas ou os contextos não propícios a tal resultado.</w:t>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Dada então essa importância da noção de processo para o entendimento apropriado de cada caso, não é surpresa então que técnicas de rastreamento de processo tenham se consolidado como método </w:t>
      </w:r>
      <w:r w:rsidDel="00000000" w:rsidR="00000000" w:rsidRPr="00000000">
        <w:rPr>
          <w:rFonts w:ascii="Times New Roman" w:cs="Times New Roman" w:eastAsia="Times New Roman" w:hAnsi="Times New Roman"/>
          <w:i w:val="1"/>
          <w:iCs w:val="1"/>
          <w:sz w:val="24"/>
          <w:szCs w:val="24"/>
          <w:rtl w:val="0"/>
        </w:rPr>
        <w:t xml:space="preserve">de facto</w:t>
      </w:r>
      <w:r w:rsidDel="00000000" w:rsidR="00000000" w:rsidRPr="00000000">
        <w:rPr>
          <w:rFonts w:ascii="Times New Roman" w:cs="Times New Roman" w:eastAsia="Times New Roman" w:hAnsi="Times New Roman"/>
          <w:sz w:val="24"/>
          <w:szCs w:val="24"/>
          <w:rtl w:val="0"/>
        </w:rPr>
        <w:t xml:space="preserve"> de análises intra caso, componentes necessários para a posterior análise entre casos </w:t>
      </w:r>
      <w:hyperlink r:id="rId40">
        <w:r w:rsidDel="00000000" w:rsidR="00000000" w:rsidRPr="00000000">
          <w:rPr>
            <w:rFonts w:ascii="Times New Roman" w:cs="Times New Roman" w:eastAsia="Times New Roman" w:hAnsi="Times New Roman"/>
            <w:sz w:val="24"/>
            <w:szCs w:val="24"/>
            <w:rtl w:val="0"/>
          </w:rPr>
          <w:t xml:space="preserve">(Mahoney, 2004)</w:t>
        </w:r>
      </w:hyperlink>
      <w:r w:rsidDel="00000000" w:rsidR="00000000" w:rsidRPr="00000000">
        <w:rPr>
          <w:rFonts w:ascii="Times New Roman" w:cs="Times New Roman" w:eastAsia="Times New Roman" w:hAnsi="Times New Roman"/>
          <w:sz w:val="24"/>
          <w:szCs w:val="24"/>
          <w:rtl w:val="0"/>
        </w:rPr>
        <w:t xml:space="preserve">. O rastreamento de processos visa a identificação das conexões causais entre partes de um processo que formam o resultado final </w:t>
      </w:r>
      <w:hyperlink r:id="rId41">
        <w:r w:rsidDel="00000000" w:rsidR="00000000" w:rsidRPr="00000000">
          <w:rPr>
            <w:rFonts w:ascii="Times New Roman" w:cs="Times New Roman" w:eastAsia="Times New Roman" w:hAnsi="Times New Roman"/>
            <w:sz w:val="24"/>
            <w:szCs w:val="24"/>
            <w:rtl w:val="0"/>
          </w:rPr>
          <w:t xml:space="preserve">(Bennett e Checkel, 2015; George e Bennett, 2005; Mahoney, 2003)</w:t>
        </w:r>
      </w:hyperlink>
      <w:r w:rsidDel="00000000" w:rsidR="00000000" w:rsidRPr="00000000">
        <w:rPr>
          <w:rFonts w:ascii="Times New Roman" w:cs="Times New Roman" w:eastAsia="Times New Roman" w:hAnsi="Times New Roman"/>
          <w:sz w:val="24"/>
          <w:szCs w:val="24"/>
          <w:rtl w:val="0"/>
        </w:rPr>
        <w:t xml:space="preserve">. Seja em caráter dedutivo ou indutivo, este enfatiza o trabalho lógico de reconstrução das etapas que levaram a um certo resultado, a própria sequência temporal, portanto. Assim, diferente de métodos estatísticos, na análise de processos toda a sequência causal deve estar demonstrada, não bastando a presença da variável em uma dada quantidade de casos </w:t>
      </w:r>
      <w:hyperlink r:id="rId42">
        <w:r w:rsidDel="00000000" w:rsidR="00000000" w:rsidRPr="00000000">
          <w:rPr>
            <w:rFonts w:ascii="Times New Roman" w:cs="Times New Roman" w:eastAsia="Times New Roman" w:hAnsi="Times New Roman"/>
            <w:sz w:val="24"/>
            <w:szCs w:val="24"/>
            <w:rtl w:val="0"/>
          </w:rPr>
          <w:t xml:space="preserve">(Bennett e Checkel, 2015; George e Bennett,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isso, cada etapa de lógica exige a demonstração e teste da conexão, de forma a tornar as hipóteses de conexão entre eventos ordenados no tempo mais fortes </w:t>
      </w:r>
      <w:hyperlink r:id="rId43">
        <w:r w:rsidDel="00000000" w:rsidR="00000000" w:rsidRPr="00000000">
          <w:rPr>
            <w:rFonts w:ascii="Times New Roman" w:cs="Times New Roman" w:eastAsia="Times New Roman" w:hAnsi="Times New Roman"/>
            <w:sz w:val="24"/>
            <w:szCs w:val="24"/>
            <w:rtl w:val="0"/>
          </w:rPr>
          <w:t xml:space="preserve">(Mahoney, 2015)</w:t>
        </w:r>
      </w:hyperlink>
      <w:r w:rsidDel="00000000" w:rsidR="00000000" w:rsidRPr="00000000">
        <w:rPr>
          <w:rFonts w:ascii="Times New Roman" w:cs="Times New Roman" w:eastAsia="Times New Roman" w:hAnsi="Times New Roman"/>
          <w:sz w:val="24"/>
          <w:szCs w:val="24"/>
          <w:rtl w:val="0"/>
        </w:rPr>
        <w:t xml:space="preserve">. Para tal, dois métodos mais populares têm sido identificados </w:t>
      </w:r>
      <w:hyperlink r:id="rId44">
        <w:r w:rsidDel="00000000" w:rsidR="00000000" w:rsidRPr="00000000">
          <w:rPr>
            <w:rFonts w:ascii="Times New Roman" w:cs="Times New Roman" w:eastAsia="Times New Roman" w:hAnsi="Times New Roman"/>
            <w:sz w:val="24"/>
            <w:szCs w:val="24"/>
            <w:rtl w:val="0"/>
          </w:rPr>
          <w:t xml:space="preserve">(Mahoney, 2015)</w:t>
        </w:r>
      </w:hyperlink>
      <w:r w:rsidDel="00000000" w:rsidR="00000000" w:rsidRPr="00000000">
        <w:rPr>
          <w:rFonts w:ascii="Times New Roman" w:cs="Times New Roman" w:eastAsia="Times New Roman" w:hAnsi="Times New Roman"/>
          <w:sz w:val="24"/>
          <w:szCs w:val="24"/>
          <w:rtl w:val="0"/>
        </w:rPr>
        <w:t xml:space="preserve">. Primeiro, a identificação da presença de evidência que fortemente apoia a conclusão, chamado teste da arma com fumaça (</w:t>
      </w:r>
      <w:r w:rsidDel="00000000" w:rsidR="00000000" w:rsidRPr="00000000">
        <w:rPr>
          <w:rFonts w:ascii="Times New Roman" w:cs="Times New Roman" w:eastAsia="Times New Roman" w:hAnsi="Times New Roman"/>
          <w:i w:val="1"/>
          <w:iCs w:val="1"/>
          <w:sz w:val="24"/>
          <w:szCs w:val="24"/>
          <w:rtl w:val="0"/>
        </w:rPr>
        <w:t xml:space="preserve">smoking gun test</w:t>
      </w:r>
      <w:r w:rsidDel="00000000" w:rsidR="00000000" w:rsidRPr="00000000">
        <w:rPr>
          <w:rFonts w:ascii="Times New Roman" w:cs="Times New Roman" w:eastAsia="Times New Roman" w:hAnsi="Times New Roman"/>
          <w:sz w:val="24"/>
          <w:szCs w:val="24"/>
          <w:rtl w:val="0"/>
        </w:rPr>
        <w:t xml:space="preserve">). Este teste não derruba hipóteses se falhar. Quanto mais forte a evidência, mais confiança se tem na hipótese. Em segundo lugar, aparece o teste de salto (</w:t>
      </w:r>
      <w:r w:rsidDel="00000000" w:rsidR="00000000" w:rsidRPr="00000000">
        <w:rPr>
          <w:rFonts w:ascii="Times New Roman" w:cs="Times New Roman" w:eastAsia="Times New Roman" w:hAnsi="Times New Roman"/>
          <w:i w:val="1"/>
          <w:iCs w:val="1"/>
          <w:sz w:val="24"/>
          <w:szCs w:val="24"/>
          <w:rtl w:val="0"/>
        </w:rPr>
        <w:t xml:space="preserve">hoop test)</w:t>
      </w:r>
      <w:r w:rsidDel="00000000" w:rsidR="00000000" w:rsidRPr="00000000">
        <w:rPr>
          <w:rFonts w:ascii="Times New Roman" w:cs="Times New Roman" w:eastAsia="Times New Roman" w:hAnsi="Times New Roman"/>
          <w:sz w:val="24"/>
          <w:szCs w:val="24"/>
          <w:rtl w:val="0"/>
        </w:rPr>
        <w:t xml:space="preserve">, mais comum e no qual a ausência de certa evidência-chave derruba uma hipótese. A princípio, sobreviver a um teste de salto não necessariamente reforça a hipótese, mas sobreviver a uma série de testes de saltos ou testes significativamente difíceis pode conferir confiança a esta. Uma forma complementar de análise é trabalhar com análises contrafactuais </w:t>
      </w:r>
      <w:hyperlink r:id="rId45">
        <w:r w:rsidDel="00000000" w:rsidR="00000000" w:rsidRPr="00000000">
          <w:rPr>
            <w:rFonts w:ascii="Times New Roman" w:cs="Times New Roman" w:eastAsia="Times New Roman" w:hAnsi="Times New Roman"/>
            <w:sz w:val="24"/>
            <w:szCs w:val="24"/>
            <w:rtl w:val="0"/>
          </w:rPr>
          <w:t xml:space="preserve">(Mahoney, 2004)</w:t>
        </w:r>
      </w:hyperlink>
      <w:r w:rsidDel="00000000" w:rsidR="00000000" w:rsidRPr="00000000">
        <w:rPr>
          <w:rFonts w:ascii="Times New Roman" w:cs="Times New Roman" w:eastAsia="Times New Roman" w:hAnsi="Times New Roman"/>
          <w:sz w:val="24"/>
          <w:szCs w:val="24"/>
          <w:rtl w:val="0"/>
        </w:rPr>
        <w:t xml:space="preserve">, nas quais os cenários “alternativos” hipotéticos servem para demonstrar o efeito de dada variável.</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exemplificar uma possibilidade, a análise de séries interrompidas, baseada na projeção de uma série temporal antes de dada intervenção, tem sido uma forma de análise contrafactual relevante para análise de políticas públicas </w:t>
      </w:r>
      <w:hyperlink r:id="rId46">
        <w:r w:rsidDel="00000000" w:rsidR="00000000" w:rsidRPr="00000000">
          <w:rPr>
            <w:rFonts w:ascii="Times New Roman" w:cs="Times New Roman" w:eastAsia="Times New Roman" w:hAnsi="Times New Roman"/>
            <w:sz w:val="24"/>
            <w:szCs w:val="24"/>
            <w:rtl w:val="0"/>
          </w:rPr>
          <w:t xml:space="preserve">(Shin, 2017)</w:t>
        </w:r>
      </w:hyperlink>
      <w:r w:rsidDel="00000000" w:rsidR="00000000" w:rsidRPr="00000000">
        <w:rPr>
          <w:rFonts w:ascii="Times New Roman" w:cs="Times New Roman" w:eastAsia="Times New Roman" w:hAnsi="Times New Roman"/>
          <w:sz w:val="24"/>
          <w:szCs w:val="24"/>
          <w:rtl w:val="0"/>
        </w:rPr>
        <w:t xml:space="preserve">. Se combinarmos tal análise com a análise qualitativa, por exemplo, de uma análise da relação entre perfil ideológico de governantes e sua preferência por determinada política pública, pode-se rastrear causalmente um dado resultado econômico ou social ao perfil ideológico do representante eleito. Assim, fica claro que o rastreamento de processos pode combinar criativamente dados qualitativos e quantitativos.</w:t>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resumo, o uso sistemático do método de rastreamento de processos como parte da estratégia histórico-comparativa permite deslocar a questão apenas da seleção de casos apropriados para comparação e em direção aos métodos e técnicas de investigação intra casos, por exemplo aquelas necessárias à compreensão de causas necessárias e suficientes </w:t>
      </w:r>
      <w:hyperlink r:id="rId47">
        <w:r w:rsidDel="00000000" w:rsidR="00000000" w:rsidRPr="00000000">
          <w:rPr>
            <w:rFonts w:ascii="Times New Roman" w:cs="Times New Roman" w:eastAsia="Times New Roman" w:hAnsi="Times New Roman"/>
            <w:sz w:val="24"/>
            <w:szCs w:val="24"/>
            <w:rtl w:val="0"/>
          </w:rPr>
          <w:t xml:space="preserve">(Mahoney, 2003, 2004)</w:t>
        </w:r>
      </w:hyperlink>
      <w:r w:rsidDel="00000000" w:rsidR="00000000" w:rsidRPr="00000000">
        <w:rPr>
          <w:rFonts w:ascii="Times New Roman" w:cs="Times New Roman" w:eastAsia="Times New Roman" w:hAnsi="Times New Roman"/>
          <w:sz w:val="24"/>
          <w:szCs w:val="24"/>
          <w:rtl w:val="0"/>
        </w:rPr>
        <w:t xml:space="preserve">. Nesse cenário, os métodos de Mill não são suficientes para explicar interação de variáveis ou múltiplas causas, mas ainda são úteis para eliminar potenciais causas suficientes ou necessárias </w:t>
      </w:r>
      <w:hyperlink r:id="rId48">
        <w:r w:rsidDel="00000000" w:rsidR="00000000" w:rsidRPr="00000000">
          <w:rPr>
            <w:rFonts w:ascii="Times New Roman" w:cs="Times New Roman" w:eastAsia="Times New Roman" w:hAnsi="Times New Roman"/>
            <w:sz w:val="24"/>
            <w:szCs w:val="24"/>
            <w:rtl w:val="0"/>
          </w:rPr>
          <w:t xml:space="preserve">(Mahoney, 2004)</w:t>
        </w:r>
      </w:hyperlink>
      <w:r w:rsidDel="00000000" w:rsidR="00000000" w:rsidRPr="00000000">
        <w:rPr>
          <w:rFonts w:ascii="Times New Roman" w:cs="Times New Roman" w:eastAsia="Times New Roman" w:hAnsi="Times New Roman"/>
          <w:sz w:val="24"/>
          <w:szCs w:val="24"/>
          <w:rtl w:val="0"/>
        </w:rPr>
        <w:t xml:space="preserve">. De todo modo, a análise intra caso se faz necessária para adequadamente compensar as limitações da abordagem comparativa (idem).</w:t>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concluir a seção, é preciso esboçar a estratégia integrativa entre as diferentes escalas analíticas. Apesar do desenho dos objetivos e capítulos sugerir uma escala do geral para o específico, na prática a análise precisará ser iterativa entre os níveis. O contraste entre a escala analítica superior e a inferior serve de forma a exacerbar as características particulares dos casos de escala analítica inferior que os fazem destoar do esperado. Assim, achados em escala mais baixa que contrapunham achados em escala analítica mais alta sugerem necessidade de revisões da mesma. Dito de outra forma, fatores explicativos do processo em nível superior são considerados válidos para explicar as similaridades entre casos analíticos de nível inferior, que são considerados “testes”. A existência de discrepâncias entre esses casos gera a necessidade de estudo daquele caso, gerando novas proposições explicativas sobre este e revisões das explicações sobre o caso de nível superior.</w:t>
      </w:r>
    </w:p>
    <w:p w:rsidR="00000000" w:rsidDel="00000000" w:rsidP="00000000" w:rsidRDefault="00000000" w:rsidRPr="00000000" w14:paraId="0000005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estratégia integrativa dos níveis analíticos e diferentes comparações (A, B, C e D)</w:t>
      </w:r>
    </w:p>
    <w:p w:rsidR="00000000" w:rsidDel="00000000" w:rsidP="00000000" w:rsidRDefault="00000000" w:rsidRPr="00000000" w14:paraId="0000005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8796" cy="3662697"/>
            <wp:effectExtent b="0" l="0" r="0" t="0"/>
            <wp:docPr id="2" name="image2.png"/>
            <a:graphic>
              <a:graphicData uri="http://schemas.openxmlformats.org/drawingml/2006/picture">
                <pic:pic>
                  <pic:nvPicPr>
                    <pic:cNvPr id="0" name="image2.png"/>
                    <pic:cNvPicPr preferRelativeResize="0"/>
                  </pic:nvPicPr>
                  <pic:blipFill>
                    <a:blip r:embed="rId49"/>
                    <a:srcRect b="0" l="0" r="0" t="2771"/>
                    <a:stretch>
                      <a:fillRect/>
                    </a:stretch>
                  </pic:blipFill>
                  <pic:spPr>
                    <a:xfrm>
                      <a:off x="0" y="0"/>
                      <a:ext cx="5428796" cy="366269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Autoria própria</w:t>
      </w:r>
    </w:p>
    <w:p w:rsidR="00000000" w:rsidDel="00000000" w:rsidP="00000000" w:rsidRDefault="00000000" w:rsidRPr="00000000" w14:paraId="0000005A">
      <w:pPr>
        <w:pStyle w:val="Heading2"/>
        <w:spacing w:before="400" w:line="360" w:lineRule="auto"/>
        <w:jc w:val="both"/>
        <w:rPr>
          <w:rFonts w:ascii="Times New Roman" w:cs="Times New Roman" w:eastAsia="Times New Roman" w:hAnsi="Times New Roman"/>
          <w:b w:val="1"/>
          <w:bCs w:val="1"/>
          <w:sz w:val="24"/>
          <w:szCs w:val="24"/>
        </w:rPr>
      </w:pPr>
      <w:bookmarkStart w:colFirst="0" w:colLast="0" w:name="_4c102kg9xj0v" w:id="3"/>
      <w:bookmarkEnd w:id="3"/>
      <w:r w:rsidDel="00000000" w:rsidR="00000000" w:rsidRPr="00000000">
        <w:rPr>
          <w:rFonts w:ascii="Times New Roman" w:cs="Times New Roman" w:eastAsia="Times New Roman" w:hAnsi="Times New Roman"/>
          <w:b w:val="1"/>
          <w:bCs w:val="1"/>
          <w:sz w:val="24"/>
          <w:szCs w:val="24"/>
          <w:rtl w:val="0"/>
        </w:rPr>
        <w:t xml:space="preserve">3. Recorte e indicadores</w:t>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periodização proposta divide, a partir dos dados de participação da indústria de transformação no PIB </w:t>
      </w:r>
      <w:hyperlink r:id="rId50">
        <w:r w:rsidDel="00000000" w:rsidR="00000000" w:rsidRPr="00000000">
          <w:rPr>
            <w:rFonts w:ascii="Times New Roman" w:cs="Times New Roman" w:eastAsia="Times New Roman" w:hAnsi="Times New Roman"/>
            <w:sz w:val="24"/>
            <w:szCs w:val="24"/>
            <w:rtl w:val="0"/>
          </w:rPr>
          <w:t xml:space="preserve">(Morceiro, 2021)</w:t>
        </w:r>
      </w:hyperlink>
      <w:r w:rsidDel="00000000" w:rsidR="00000000" w:rsidRPr="00000000">
        <w:rPr>
          <w:rFonts w:ascii="Times New Roman" w:cs="Times New Roman" w:eastAsia="Times New Roman" w:hAnsi="Times New Roman"/>
          <w:sz w:val="24"/>
          <w:szCs w:val="24"/>
          <w:rtl w:val="0"/>
        </w:rPr>
        <w:t xml:space="preserve">, o processo de desindustrialização em diversas etapas (cf. figura 2, p.25). A primeira sequência vai de 1961 até 1967. A segunda de 1986 até 1998, sendo precedida por um período de estagnação entre 1973 e 1985. A terceira vai de meados dos anos 2004 em diante. Propõe-se assim, como ponto de partida o período prévio à primeira sequência, que marca o fim de um período de crescimento econômico acelerado – e forte industrialização – identificado com o pós segunda guerra mundial e os governos Vargas e Juscelino Kubitschek. Dessa forma, o recorte temporal total aproximado iria de 1951, com o segundo governo Vargas, até o fim de 2023, imediatamente antes do lançamento do programa “Nova Indústria Brasil” </w:t>
      </w:r>
      <w:hyperlink r:id="rId51">
        <w:r w:rsidDel="00000000" w:rsidR="00000000" w:rsidRPr="00000000">
          <w:rPr>
            <w:rFonts w:ascii="Times New Roman" w:cs="Times New Roman" w:eastAsia="Times New Roman" w:hAnsi="Times New Roman"/>
            <w:sz w:val="24"/>
            <w:szCs w:val="24"/>
            <w:rtl w:val="0"/>
          </w:rPr>
          <w:t xml:space="preserve">(CNDI e MDIC, 2024)</w:t>
        </w:r>
      </w:hyperlink>
      <w:r w:rsidDel="00000000" w:rsidR="00000000" w:rsidRPr="00000000">
        <w:rPr>
          <w:rFonts w:ascii="Times New Roman" w:cs="Times New Roman" w:eastAsia="Times New Roman" w:hAnsi="Times New Roman"/>
          <w:sz w:val="24"/>
          <w:szCs w:val="24"/>
          <w:rtl w:val="0"/>
        </w:rPr>
        <w:t xml:space="preserve">. Dado, entretanto, que a análise da sequência temporal depende da identificação dos fatores chave para esta, que será feita como parte da investigação, esse recorte temporal não é imutável, servindo apenas de estimativa inicial.</w:t>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já apresentados, os recortes geográficos são feitos na escala nacional, estadual e sub-regional. Quando necessário, são trazidos de forma pontual casos comparativos adicionais, por exemplo dados de outros países ou estados brasileiros. Os recortes visam possibilitar uma análise multiescalar do fenômeno. Como já dito, a alternância de escalas é importante devido a presença de mecanismos institucionais distintos nestas, por exemplo aqueles ligados à disputa fiscal entre estados ou municípios.</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5: casos e recortes temporais</w:t>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35"/>
        <w:gridCol w:w="1140"/>
        <w:gridCol w:w="2670"/>
        <w:gridCol w:w="1485"/>
        <w:tblGridChange w:id="0">
          <w:tblGrid>
            <w:gridCol w:w="1770"/>
            <w:gridCol w:w="2235"/>
            <w:gridCol w:w="1140"/>
            <w:gridCol w:w="267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Unidade geográfica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w:t>
            </w:r>
          </w:p>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 sub-casos)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Critério de seleção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Comparação*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Períodos: 1961-1967; 1986-1998; 2004-2023</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(Setores industriais: extrativo, transformação e construção)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1951-2023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Períodos históricos profundamente distintos com o mesmo resultado (desindustrialização)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Universalizante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Estados: SP e RJ</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(Setores industriais: extrativo, transformação e construção)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1980-2023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Estados relativamente similares, antigos líderes da indústria nacional, mas com graus distintos de perda de centralidade nesta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Sub-região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ABC e Sul Fluminense</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(Indústria automotiva e Indústria Geral)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1990-2023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Ressaltam uma relação importante ao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Abrangente</w:t>
            </w:r>
          </w:p>
        </w:tc>
      </w:tr>
    </w:tbl>
    <w:p w:rsidR="00000000" w:rsidDel="00000000" w:rsidP="00000000" w:rsidRDefault="00000000" w:rsidRPr="00000000" w14:paraId="0000007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autoria própria</w:t>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Quanto a indicadores do fenômeno, o principal indicador quantitativo utilizado para estudos sobre desindustrialização no Brasil tem sido a participação do setor industrial no PIB. Com frequência, os trabalhos sobre o tema se concentram especificamente na participação da indústria de transformação. Esse referencial, apesar de contribuições, tem problemas e limitações </w:t>
      </w:r>
      <w:hyperlink r:id="rId52">
        <w:r w:rsidDel="00000000" w:rsidR="00000000" w:rsidRPr="00000000">
          <w:rPr>
            <w:rFonts w:ascii="Times New Roman" w:cs="Times New Roman" w:eastAsia="Times New Roman" w:hAnsi="Times New Roman"/>
            <w:sz w:val="24"/>
            <w:szCs w:val="24"/>
            <w:rtl w:val="0"/>
          </w:rPr>
          <w:t xml:space="preserve">(Torres e Cavalieri, 2015)</w:t>
        </w:r>
      </w:hyperlink>
      <w:r w:rsidDel="00000000" w:rsidR="00000000" w:rsidRPr="00000000">
        <w:rPr>
          <w:rFonts w:ascii="Times New Roman" w:cs="Times New Roman" w:eastAsia="Times New Roman" w:hAnsi="Times New Roman"/>
          <w:sz w:val="24"/>
          <w:szCs w:val="24"/>
          <w:rtl w:val="0"/>
        </w:rPr>
        <w:t xml:space="preserve">, especialmente no que concerne ao impacto da inflação nas suas variações. Como apontado antes, é comum na literatura a ênfase sobre volume de empregos de em adição a primeira métrica </w:t>
      </w:r>
      <w:hyperlink r:id="rId53">
        <w:r w:rsidDel="00000000" w:rsidR="00000000" w:rsidRPr="00000000">
          <w:rPr>
            <w:rFonts w:ascii="Times New Roman" w:cs="Times New Roman" w:eastAsia="Times New Roman" w:hAnsi="Times New Roman"/>
            <w:sz w:val="24"/>
            <w:szCs w:val="24"/>
            <w:rtl w:val="0"/>
          </w:rPr>
          <w:t xml:space="preserve">(Tregenna, 2009)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complemento a esses dois indicadores, propõe-se utilizar sistematicamente as taxas de crescimento real dos setores industriais, calculadas a partir das Contas Regionais </w:t>
      </w:r>
      <w:hyperlink r:id="rId54">
        <w:r w:rsidDel="00000000" w:rsidR="00000000" w:rsidRPr="00000000">
          <w:rPr>
            <w:rFonts w:ascii="Times New Roman" w:cs="Times New Roman" w:eastAsia="Times New Roman" w:hAnsi="Times New Roman"/>
            <w:sz w:val="24"/>
            <w:szCs w:val="24"/>
            <w:rtl w:val="0"/>
          </w:rPr>
          <w:t xml:space="preserve">(IBGE, [s.d.])</w:t>
        </w:r>
      </w:hyperlink>
      <w:r w:rsidDel="00000000" w:rsidR="00000000" w:rsidRPr="00000000">
        <w:rPr>
          <w:rFonts w:ascii="Times New Roman" w:cs="Times New Roman" w:eastAsia="Times New Roman" w:hAnsi="Times New Roman"/>
          <w:sz w:val="24"/>
          <w:szCs w:val="24"/>
          <w:rtl w:val="0"/>
        </w:rPr>
        <w:t xml:space="preserve"> e Nacionais </w:t>
      </w:r>
      <w:hyperlink r:id="rId55">
        <w:r w:rsidDel="00000000" w:rsidR="00000000" w:rsidRPr="00000000">
          <w:rPr>
            <w:rFonts w:ascii="Times New Roman" w:cs="Times New Roman" w:eastAsia="Times New Roman" w:hAnsi="Times New Roman"/>
            <w:sz w:val="24"/>
            <w:szCs w:val="24"/>
            <w:rtl w:val="0"/>
          </w:rPr>
          <w:t xml:space="preserve">(IBGE, [s.d.])</w:t>
        </w:r>
      </w:hyperlink>
      <w:r w:rsidDel="00000000" w:rsidR="00000000" w:rsidRPr="00000000">
        <w:rPr>
          <w:rFonts w:ascii="Times New Roman" w:cs="Times New Roman" w:eastAsia="Times New Roman" w:hAnsi="Times New Roman"/>
          <w:sz w:val="24"/>
          <w:szCs w:val="24"/>
          <w:rtl w:val="0"/>
        </w:rPr>
        <w:t xml:space="preserve">, realizando comparação destes dados ao crescimento real do PIB. O uso desse indicador é uma das contribuições deste trabalho. Sua escolha se deve à sua capacidade de minimizar os impactos da inflação na distorção e também capturar o ritmo pelo qual a desindustrialização – ou suas breves reversões – tem ocorrido. </w:t>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Alguns outros exemplos de indicadores estão também presentes na literatura e podem ser mobilizados pontualmente. São eles o número de estabelecimentos industriais </w:t>
      </w:r>
      <w:hyperlink r:id="rId56">
        <w:r w:rsidDel="00000000" w:rsidR="00000000" w:rsidRPr="00000000">
          <w:rPr>
            <w:rFonts w:ascii="Times New Roman" w:cs="Times New Roman" w:eastAsia="Times New Roman" w:hAnsi="Times New Roman"/>
            <w:sz w:val="24"/>
            <w:szCs w:val="24"/>
            <w:rtl w:val="0"/>
          </w:rPr>
          <w:t xml:space="preserve">(Sobral, 2016)</w:t>
        </w:r>
      </w:hyperlink>
      <w:r w:rsidDel="00000000" w:rsidR="00000000" w:rsidRPr="00000000">
        <w:rPr>
          <w:rFonts w:ascii="Times New Roman" w:cs="Times New Roman" w:eastAsia="Times New Roman" w:hAnsi="Times New Roman"/>
          <w:sz w:val="24"/>
          <w:szCs w:val="24"/>
          <w:rtl w:val="0"/>
        </w:rPr>
        <w:t xml:space="preserve">, os investimentos produtivos </w:t>
      </w:r>
      <w:hyperlink r:id="rId57">
        <w:r w:rsidDel="00000000" w:rsidR="00000000" w:rsidRPr="00000000">
          <w:rPr>
            <w:rFonts w:ascii="Times New Roman" w:cs="Times New Roman" w:eastAsia="Times New Roman" w:hAnsi="Times New Roman"/>
            <w:sz w:val="24"/>
            <w:szCs w:val="24"/>
            <w:rtl w:val="0"/>
          </w:rPr>
          <w:t xml:space="preserve">(Curado e Cruz, 2008; Dávila-Fernández, 2015)</w:t>
        </w:r>
      </w:hyperlink>
      <w:r w:rsidDel="00000000" w:rsidR="00000000" w:rsidRPr="00000000">
        <w:rPr>
          <w:rFonts w:ascii="Times New Roman" w:cs="Times New Roman" w:eastAsia="Times New Roman" w:hAnsi="Times New Roman"/>
          <w:sz w:val="24"/>
          <w:szCs w:val="24"/>
          <w:rtl w:val="0"/>
        </w:rPr>
        <w:t xml:space="preserve">, os resultados da balança comercial </w:t>
      </w:r>
      <w:hyperlink r:id="rId58">
        <w:r w:rsidDel="00000000" w:rsidR="00000000" w:rsidRPr="00000000">
          <w:rPr>
            <w:rFonts w:ascii="Times New Roman" w:cs="Times New Roman" w:eastAsia="Times New Roman" w:hAnsi="Times New Roman"/>
            <w:sz w:val="24"/>
            <w:szCs w:val="24"/>
            <w:rtl w:val="0"/>
          </w:rPr>
          <w:t xml:space="preserve">(Marconi e Rocha, 2012)</w:t>
        </w:r>
      </w:hyperlink>
      <w:r w:rsidDel="00000000" w:rsidR="00000000" w:rsidRPr="00000000">
        <w:rPr>
          <w:rFonts w:ascii="Times New Roman" w:cs="Times New Roman" w:eastAsia="Times New Roman" w:hAnsi="Times New Roman"/>
          <w:sz w:val="24"/>
          <w:szCs w:val="24"/>
          <w:rtl w:val="0"/>
        </w:rPr>
        <w:t xml:space="preserve">, os dados brutos da produção industrial</w:t>
      </w:r>
      <w:r w:rsidDel="00000000" w:rsidR="00000000" w:rsidRPr="00000000">
        <w:rPr>
          <w:rFonts w:ascii="Times New Roman" w:cs="Times New Roman" w:eastAsia="Times New Roman" w:hAnsi="Times New Roman"/>
          <w:color w:val="ff0000"/>
          <w:sz w:val="24"/>
          <w:szCs w:val="24"/>
          <w:rtl w:val="0"/>
        </w:rPr>
        <w:t xml:space="preserve"> </w:t>
      </w:r>
      <w:hyperlink r:id="rId59">
        <w:r w:rsidDel="00000000" w:rsidR="00000000" w:rsidRPr="00000000">
          <w:rPr>
            <w:rFonts w:ascii="Times New Roman" w:cs="Times New Roman" w:eastAsia="Times New Roman" w:hAnsi="Times New Roman"/>
            <w:sz w:val="24"/>
            <w:szCs w:val="24"/>
            <w:rtl w:val="0"/>
          </w:rPr>
          <w:t xml:space="preserve">(Sobral, 2017)</w:t>
        </w:r>
      </w:hyperlink>
      <w:r w:rsidDel="00000000" w:rsidR="00000000" w:rsidRPr="00000000">
        <w:rPr>
          <w:rFonts w:ascii="Times New Roman" w:cs="Times New Roman" w:eastAsia="Times New Roman" w:hAnsi="Times New Roman"/>
          <w:sz w:val="24"/>
          <w:szCs w:val="24"/>
          <w:rtl w:val="0"/>
        </w:rPr>
        <w:t xml:space="preserve">e os dados sobre diversidade ou dispersão da atividade industrial </w:t>
      </w:r>
      <w:hyperlink r:id="rId60">
        <w:r w:rsidDel="00000000" w:rsidR="00000000" w:rsidRPr="00000000">
          <w:rPr>
            <w:rFonts w:ascii="Times New Roman" w:cs="Times New Roman" w:eastAsia="Times New Roman" w:hAnsi="Times New Roman"/>
            <w:sz w:val="24"/>
            <w:szCs w:val="24"/>
            <w:rtl w:val="0"/>
          </w:rPr>
          <w:t xml:space="preserve">(Morceiro e Guilhoto, 2020)</w:t>
        </w:r>
      </w:hyperlink>
      <w:r w:rsidDel="00000000" w:rsidR="00000000" w:rsidRPr="00000000">
        <w:rPr>
          <w:rFonts w:ascii="Times New Roman" w:cs="Times New Roman" w:eastAsia="Times New Roman" w:hAnsi="Times New Roman"/>
          <w:sz w:val="24"/>
          <w:szCs w:val="24"/>
          <w:rtl w:val="0"/>
        </w:rPr>
        <w:t xml:space="preserve">. A tabela abaixo condensa algumas das vantagens e desvantagens dos indicadores.</w:t>
      </w:r>
    </w:p>
    <w:p w:rsidR="00000000" w:rsidDel="00000000" w:rsidP="00000000" w:rsidRDefault="00000000" w:rsidRPr="00000000" w14:paraId="0000007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6: indicadores de desindustrialização na literatura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Vantagens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Exemplos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Participação no PIB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peso do setor econômico frente outros setores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Forte influência da inflação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Oreiro e Feijó </w:t>
            </w:r>
            <w:hyperlink r:id="rId61">
              <w:r w:rsidDel="00000000" w:rsidR="00000000" w:rsidRPr="00000000">
                <w:rPr>
                  <w:rFonts w:ascii="Times New Roman" w:cs="Times New Roman" w:eastAsia="Times New Roman" w:hAnsi="Times New Roman"/>
                  <w:sz w:val="20"/>
                  <w:szCs w:val="20"/>
                  <w:rtl w:val="0"/>
                </w:rPr>
                <w:t xml:space="preserve">(2010)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Crescimento real dos subsetores industriais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 sofre influência da inflação e permite comparações com PIB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Desconsidera peso relativo do setor para a indústria geral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 diretamente usado na literatura nacional, uso similar em Rajan e Subramanian </w:t>
            </w:r>
            <w:hyperlink r:id="rId62">
              <w:r w:rsidDel="00000000" w:rsidR="00000000" w:rsidRPr="00000000">
                <w:rPr>
                  <w:rFonts w:ascii="Times New Roman" w:cs="Times New Roman" w:eastAsia="Times New Roman" w:hAnsi="Times New Roman"/>
                  <w:sz w:val="20"/>
                  <w:szCs w:val="20"/>
                  <w:rtl w:val="0"/>
                </w:rPr>
                <w:t xml:space="preserve">(2011)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Empregos industriais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efeito relevante para comunidades e trabalhadores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 captura peso econômico da atividade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Cruz </w:t>
            </w:r>
            <w:hyperlink r:id="rId63">
              <w:r w:rsidDel="00000000" w:rsidR="00000000" w:rsidRPr="00000000">
                <w:rPr>
                  <w:rFonts w:ascii="Times New Roman" w:cs="Times New Roman" w:eastAsia="Times New Roman" w:hAnsi="Times New Roman"/>
                  <w:sz w:val="20"/>
                  <w:szCs w:val="20"/>
                  <w:rtl w:val="0"/>
                </w:rPr>
                <w:t xml:space="preserve">(2014)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Produção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entender diversidade da capacidade produtiva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Difícil comparação com setores não industriais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Sobral </w:t>
            </w:r>
            <w:hyperlink r:id="rId64">
              <w:r w:rsidDel="00000000" w:rsidR="00000000" w:rsidRPr="00000000">
                <w:rPr>
                  <w:rFonts w:ascii="Times New Roman" w:cs="Times New Roman" w:eastAsia="Times New Roman" w:hAnsi="Times New Roman"/>
                  <w:sz w:val="20"/>
                  <w:szCs w:val="20"/>
                  <w:rtl w:val="0"/>
                </w:rPr>
                <w:t xml:space="preserve">(2017)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estabelecimentos industriais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características e densidade do setor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Perde visão agregada do valor da indústria; perde diferenciação entre estabelecimentos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Sobral </w:t>
            </w:r>
            <w:hyperlink r:id="rId65">
              <w:r w:rsidDel="00000000" w:rsidR="00000000" w:rsidRPr="00000000">
                <w:rPr>
                  <w:rFonts w:ascii="Times New Roman" w:cs="Times New Roman" w:eastAsia="Times New Roman" w:hAnsi="Times New Roman"/>
                  <w:sz w:val="20"/>
                  <w:szCs w:val="20"/>
                  <w:rtl w:val="0"/>
                </w:rPr>
                <w:t xml:space="preserve">(2016)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Balança 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relação do setor com mercado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 permite leitura adequada do mercado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Marconi e Rocha </w:t>
            </w:r>
            <w:hyperlink r:id="rId66">
              <w:r w:rsidDel="00000000" w:rsidR="00000000" w:rsidRPr="00000000">
                <w:rPr>
                  <w:rFonts w:ascii="Times New Roman" w:cs="Times New Roman" w:eastAsia="Times New Roman" w:hAnsi="Times New Roman"/>
                  <w:sz w:val="20"/>
                  <w:szCs w:val="20"/>
                  <w:rtl w:val="0"/>
                </w:rPr>
                <w:t xml:space="preserve">(2012)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Investimentos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relação do capital estrangeiro com indústria 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Apenas captura parte pequena do horizonte de investimentos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Curado e Cruz </w:t>
            </w:r>
            <w:hyperlink r:id="rId67">
              <w:r w:rsidDel="00000000" w:rsidR="00000000" w:rsidRPr="00000000">
                <w:rPr>
                  <w:rFonts w:ascii="Times New Roman" w:cs="Times New Roman" w:eastAsia="Times New Roman" w:hAnsi="Times New Roman"/>
                  <w:sz w:val="20"/>
                  <w:szCs w:val="20"/>
                  <w:rtl w:val="0"/>
                </w:rPr>
                <w:t xml:space="preserve">(2008)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Densidade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Conjunto de mensurações sobre concentração e dispersão da indústria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 captura impacto agregado da capacidade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Morceiro e Guilhoto </w:t>
            </w:r>
            <w:hyperlink r:id="rId68">
              <w:r w:rsidDel="00000000" w:rsidR="00000000" w:rsidRPr="00000000">
                <w:rPr>
                  <w:rFonts w:ascii="Times New Roman" w:cs="Times New Roman" w:eastAsia="Times New Roman" w:hAnsi="Times New Roman"/>
                  <w:sz w:val="20"/>
                  <w:szCs w:val="20"/>
                  <w:rtl w:val="0"/>
                </w:rPr>
                <w:t xml:space="preserve">(2020)</w:t>
              </w:r>
            </w:hyperlink>
            <w:r w:rsidDel="00000000" w:rsidR="00000000" w:rsidRPr="00000000">
              <w:rPr>
                <w:rtl w:val="0"/>
              </w:rPr>
            </w:r>
          </w:p>
        </w:tc>
      </w:tr>
    </w:tbl>
    <w:p w:rsidR="00000000" w:rsidDel="00000000" w:rsidP="00000000" w:rsidRDefault="00000000" w:rsidRPr="00000000" w14:paraId="000000A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autoria própria</w:t>
      </w:r>
    </w:p>
    <w:p w:rsidR="00000000" w:rsidDel="00000000" w:rsidP="00000000" w:rsidRDefault="00000000" w:rsidRPr="00000000" w14:paraId="000000A6">
      <w:pPr>
        <w:pStyle w:val="Heading2"/>
        <w:spacing w:before="400" w:line="360" w:lineRule="auto"/>
        <w:jc w:val="both"/>
        <w:rPr>
          <w:rFonts w:ascii="Times New Roman" w:cs="Times New Roman" w:eastAsia="Times New Roman" w:hAnsi="Times New Roman"/>
          <w:b w:val="1"/>
          <w:bCs w:val="1"/>
          <w:sz w:val="24"/>
          <w:szCs w:val="24"/>
        </w:rPr>
      </w:pPr>
      <w:bookmarkStart w:colFirst="0" w:colLast="0" w:name="_ofii62e4x9s7" w:id="4"/>
      <w:bookmarkEnd w:id="4"/>
      <w:r w:rsidDel="00000000" w:rsidR="00000000" w:rsidRPr="00000000">
        <w:rPr>
          <w:rFonts w:ascii="Times New Roman" w:cs="Times New Roman" w:eastAsia="Times New Roman" w:hAnsi="Times New Roman"/>
          <w:b w:val="1"/>
          <w:bCs w:val="1"/>
          <w:sz w:val="24"/>
          <w:szCs w:val="24"/>
          <w:rtl w:val="0"/>
        </w:rPr>
        <w:t xml:space="preserve">4. Variáveis, unidades de análise e atores</w:t>
      </w:r>
    </w:p>
    <w:p w:rsidR="00000000" w:rsidDel="00000000" w:rsidP="00000000" w:rsidRDefault="00000000" w:rsidRPr="00000000" w14:paraId="000000A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instituições analisadas, e suas transformações constituem as principais variáveis independentes do modelo, com as quais o processo de desindustrialização se relaciona. Elas precisam ser gerais o suficiente para serem percebidas como condicionantes da ação de atores coletivos em detrimento das variações e preferências individuais de seus membros. Elas também não podem apenas emergir da agregação de indivíduos, como parte de suas psicologias individuais. Uma forma de operacionalizar o conjunto de instituições a serem analisadas é trabalhar com a proposta de níveis institucionais de Fligstein e Choo </w:t>
      </w:r>
      <w:hyperlink r:id="rId69">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 utilizada para a análise da governança corporativa. Assim, os autores diferenciam estruturas muito amplas e dispersas na sociedade, o sistema político, a economia e a cultura, das instituições ao nível das normas (para eles as referentes à governança e legislação) e de suas manifestações no nível das práticas. Aqui é esse nível intermediário, da “norma” que guia a escolha de instituições, mesmo que estas operem em diferentes escalas geográficas. Assim, são removidas da discussão instituições muito próximas da dimensão da prática, como o aperto de mão, e ao mesmo tempo os aspectos institucionais muito amplos, como características institucionais do capitalismo, por exemplo a “ganância” ou “auto interesse”, como propostas por Streeck </w:t>
      </w:r>
      <w:hyperlink r:id="rId70">
        <w:r w:rsidDel="00000000" w:rsidR="00000000" w:rsidRPr="00000000">
          <w:rPr>
            <w:rFonts w:ascii="Times New Roman" w:cs="Times New Roman" w:eastAsia="Times New Roman" w:hAnsi="Times New Roman"/>
            <w:sz w:val="24"/>
            <w:szCs w:val="24"/>
            <w:rtl w:val="0"/>
          </w:rPr>
          <w:t xml:space="preserve">(2011, 2012)</w:t>
        </w:r>
      </w:hyperlink>
      <w:r w:rsidDel="00000000" w:rsidR="00000000" w:rsidRPr="00000000">
        <w:rPr>
          <w:rtl w:val="0"/>
        </w:rPr>
      </w:r>
    </w:p>
    <w:p w:rsidR="00000000" w:rsidDel="00000000" w:rsidP="00000000" w:rsidRDefault="00000000" w:rsidRPr="00000000" w14:paraId="000000A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Abaixo se apresenta uma listagem esquemática dos conjuntos de instituições preliminarmente consideradas mais relevantes, com sua caracterização e escala (cf. tabela 7 abaixo). Aqui é feita uma diferenciação entre instituições e atores, sabendo que essa distinção não representa uma dicotomia real. Instituições transpassam atores, sendo às vezes internas ou externas a estes </w:t>
      </w:r>
      <w:hyperlink r:id="rId71">
        <w:r w:rsidDel="00000000" w:rsidR="00000000" w:rsidRPr="00000000">
          <w:rPr>
            <w:rFonts w:ascii="Times New Roman" w:cs="Times New Roman" w:eastAsia="Times New Roman" w:hAnsi="Times New Roman"/>
            <w:sz w:val="24"/>
            <w:szCs w:val="24"/>
            <w:rtl w:val="0"/>
          </w:rPr>
          <w:t xml:space="preserve">(Santos, 2019)</w:t>
        </w:r>
      </w:hyperlink>
      <w:r w:rsidDel="00000000" w:rsidR="00000000" w:rsidRPr="00000000">
        <w:rPr>
          <w:rFonts w:ascii="Times New Roman" w:cs="Times New Roman" w:eastAsia="Times New Roman" w:hAnsi="Times New Roman"/>
          <w:sz w:val="24"/>
          <w:szCs w:val="24"/>
          <w:rtl w:val="0"/>
        </w:rPr>
        <w:t xml:space="preserve">. De outra forma, como Jackson </w:t>
      </w:r>
      <w:hyperlink r:id="rId72">
        <w:r w:rsidDel="00000000" w:rsidR="00000000" w:rsidRPr="00000000">
          <w:rPr>
            <w:rFonts w:ascii="Times New Roman" w:cs="Times New Roman" w:eastAsia="Times New Roman" w:hAnsi="Times New Roman"/>
            <w:sz w:val="24"/>
            <w:szCs w:val="24"/>
            <w:rtl w:val="0"/>
          </w:rPr>
          <w:t xml:space="preserve">(2010)</w:t>
        </w:r>
      </w:hyperlink>
      <w:r w:rsidDel="00000000" w:rsidR="00000000" w:rsidRPr="00000000">
        <w:rPr>
          <w:rFonts w:ascii="Times New Roman" w:cs="Times New Roman" w:eastAsia="Times New Roman" w:hAnsi="Times New Roman"/>
          <w:sz w:val="24"/>
          <w:szCs w:val="24"/>
          <w:rtl w:val="0"/>
        </w:rPr>
        <w:t xml:space="preserve"> pontua, instituições e atores são co-constitutivos. Esses fatores são relevantes pois são frequentemente origem das transformações endógenas nessas instituições. Isso implica inserir uma discussão sobre poder na análise institucional </w:t>
      </w:r>
      <w:hyperlink r:id="rId73">
        <w:r w:rsidDel="00000000" w:rsidR="00000000" w:rsidRPr="00000000">
          <w:rPr>
            <w:rFonts w:ascii="Times New Roman" w:cs="Times New Roman" w:eastAsia="Times New Roman" w:hAnsi="Times New Roman"/>
            <w:sz w:val="24"/>
            <w:szCs w:val="24"/>
            <w:rtl w:val="0"/>
          </w:rPr>
          <w:t xml:space="preserve">(Thelen, 2010)</w:t>
        </w:r>
      </w:hyperlink>
      <w:r w:rsidDel="00000000" w:rsidR="00000000" w:rsidRPr="00000000">
        <w:rPr>
          <w:rFonts w:ascii="Times New Roman" w:cs="Times New Roman" w:eastAsia="Times New Roman" w:hAnsi="Times New Roman"/>
          <w:sz w:val="24"/>
          <w:szCs w:val="24"/>
          <w:rtl w:val="0"/>
        </w:rPr>
        <w:t xml:space="preserve">. Nesse sentido, não se trata apenas de atores operando racionalmente, mesmo que tal racionalidade seja contextualmente limitada, perante instituições externas, mas, como Scharpf </w:t>
      </w:r>
      <w:hyperlink r:id="rId74">
        <w:r w:rsidDel="00000000" w:rsidR="00000000" w:rsidRPr="00000000">
          <w:rPr>
            <w:rFonts w:ascii="Times New Roman" w:cs="Times New Roman" w:eastAsia="Times New Roman" w:hAnsi="Times New Roman"/>
            <w:sz w:val="24"/>
            <w:szCs w:val="24"/>
            <w:rtl w:val="0"/>
          </w:rPr>
          <w:t xml:space="preserve">(2018, p. 39)</w:t>
        </w:r>
      </w:hyperlink>
      <w:r w:rsidDel="00000000" w:rsidR="00000000" w:rsidRPr="00000000">
        <w:rPr>
          <w:rFonts w:ascii="Times New Roman" w:cs="Times New Roman" w:eastAsia="Times New Roman" w:hAnsi="Times New Roman"/>
          <w:sz w:val="24"/>
          <w:szCs w:val="24"/>
          <w:rtl w:val="0"/>
        </w:rPr>
        <w:t xml:space="preserve"> argumenta, de atores coletivos que apenas existem e podem operar pois seus membros individuais coordenam suas ações frente a um referencial institucional. Assim, instituições são externas e internas aos atores. São ao mesmo tempo resultado de suas ações e condição de sua existência.</w:t>
      </w:r>
    </w:p>
    <w:p w:rsidR="00000000" w:rsidDel="00000000" w:rsidP="00000000" w:rsidRDefault="00000000" w:rsidRPr="00000000" w14:paraId="000000A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7: conjuntos preliminares de instituições relevantes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220"/>
        <w:gridCol w:w="3984.9999999999995"/>
        <w:gridCol w:w="2000.0000000000005"/>
        <w:tblGridChange w:id="0">
          <w:tblGrid>
            <w:gridCol w:w="1155"/>
            <w:gridCol w:w="2220"/>
            <w:gridCol w:w="3984.9999999999995"/>
            <w:gridCol w:w="2000.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Conjunto de Instituições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Exemplos de variável para operacionalização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Escala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Regime político e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Democracia; Ditadura; Presidencialismo de coalizão; grau de centralismo e federalização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Nacional, Estadual, sub-regional e municipal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Planos de Desenvolvimento / Política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Plano Brasil Maior, II plano de Desenvolvimento; (Isenções fiscais; privatizações; crédito subsidiado)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Nacional, Estadual, sub-Regional e municipal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Restritiva; expansionista; taxa de juros; meta de inflação; regime da dívida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Arranjos intermunicipais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Consórcio do ABC; fórum demissão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 externa (relações comerciais)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Abertura comercial; protecionismo; acordos de livre comércio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 Tributária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Impostos federais, impostos estaduais e municipais; isenções fiscais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Nacional, Estadual e municipal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Legislação trabalhista e seguridade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CLT; reformas trabalhistas, seguridade social, legislação sobre sindicatos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Econômica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Mercado de Câmbio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Cotação do Dólar; regime cambial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Internacional e Nacional</w:t>
            </w:r>
          </w:p>
        </w:tc>
      </w:tr>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Econômica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Mercado de Crédito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Ofertas de crédito público e privado; crédito subsidiado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Internacional e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Econômica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Mercado de Capitais 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Ações de 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Internacional e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Econômica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Classificação de risco e investimento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Mudanças nos ratings de risco; avaliações internacionais sobre o mercado brasileiro, dívida pública, setores econômicos ou 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Internacional e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Crenças Corporativas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Realocação produtiva; flexibilização do trabalho; redução de custos; estratégias de mercado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Internacional, Nacional e sub-regional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de desenvolvimento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Vocação agrária; desenvolvimento via indústria, tradição no setor automotivo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Internacional, Nacional e sub-regional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Ideologia dominante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Neoliberalismo; nacionalismo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Internacional, Nacional e sub-regional</w:t>
            </w:r>
          </w:p>
        </w:tc>
      </w:tr>
    </w:tbl>
    <w:p w:rsidR="00000000" w:rsidDel="00000000" w:rsidP="00000000" w:rsidRDefault="00000000" w:rsidRPr="00000000" w14:paraId="000000E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autoria própria, instituições econômicas formuladas a partir de Santos </w:t>
      </w:r>
      <w:hyperlink r:id="rId75">
        <w:r w:rsidDel="00000000" w:rsidR="00000000" w:rsidRPr="00000000">
          <w:rPr>
            <w:rFonts w:ascii="Times New Roman" w:cs="Times New Roman" w:eastAsia="Times New Roman" w:hAnsi="Times New Roman"/>
            <w:sz w:val="20"/>
            <w:szCs w:val="20"/>
            <w:rtl w:val="0"/>
          </w:rPr>
          <w:t xml:space="preserve">(2024)</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sua vez, as fontes de mudanças exógenas foram classificadas como “choques externos” e na tabela 8 (página 28-29) também é apresentada uma breve esquematização das variáveis consideradas como indicadores desses choques, sendo seu impacto ou não nas instituições uma questão empírica. Como mencionado, a proposta é generalizar ocorrências específicas em categorias de eventos que sejam comparáveis entre sequências temporais distintas </w:t>
      </w:r>
      <w:hyperlink r:id="rId76">
        <w:r w:rsidDel="00000000" w:rsidR="00000000" w:rsidRPr="00000000">
          <w:rPr>
            <w:rFonts w:ascii="Times New Roman" w:cs="Times New Roman" w:eastAsia="Times New Roman" w:hAnsi="Times New Roman"/>
            <w:sz w:val="24"/>
            <w:szCs w:val="24"/>
            <w:rtl w:val="0"/>
          </w:rPr>
          <w:t xml:space="preserve">(Mahoney e Falleti, 2015)</w:t>
        </w:r>
      </w:hyperlink>
      <w:r w:rsidDel="00000000" w:rsidR="00000000" w:rsidRPr="00000000">
        <w:rPr>
          <w:rFonts w:ascii="Times New Roman" w:cs="Times New Roman" w:eastAsia="Times New Roman" w:hAnsi="Times New Roman"/>
          <w:sz w:val="24"/>
          <w:szCs w:val="24"/>
          <w:rtl w:val="0"/>
        </w:rPr>
        <w:t xml:space="preserve">. Por exemplo, diversas crises econômicas internacionais podem ser classificadas no tipo de evento “crise econômica externa”.</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Os eventos podem ser analisados considerando sua duração e sequência (</w:t>
      </w:r>
      <w:hyperlink r:id="rId77">
        <w:r w:rsidDel="00000000" w:rsidR="00000000" w:rsidRPr="00000000">
          <w:rPr>
            <w:rFonts w:ascii="Times New Roman" w:cs="Times New Roman" w:eastAsia="Times New Roman" w:hAnsi="Times New Roman"/>
            <w:sz w:val="24"/>
            <w:szCs w:val="24"/>
            <w:rtl w:val="0"/>
          </w:rPr>
          <w:t xml:space="preserve">Mahoney e Falleti, 2015</w:t>
        </w:r>
      </w:hyperlink>
      <w:r w:rsidDel="00000000" w:rsidR="00000000" w:rsidRPr="00000000">
        <w:rPr>
          <w:rFonts w:ascii="Times New Roman" w:cs="Times New Roman" w:eastAsia="Times New Roman" w:hAnsi="Times New Roman"/>
          <w:sz w:val="24"/>
          <w:szCs w:val="24"/>
          <w:rtl w:val="0"/>
        </w:rPr>
        <w:t xml:space="preserve">). Assim, a título de exemplo, a longa duração da crise inflacionária brasileira dos anos 1980 é relevante para entender seus impactos. Da mesma forma, a precedência da crise das </w:t>
      </w:r>
      <w:r w:rsidDel="00000000" w:rsidR="00000000" w:rsidRPr="00000000">
        <w:rPr>
          <w:rFonts w:ascii="Times New Roman" w:cs="Times New Roman" w:eastAsia="Times New Roman" w:hAnsi="Times New Roman"/>
          <w:i w:val="1"/>
          <w:iCs w:val="1"/>
          <w:sz w:val="24"/>
          <w:szCs w:val="24"/>
          <w:rtl w:val="0"/>
        </w:rPr>
        <w:t xml:space="preserve">commodities </w:t>
      </w:r>
      <w:r w:rsidDel="00000000" w:rsidR="00000000" w:rsidRPr="00000000">
        <w:rPr>
          <w:rFonts w:ascii="Times New Roman" w:cs="Times New Roman" w:eastAsia="Times New Roman" w:hAnsi="Times New Roman"/>
          <w:sz w:val="24"/>
          <w:szCs w:val="24"/>
          <w:rtl w:val="0"/>
        </w:rPr>
        <w:t xml:space="preserve">em relação ao impeachment de Dilma Rousseff também é fator relevante. Alguns desses eventos podem ser considerados causalmente necessários ou suficientes a outros, enquanto algumas sequências temporais podem meramente ser ordenadas, sem causalidade necessária </w:t>
      </w:r>
      <w:hyperlink r:id="rId78">
        <w:r w:rsidDel="00000000" w:rsidR="00000000" w:rsidRPr="00000000">
          <w:rPr>
            <w:rFonts w:ascii="Times New Roman" w:cs="Times New Roman" w:eastAsia="Times New Roman" w:hAnsi="Times New Roman"/>
            <w:sz w:val="24"/>
            <w:szCs w:val="24"/>
            <w:rtl w:val="0"/>
          </w:rPr>
          <w:t xml:space="preserve">(Abbott, 1984; Mahoney e Falleti, 2015)</w:t>
        </w:r>
      </w:hyperlink>
      <w:r w:rsidDel="00000000" w:rsidR="00000000" w:rsidRPr="00000000">
        <w:rPr>
          <w:rFonts w:ascii="Times New Roman" w:cs="Times New Roman" w:eastAsia="Times New Roman" w:hAnsi="Times New Roman"/>
          <w:sz w:val="24"/>
          <w:szCs w:val="24"/>
          <w:rtl w:val="0"/>
        </w:rPr>
        <w:t xml:space="preserve">. A consideração das sequências de eventos, em algum grau generalizáveis, permite a constituição de uma narrativa verossimilhante que pode ser utilizada como fator explicativo </w:t>
      </w:r>
      <w:hyperlink r:id="rId79">
        <w:r w:rsidDel="00000000" w:rsidR="00000000" w:rsidRPr="00000000">
          <w:rPr>
            <w:rFonts w:ascii="Times New Roman" w:cs="Times New Roman" w:eastAsia="Times New Roman" w:hAnsi="Times New Roman"/>
            <w:sz w:val="24"/>
            <w:szCs w:val="24"/>
            <w:rtl w:val="0"/>
          </w:rPr>
          <w:t xml:space="preserve">(Abell, 2004)</w:t>
        </w:r>
      </w:hyperlink>
      <w:r w:rsidDel="00000000" w:rsidR="00000000" w:rsidRPr="00000000">
        <w:rPr>
          <w:rFonts w:ascii="Times New Roman" w:cs="Times New Roman" w:eastAsia="Times New Roman" w:hAnsi="Times New Roman"/>
          <w:sz w:val="24"/>
          <w:szCs w:val="24"/>
          <w:rtl w:val="0"/>
        </w:rPr>
        <w:t xml:space="preserve">. Por sua vez, o próprio caráter de “processo” implica um tipo específico de sequência na qual “os eventos ordenados pertencem a um dado tipo de atividade” (</w:t>
      </w:r>
      <w:hyperlink r:id="rId80">
        <w:r w:rsidDel="00000000" w:rsidR="00000000" w:rsidRPr="00000000">
          <w:rPr>
            <w:rFonts w:ascii="Times New Roman" w:cs="Times New Roman" w:eastAsia="Times New Roman" w:hAnsi="Times New Roman"/>
            <w:sz w:val="24"/>
            <w:szCs w:val="24"/>
            <w:rtl w:val="0"/>
          </w:rPr>
          <w:t xml:space="preserve">Mahoney e Falleti, 2015</w:t>
        </w:r>
      </w:hyperlink>
      <w:r w:rsidDel="00000000" w:rsidR="00000000" w:rsidRPr="00000000">
        <w:rPr>
          <w:rFonts w:ascii="Times New Roman" w:cs="Times New Roman" w:eastAsia="Times New Roman" w:hAnsi="Times New Roman"/>
          <w:sz w:val="24"/>
          <w:szCs w:val="24"/>
          <w:rtl w:val="0"/>
        </w:rPr>
        <w:t xml:space="preserve">, p.214)</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8: categorias de eventos relativos a “choques externos”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5040"/>
        <w:tblGridChange w:id="0">
          <w:tblGrid>
            <w:gridCol w:w="432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Categoria de choque externo</w:t>
            </w:r>
            <w:r w:rsidDel="00000000" w:rsidR="00000000" w:rsidRPr="00000000">
              <w:rPr>
                <w:rFonts w:ascii="Times New Roman" w:cs="Times New Roman" w:eastAsia="Times New Roman" w:hAnsi="Times New Roman"/>
                <w:b w:val="1"/>
                <w:bCs w:val="1"/>
                <w:sz w:val="20"/>
                <w:szCs w:val="20"/>
                <w:vertAlign w:val="superscript"/>
              </w:rPr>
              <w:footnoteReference w:customMarkFollows="0"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Exemplos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Alternância de governo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1985 - eleição de Tancredo Neves; 2003 - eleição de Lula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Instabilidade política e disputa política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Impeachment Dilma; Impeachment Collor;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Crise econômica internacional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2º crise do petróleo (1979); crise do subprime (2008)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Crise economica nacional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Crise de 2014-2016; Crise inflacionária (1979-1994)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Variações de preços de commodities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Crise das commodities (2011-2014)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Variação cambial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Desvalorização cambial de 2011 em diante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Variação nas taxas de juros internacionais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Alteração das taxas de juros americanas pelo FED (1981)</w:t>
            </w:r>
          </w:p>
        </w:tc>
      </w:tr>
    </w:tbl>
    <w:p w:rsidR="00000000" w:rsidDel="00000000" w:rsidP="00000000" w:rsidRDefault="00000000" w:rsidRPr="00000000" w14:paraId="000000F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autoria própria</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ponto, vale reforçar que, se instituições são as variáveis, a unidade de análise</w:t>
        <w:tab/>
        <w:t xml:space="preserve">são as sequências temporais. De fato, Falleti e Mahoney </w:t>
      </w:r>
      <w:hyperlink r:id="rId81">
        <w:r w:rsidDel="00000000" w:rsidR="00000000" w:rsidRPr="00000000">
          <w:rPr>
            <w:rFonts w:ascii="Times New Roman" w:cs="Times New Roman" w:eastAsia="Times New Roman" w:hAnsi="Times New Roman"/>
            <w:sz w:val="24"/>
            <w:szCs w:val="24"/>
            <w:rtl w:val="0"/>
          </w:rPr>
          <w:t xml:space="preserve">(2015)</w:t>
        </w:r>
      </w:hyperlink>
      <w:r w:rsidDel="00000000" w:rsidR="00000000" w:rsidRPr="00000000">
        <w:rPr>
          <w:rFonts w:ascii="Times New Roman" w:cs="Times New Roman" w:eastAsia="Times New Roman" w:hAnsi="Times New Roman"/>
          <w:sz w:val="24"/>
          <w:szCs w:val="24"/>
          <w:rtl w:val="0"/>
        </w:rPr>
        <w:t xml:space="preserve"> argumentam que a unidade de análise básica das comparações históricas são as sequências. Isso permite exercitar um conjunto de observações e comparações mesmo internamente a um único caso, na medida em que diversas sequências podem ocorrer em paralelo </w:t>
      </w:r>
      <w:hyperlink r:id="rId82">
        <w:r w:rsidDel="00000000" w:rsidR="00000000" w:rsidRPr="00000000">
          <w:rPr>
            <w:rFonts w:ascii="Times New Roman" w:cs="Times New Roman" w:eastAsia="Times New Roman" w:hAnsi="Times New Roman"/>
            <w:sz w:val="24"/>
            <w:szCs w:val="24"/>
            <w:rtl w:val="0"/>
          </w:rPr>
          <w:t xml:space="preserve">(Mahoney e Falleti, 2015)</w:t>
        </w:r>
      </w:hyperlink>
      <w:r w:rsidDel="00000000" w:rsidR="00000000" w:rsidRPr="00000000">
        <w:rPr>
          <w:rFonts w:ascii="Times New Roman" w:cs="Times New Roman" w:eastAsia="Times New Roman" w:hAnsi="Times New Roman"/>
          <w:sz w:val="24"/>
          <w:szCs w:val="24"/>
          <w:rtl w:val="0"/>
        </w:rPr>
        <w:t xml:space="preserve">. Assim, novamente em caráter ilustrativo, o processo de desindustrialização poderia ser lido como duas sequências paralelas, uma de transformações tecnológicas e outra relativa às transformações nas relações de trabalho, que se reforçam mutuamente, permitindo uma drástica redução da força de trabalho industrial. Essa concepção ajuda a evitar narrativas excessivamente deterministas sobre os processos.</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 fim, pode-se esquematizar provisoriamente os conjuntos de atores considerados mais relevantes. Como discutido, instituições são frequentemente transversais a atores e sua compreensão precisa ser mútua de forma a compreender a racionalidade dos segundos </w:t>
      </w:r>
      <w:hyperlink r:id="rId83">
        <w:r w:rsidDel="00000000" w:rsidR="00000000" w:rsidRPr="00000000">
          <w:rPr>
            <w:rFonts w:ascii="Times New Roman" w:cs="Times New Roman" w:eastAsia="Times New Roman" w:hAnsi="Times New Roman"/>
            <w:sz w:val="24"/>
            <w:szCs w:val="24"/>
            <w:rtl w:val="0"/>
          </w:rPr>
          <w:t xml:space="preserve">(Santos, 2019; Scharpf, 2018)</w:t>
        </w:r>
      </w:hyperlink>
      <w:r w:rsidDel="00000000" w:rsidR="00000000" w:rsidRPr="00000000">
        <w:rPr>
          <w:rFonts w:ascii="Times New Roman" w:cs="Times New Roman" w:eastAsia="Times New Roman" w:hAnsi="Times New Roman"/>
          <w:sz w:val="24"/>
          <w:szCs w:val="24"/>
          <w:rtl w:val="0"/>
        </w:rPr>
        <w:t xml:space="preserve">. De toda forma, o elenco de atores capazes de influenciar significativamente as instituições (ou ser diretamente influenciado por elas) depende da definição das mesmas e da escala analítica considerada.</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sz w:val="24"/>
          <w:szCs w:val="24"/>
          <w:rtl w:val="0"/>
        </w:rPr>
        <w:t xml:space="preserve">Entre os atores ligados ao Estado considerados relevantes estão, então, o poder público na forma dos governos em níveis federal, estadual e municipal, além do poder legislativo e outras organizações ligadas ao Estado, como o Ministério Público. Optou-se por não tratar o Estado como um ator único e sim um conjunto de atores/organizações. Enfatiza-se que, em que pese a existência de políticas de Estado transversais a diversos governos, no caso brasileiro a especificidade de cada governo é relevante para entender sua relação com a questão do desenvolvimento econômico e indústria. Assim, é dada ênfase à particularidade ideológica e também ao interesse político e econômico dos poderes executivo e legislativo, seus principais representantes e membros, em diferentes níveis e momentos.</w:t>
      </w:r>
    </w:p>
    <w:p w:rsidR="00000000" w:rsidDel="00000000" w:rsidP="00000000" w:rsidRDefault="00000000" w:rsidRPr="00000000" w14:paraId="0000010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também relevantes as empresas e suas estratégias corporativas </w:t>
      </w:r>
      <w:hyperlink r:id="rId84">
        <w:r w:rsidDel="00000000" w:rsidR="00000000" w:rsidRPr="00000000">
          <w:rPr>
            <w:rFonts w:ascii="Times New Roman" w:cs="Times New Roman" w:eastAsia="Times New Roman" w:hAnsi="Times New Roman"/>
            <w:sz w:val="24"/>
            <w:szCs w:val="24"/>
            <w:rtl w:val="0"/>
          </w:rPr>
          <w:t xml:space="preserve">(Santos e Ramalho, 2015)</w:t>
        </w:r>
      </w:hyperlink>
      <w:r w:rsidDel="00000000" w:rsidR="00000000" w:rsidRPr="00000000">
        <w:rPr>
          <w:rFonts w:ascii="Times New Roman" w:cs="Times New Roman" w:eastAsia="Times New Roman" w:hAnsi="Times New Roman"/>
          <w:sz w:val="24"/>
          <w:szCs w:val="24"/>
          <w:rtl w:val="0"/>
        </w:rPr>
        <w:t xml:space="preserve">. Estas por vezes se articulam em associações empresariais de forma a mais diretamente buscar influenciar os rumos das políticas de seus respectivos setores. É importante compreender aqui os contextos de racionalidade desses atores econômicos, mais do que suas estratégias particulares. Assim, padrões de estratégias corporativas – como busca de flexibilização, realocação produtiva, ciclos de investimento, etc – são consideradas frente a contextos políticos e econômicos.</w:t>
      </w:r>
    </w:p>
    <w:p w:rsidR="00000000" w:rsidDel="00000000" w:rsidP="00000000" w:rsidRDefault="00000000" w:rsidRPr="00000000" w14:paraId="000001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da sociedade civil, movimentos sociais são considerados importantes articuladores das demandas sociais. Assim, acabam por exercer pressão tanto sobre o Estado como sobre as empresas e suas estratégias. Entre os movimentos sociais considerados, é dada primazia à análise do papel de sindicatos, devido a sua articulação mais direta com as questões do emprego e  do desenvolvimento econômico.</w:t>
      </w:r>
    </w:p>
    <w:p w:rsidR="00000000" w:rsidDel="00000000" w:rsidP="00000000" w:rsidRDefault="00000000" w:rsidRPr="00000000" w14:paraId="000001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atores “externos” de caráter transnacional são também importantes na medida em que são balizadores de instituições fortemente influentes. Exemplos disso são o Fundo Monetário Internacional (FMI), a Organização Mundial do Comércio (OMC) e as agências de classificação de risco. Esses atores se relacionam a instituições significativas na escala nacional, a saber: a gestão da dívida externa e também a política fiscal do governo por parte do FMI; as políticas de comércio externo e subsídios a setores específicos, a qual se relaciona a OMC; a classificação de risco do país por parte das agências classificadoras, que determina regras para investimento externo no país e também normatiza, do ponto de vista de investidores externos, a política econômica e fiscal “desejável”.</w:t>
      </w:r>
    </w:p>
    <w:p w:rsidR="00000000" w:rsidDel="00000000" w:rsidP="00000000" w:rsidRDefault="00000000" w:rsidRPr="00000000" w14:paraId="00000105">
      <w:pPr>
        <w:pStyle w:val="Heading2"/>
        <w:spacing w:before="400" w:line="360" w:lineRule="auto"/>
        <w:jc w:val="both"/>
        <w:rPr>
          <w:rFonts w:ascii="Times New Roman" w:cs="Times New Roman" w:eastAsia="Times New Roman" w:hAnsi="Times New Roman"/>
          <w:b w:val="1"/>
          <w:bCs w:val="1"/>
          <w:sz w:val="24"/>
          <w:szCs w:val="24"/>
        </w:rPr>
      </w:pPr>
      <w:bookmarkStart w:colFirst="0" w:colLast="0" w:name="_tp6pvvvcggu0" w:id="5"/>
      <w:bookmarkEnd w:id="5"/>
      <w:r w:rsidDel="00000000" w:rsidR="00000000" w:rsidRPr="00000000">
        <w:rPr>
          <w:rFonts w:ascii="Times New Roman" w:cs="Times New Roman" w:eastAsia="Times New Roman" w:hAnsi="Times New Roman"/>
          <w:b w:val="1"/>
          <w:bCs w:val="1"/>
          <w:sz w:val="24"/>
          <w:szCs w:val="24"/>
          <w:rtl w:val="0"/>
        </w:rPr>
        <w:t xml:space="preserve">5. Materiais e métodos</w:t>
      </w:r>
    </w:p>
    <w:p w:rsidR="00000000" w:rsidDel="00000000" w:rsidP="00000000" w:rsidRDefault="00000000" w:rsidRPr="00000000" w14:paraId="000001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dos indicadores anteriormente mencionados, pode ser estabelecida uma tabela de dados quantitativos a serem coletados e suas respectivas fontes. Inicialmente se utilizarão os dados sempre disponibilizados anualmente, mas caso necessário é possível agregar dados de periodicidade mais curta.</w:t>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9: indicadores quantitativos e fontes</w:t>
      </w:r>
    </w:p>
    <w:tbl>
      <w:tblPr>
        <w:tblStyle w:val="Table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380"/>
        <w:gridCol w:w="2070"/>
        <w:gridCol w:w="1520.0000000000005"/>
        <w:gridCol w:w="2904.9999999999995"/>
        <w:tblGridChange w:id="0">
          <w:tblGrid>
            <w:gridCol w:w="1500"/>
            <w:gridCol w:w="1380"/>
            <w:gridCol w:w="2070"/>
            <w:gridCol w:w="1520.0000000000005"/>
            <w:gridCol w:w="2904.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Granularidade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Cobertura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Observações e precauções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Dados do PIB nacional e setores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Contas Nacionais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até o nível do sub-setor (ex. Indústria de transformação)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 o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Possui mudanças metodológicas que implicam descontinuidades das séries temporais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Dados do PIB estadual e setores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Contas Regionais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até o nível do sub-setor (ex. Indústria de transformação)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1985 em 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Possui mudanças metodológicas que implicam descontinuidades das séries temporais</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Soma dos dados estaduais pode divergir do PIB nacional em função de diferenças metodológicas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Dados do PIB municipal e setores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PIB Municipal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apenas até setor  (indústria)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2002 em 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Dados estimados pelo IBGE, menos confiáveis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Dados do PIB internacional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World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Granularidade do dado varia por país e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 nacional e agregado mundo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Empregos industriais e mercado de trabalho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RAIS - Min. da 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Subsetores industriais e, em alguns períodos, setores da CNAE, granularidade pode ser menos para 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1975 em 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 nacional, estadual e municipal;</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Variação metodológica e na qualidade de coleta dos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Produção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PIM-IBGE</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PIA - IBGE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Subsetores industriais e, em alguns períodos, setores da CNAE, granularidade pode ser menos para 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PIM - 2002 em diante</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PIA - 1966 em diante (com diversos lapsos)</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 nacional e estadual</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Variação na classificação das empresas (mudanças em CNAE)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estabelecimentos industriais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PIM-IBGE</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PIA - IBGE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Subsetores industriais e, em alguns períodos, setores da CNAE, granularidade pode ser menos para 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PIM - 2002 em diante</w:t>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PIA - 1966 em diante (com diversos lapsos)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 nacional e estadual</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Variação na classificação das empresas (mudanças em CNAE)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Taxa de câmbio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IPEA ou Banco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 período, mas com gradual perda de relevância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Mudanças de moeda, regimes cambiais e inflação acumulada dificultam análise de dados pré 1994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Preço commodities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 o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Preços em dólar dificultam análise diante de mudanças cambiais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Taxa de juros 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Banco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 o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Taxas de juros internacionais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Diversos / 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 o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priori necessário balizar pelas taxas de juros americanas</w:t>
            </w:r>
          </w:p>
        </w:tc>
      </w:tr>
    </w:tbl>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autoria própria</w:t>
      </w:r>
    </w:p>
    <w:p w:rsidR="00000000" w:rsidDel="00000000" w:rsidP="00000000" w:rsidRDefault="00000000" w:rsidRPr="00000000" w14:paraId="0000015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estratégia de análise dos dados quantitativos será a análise de séries temporais </w:t>
      </w:r>
      <w:hyperlink r:id="rId85">
        <w:r w:rsidDel="00000000" w:rsidR="00000000" w:rsidRPr="00000000">
          <w:rPr>
            <w:rFonts w:ascii="Times New Roman" w:cs="Times New Roman" w:eastAsia="Times New Roman" w:hAnsi="Times New Roman"/>
            <w:sz w:val="24"/>
            <w:szCs w:val="24"/>
            <w:rtl w:val="0"/>
          </w:rPr>
          <w:t xml:space="preserve">(Shin, 2017)</w:t>
        </w:r>
      </w:hyperlink>
      <w:r w:rsidDel="00000000" w:rsidR="00000000" w:rsidRPr="00000000">
        <w:rPr>
          <w:rFonts w:ascii="Times New Roman" w:cs="Times New Roman" w:eastAsia="Times New Roman" w:hAnsi="Times New Roman"/>
          <w:sz w:val="24"/>
          <w:szCs w:val="24"/>
          <w:rtl w:val="0"/>
        </w:rPr>
        <w:t xml:space="preserve">. Dentro desta será enfatizada a análise gráfica de tendência a partir de médias móveis e, em alguns casos, o uso de regressões lineares múltiplas para verificar o peso de dada variável. Também será analisada a correlação entre conjuntos de séries temporais.</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Já o conjunto de dados qualitativos a serem coletados e analisados é provisoriamente esquematizado, de forma não exaustiva, na tabela a seguir. Apenas serão trabalhadas de forma sistemática as fontes primárias relativas a alguns conjuntos de instituições. Para outras instituições, atores coletivos e choques externos será utilizada de pesquisa bibliográfica de forma a consolidar dados de fontes secundárias. A estratégia de análise do material será a análise documental </w:t>
      </w:r>
      <w:hyperlink r:id="rId86">
        <w:r w:rsidDel="00000000" w:rsidR="00000000" w:rsidRPr="00000000">
          <w:rPr>
            <w:rFonts w:ascii="Times New Roman" w:cs="Times New Roman" w:eastAsia="Times New Roman" w:hAnsi="Times New Roman"/>
            <w:sz w:val="24"/>
            <w:szCs w:val="24"/>
            <w:rtl w:val="0"/>
          </w:rPr>
          <w:t xml:space="preserve">(Bowen, 2009)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10: fontes de dados qualitativos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5.0000000000005"/>
        <w:gridCol w:w="5945"/>
        <w:tblGridChange w:id="0">
          <w:tblGrid>
            <w:gridCol w:w="3415.0000000000005"/>
            <w:gridCol w:w="5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Planos nacionais de desenvolvimento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0"/>
                <w:szCs w:val="20"/>
              </w:rPr>
            </w:pPr>
            <w:hyperlink r:id="rId87">
              <w:r w:rsidDel="00000000" w:rsidR="00000000" w:rsidRPr="00000000">
                <w:rPr>
                  <w:rFonts w:ascii="Times New Roman" w:cs="Times New Roman" w:eastAsia="Times New Roman" w:hAnsi="Times New Roman"/>
                  <w:color w:val="1155cc"/>
                  <w:sz w:val="20"/>
                  <w:szCs w:val="20"/>
                  <w:u w:val="single"/>
                  <w:rtl w:val="0"/>
                </w:rPr>
                <w:t xml:space="preserve">Home — Portal da Legislação (planalto.gov.br)</w:t>
              </w:r>
            </w:hyperlink>
            <w:r w:rsidDel="00000000" w:rsidR="00000000" w:rsidRPr="00000000">
              <w:rPr>
                <w:rtl w:val="0"/>
              </w:rPr>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0"/>
                <w:szCs w:val="20"/>
              </w:rPr>
            </w:pPr>
            <w:hyperlink r:id="rId88">
              <w:r w:rsidDel="00000000" w:rsidR="00000000" w:rsidRPr="00000000">
                <w:rPr>
                  <w:rFonts w:ascii="Times New Roman" w:cs="Times New Roman" w:eastAsia="Times New Roman" w:hAnsi="Times New Roman"/>
                  <w:color w:val="1155cc"/>
                  <w:sz w:val="20"/>
                  <w:szCs w:val="20"/>
                  <w:u w:val="single"/>
                  <w:rtl w:val="0"/>
                </w:rPr>
                <w:t xml:space="preserve">https://bibliotecadigital.economia.gov.br/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Legislação nacional referente a indústria e outros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0"/>
                <w:szCs w:val="20"/>
              </w:rPr>
            </w:pPr>
            <w:hyperlink r:id="rId89">
              <w:r w:rsidDel="00000000" w:rsidR="00000000" w:rsidRPr="00000000">
                <w:rPr>
                  <w:rFonts w:ascii="Times New Roman" w:cs="Times New Roman" w:eastAsia="Times New Roman" w:hAnsi="Times New Roman"/>
                  <w:color w:val="1155cc"/>
                  <w:sz w:val="20"/>
                  <w:szCs w:val="20"/>
                  <w:u w:val="single"/>
                  <w:rtl w:val="0"/>
                </w:rPr>
                <w:t xml:space="preserve">https://www.camara.leg.br/</w:t>
              </w:r>
            </w:hyperlink>
            <w:r w:rsidDel="00000000" w:rsidR="00000000" w:rsidRPr="00000000">
              <w:rPr>
                <w:rtl w:val="0"/>
              </w:rPr>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0"/>
                <w:szCs w:val="20"/>
              </w:rPr>
            </w:pPr>
            <w:hyperlink r:id="rId90">
              <w:r w:rsidDel="00000000" w:rsidR="00000000" w:rsidRPr="00000000">
                <w:rPr>
                  <w:rFonts w:ascii="Times New Roman" w:cs="Times New Roman" w:eastAsia="Times New Roman" w:hAnsi="Times New Roman"/>
                  <w:color w:val="1155cc"/>
                  <w:sz w:val="20"/>
                  <w:szCs w:val="20"/>
                  <w:u w:val="single"/>
                  <w:rtl w:val="0"/>
                </w:rPr>
                <w:t xml:space="preserve">Biblioteca — Portal Institucional do Senado Federal</w:t>
              </w:r>
            </w:hyperlink>
            <w:r w:rsidDel="00000000" w:rsidR="00000000" w:rsidRPr="00000000">
              <w:rPr>
                <w:rtl w:val="0"/>
              </w:rPr>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0"/>
                <w:szCs w:val="20"/>
              </w:rPr>
            </w:pPr>
            <w:hyperlink r:id="rId91">
              <w:r w:rsidDel="00000000" w:rsidR="00000000" w:rsidRPr="00000000">
                <w:rPr>
                  <w:rFonts w:ascii="Times New Roman" w:cs="Times New Roman" w:eastAsia="Times New Roman" w:hAnsi="Times New Roman"/>
                  <w:color w:val="1155cc"/>
                  <w:sz w:val="20"/>
                  <w:szCs w:val="20"/>
                  <w:u w:val="single"/>
                  <w:rtl w:val="0"/>
                </w:rPr>
                <w:t xml:space="preserve">DSpace Repository :: Home (camara.leg.br)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Legislação Estadual referente a indústria e outros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hyperlink r:id="rId92">
              <w:r w:rsidDel="00000000" w:rsidR="00000000" w:rsidRPr="00000000">
                <w:rPr>
                  <w:rFonts w:ascii="Times New Roman" w:cs="Times New Roman" w:eastAsia="Times New Roman" w:hAnsi="Times New Roman"/>
                  <w:color w:val="1155cc"/>
                  <w:sz w:val="20"/>
                  <w:szCs w:val="20"/>
                  <w:u w:val="single"/>
                  <w:rtl w:val="0"/>
                </w:rPr>
                <w:t xml:space="preserve">ALERJ - Assembléia Legislativa do Estado do Rio de Janeiro</w:t>
              </w:r>
            </w:hyperlink>
            <w:r w:rsidDel="00000000" w:rsidR="00000000" w:rsidRPr="00000000">
              <w:rPr>
                <w:rtl w:val="0"/>
              </w:rPr>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0"/>
                <w:szCs w:val="20"/>
              </w:rPr>
            </w:pPr>
            <w:hyperlink r:id="rId93">
              <w:r w:rsidDel="00000000" w:rsidR="00000000" w:rsidRPr="00000000">
                <w:rPr>
                  <w:rFonts w:ascii="Times New Roman" w:cs="Times New Roman" w:eastAsia="Times New Roman" w:hAnsi="Times New Roman"/>
                  <w:color w:val="1155cc"/>
                  <w:sz w:val="20"/>
                  <w:szCs w:val="20"/>
                  <w:u w:val="single"/>
                  <w:rtl w:val="0"/>
                </w:rPr>
                <w:t xml:space="preserve">Legislação - Secretaria de Estado de Fazenda do Rio de Janeiro</w:t>
              </w:r>
            </w:hyperlink>
            <w:r w:rsidDel="00000000" w:rsidR="00000000" w:rsidRPr="00000000">
              <w:rPr>
                <w:rtl w:val="0"/>
              </w:rPr>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0"/>
                <w:szCs w:val="20"/>
              </w:rPr>
            </w:pPr>
            <w:hyperlink r:id="rId94">
              <w:r w:rsidDel="00000000" w:rsidR="00000000" w:rsidRPr="00000000">
                <w:rPr>
                  <w:rFonts w:ascii="Times New Roman" w:cs="Times New Roman" w:eastAsia="Times New Roman" w:hAnsi="Times New Roman"/>
                  <w:color w:val="1155cc"/>
                  <w:sz w:val="20"/>
                  <w:szCs w:val="20"/>
                  <w:u w:val="single"/>
                  <w:rtl w:val="0"/>
                </w:rPr>
                <w:t xml:space="preserve">Legislação do Estado de São Paulo (legislacao.sp.gov.br)</w:t>
              </w:r>
            </w:hyperlink>
            <w:r w:rsidDel="00000000" w:rsidR="00000000" w:rsidRPr="00000000">
              <w:rPr>
                <w:rtl w:val="0"/>
              </w:rPr>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0"/>
                <w:szCs w:val="20"/>
              </w:rPr>
            </w:pPr>
            <w:hyperlink r:id="rId95">
              <w:r w:rsidDel="00000000" w:rsidR="00000000" w:rsidRPr="00000000">
                <w:rPr>
                  <w:rFonts w:ascii="Times New Roman" w:cs="Times New Roman" w:eastAsia="Times New Roman" w:hAnsi="Times New Roman"/>
                  <w:color w:val="1155cc"/>
                  <w:sz w:val="20"/>
                  <w:szCs w:val="20"/>
                  <w:u w:val="single"/>
                  <w:rtl w:val="0"/>
                </w:rPr>
                <w:t xml:space="preserve">Legislação do Estado de São Paulo (fazenda.sp.gov.br)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Dados referentes ao ABC paulista e planejamento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0"/>
                <w:szCs w:val="20"/>
              </w:rPr>
            </w:pPr>
            <w:hyperlink r:id="rId96">
              <w:r w:rsidDel="00000000" w:rsidR="00000000" w:rsidRPr="00000000">
                <w:rPr>
                  <w:rFonts w:ascii="Times New Roman" w:cs="Times New Roman" w:eastAsia="Times New Roman" w:hAnsi="Times New Roman"/>
                  <w:color w:val="1155cc"/>
                  <w:sz w:val="20"/>
                  <w:szCs w:val="20"/>
                  <w:u w:val="single"/>
                  <w:rtl w:val="0"/>
                </w:rPr>
                <w:t xml:space="preserve">Consórcio Intermunicipal Grande ABC - ABCDMRR (consorcioabc.sp.gov.br)</w:t>
              </w:r>
            </w:hyperlink>
            <w:r w:rsidDel="00000000" w:rsidR="00000000" w:rsidRPr="00000000">
              <w:rPr>
                <w:rtl w:val="0"/>
              </w:rPr>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Diversos, oriundos das prefeituras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Dados referentes ao Sul Fluminense e planejamento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Diversos, principalmente oriundos das prefeituras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Relatórios setoriais da indústria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0"/>
                <w:szCs w:val="20"/>
              </w:rPr>
            </w:pPr>
            <w:hyperlink r:id="rId97">
              <w:r w:rsidDel="00000000" w:rsidR="00000000" w:rsidRPr="00000000">
                <w:rPr>
                  <w:rFonts w:ascii="Times New Roman" w:cs="Times New Roman" w:eastAsia="Times New Roman" w:hAnsi="Times New Roman"/>
                  <w:color w:val="1155cc"/>
                  <w:sz w:val="20"/>
                  <w:szCs w:val="20"/>
                  <w:u w:val="single"/>
                  <w:rtl w:val="0"/>
                </w:rPr>
                <w:t xml:space="preserve">Índices, pesquisas e publicações - FIESP</w:t>
              </w:r>
            </w:hyperlink>
            <w:r w:rsidDel="00000000" w:rsidR="00000000" w:rsidRPr="00000000">
              <w:rPr>
                <w:rtl w:val="0"/>
              </w:rPr>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0"/>
                <w:szCs w:val="20"/>
              </w:rPr>
            </w:pPr>
            <w:hyperlink r:id="rId98">
              <w:r w:rsidDel="00000000" w:rsidR="00000000" w:rsidRPr="00000000">
                <w:rPr>
                  <w:rFonts w:ascii="Times New Roman" w:cs="Times New Roman" w:eastAsia="Times New Roman" w:hAnsi="Times New Roman"/>
                  <w:color w:val="1155cc"/>
                  <w:sz w:val="20"/>
                  <w:szCs w:val="20"/>
                  <w:u w:val="single"/>
                  <w:rtl w:val="0"/>
                </w:rPr>
                <w:t xml:space="preserve">Publicações | Firjan</w:t>
              </w:r>
            </w:hyperlink>
            <w:r w:rsidDel="00000000" w:rsidR="00000000" w:rsidRPr="00000000">
              <w:rPr>
                <w:rtl w:val="0"/>
              </w:rPr>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0"/>
                <w:szCs w:val="20"/>
              </w:rPr>
            </w:pPr>
            <w:hyperlink r:id="rId99">
              <w:r w:rsidDel="00000000" w:rsidR="00000000" w:rsidRPr="00000000">
                <w:rPr>
                  <w:rFonts w:ascii="Times New Roman" w:cs="Times New Roman" w:eastAsia="Times New Roman" w:hAnsi="Times New Roman"/>
                  <w:color w:val="1155cc"/>
                  <w:sz w:val="20"/>
                  <w:szCs w:val="20"/>
                  <w:u w:val="single"/>
                  <w:rtl w:val="0"/>
                </w:rPr>
                <w:t xml:space="preserve">Carta da Indústria | Firjan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Notícias de jornais e outras fontes arquivísticas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Diversos</w:t>
            </w:r>
          </w:p>
        </w:tc>
      </w:tr>
    </w:tbl>
    <w:p w:rsidR="00000000" w:rsidDel="00000000" w:rsidP="00000000" w:rsidRDefault="00000000" w:rsidRPr="00000000" w14:paraId="0000017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autoria própria</w:t>
      </w:r>
    </w:p>
    <w:p w:rsidR="00000000" w:rsidDel="00000000" w:rsidP="00000000" w:rsidRDefault="00000000" w:rsidRPr="00000000" w14:paraId="000001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1">
      <w:pPr>
        <w:spacing w:line="240" w:lineRule="auto"/>
        <w:ind w:firstLine="72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Aqui vale pontuar que, devido a diversas problemáticas relacionadas ao uso do critério de participação da indústria no PIB </w:t>
      </w:r>
      <w:hyperlink r:id="rId1">
        <w:r w:rsidDel="00000000" w:rsidR="00000000" w:rsidRPr="00000000">
          <w:rPr>
            <w:rFonts w:ascii="Times New Roman" w:cs="Times New Roman" w:eastAsia="Times New Roman" w:hAnsi="Times New Roman"/>
            <w:sz w:val="20"/>
            <w:szCs w:val="20"/>
            <w:rtl w:val="0"/>
          </w:rPr>
          <w:t xml:space="preserve">(Torres e Cavalieri, 2015)</w:t>
        </w:r>
      </w:hyperlink>
      <w:r w:rsidDel="00000000" w:rsidR="00000000" w:rsidRPr="00000000">
        <w:rPr>
          <w:rFonts w:ascii="Times New Roman" w:cs="Times New Roman" w:eastAsia="Times New Roman" w:hAnsi="Times New Roman"/>
          <w:sz w:val="20"/>
          <w:szCs w:val="20"/>
          <w:rtl w:val="0"/>
        </w:rPr>
        <w:t xml:space="preserve">, somadas às mudanças regulares metodológicas do sistema de contas nacionais, há obstáculos na estimação do processo de desindustrialização brasileiro </w:t>
      </w:r>
      <w:hyperlink r:id="rId2">
        <w:r w:rsidDel="00000000" w:rsidR="00000000" w:rsidRPr="00000000">
          <w:rPr>
            <w:rFonts w:ascii="Times New Roman" w:cs="Times New Roman" w:eastAsia="Times New Roman" w:hAnsi="Times New Roman"/>
            <w:sz w:val="20"/>
            <w:szCs w:val="20"/>
            <w:rtl w:val="0"/>
          </w:rPr>
          <w:t xml:space="preserve">(Morceiro, 2021)</w:t>
        </w:r>
      </w:hyperlink>
      <w:r w:rsidDel="00000000" w:rsidR="00000000" w:rsidRPr="00000000">
        <w:rPr>
          <w:rFonts w:ascii="Times New Roman" w:cs="Times New Roman" w:eastAsia="Times New Roman" w:hAnsi="Times New Roman"/>
          <w:sz w:val="20"/>
          <w:szCs w:val="20"/>
          <w:rtl w:val="0"/>
        </w:rPr>
        <w:t xml:space="preserve">. Como será discutido posteriormente, a abordagem mais comum para identificar o fenômeno da desindustrialização nos estudos brasileiros tem sido a participação do setor de manufatura no PIB. Esse dado será usado inicialmente como estimativa da periodização, mas parte significativa da tese envolverá reelaborar essa periodização com uso de dados de participação de outros setores industriais, crescimento real dos setores e emprego industrial.</w:t>
      </w:r>
    </w:p>
  </w:footnote>
  <w:footnote w:id="1">
    <w:p w:rsidR="00000000" w:rsidDel="00000000" w:rsidP="00000000" w:rsidRDefault="00000000" w:rsidRPr="00000000" w14:paraId="00000182">
      <w:pPr>
        <w:spacing w:line="240" w:lineRule="auto"/>
        <w:ind w:firstLine="72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Tradução própria</w:t>
      </w:r>
    </w:p>
  </w:footnote>
  <w:footnote w:id="2">
    <w:p w:rsidR="00000000" w:rsidDel="00000000" w:rsidP="00000000" w:rsidRDefault="00000000" w:rsidRPr="00000000" w14:paraId="00000183">
      <w:pPr>
        <w:spacing w:line="240" w:lineRule="auto"/>
        <w:ind w:firstLine="72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Alguns outros eventos ou choques que podem ser de antemão esquematizados: Boom econômico nacional; Boom econômico internacional; Crise econômica nacional; Crise cambial internacional; Boom de commodities;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cZ1TJ0" TargetMode="External"/><Relationship Id="rId42" Type="http://schemas.openxmlformats.org/officeDocument/2006/relationships/hyperlink" Target="https://www.zotero.org/google-docs/?Z9OdAp" TargetMode="External"/><Relationship Id="rId41" Type="http://schemas.openxmlformats.org/officeDocument/2006/relationships/hyperlink" Target="https://www.zotero.org/google-docs/?QfN5PS" TargetMode="External"/><Relationship Id="rId44" Type="http://schemas.openxmlformats.org/officeDocument/2006/relationships/hyperlink" Target="https://www.zotero.org/google-docs/?rUYZC8" TargetMode="External"/><Relationship Id="rId43" Type="http://schemas.openxmlformats.org/officeDocument/2006/relationships/hyperlink" Target="https://www.zotero.org/google-docs/?ubVM0S" TargetMode="External"/><Relationship Id="rId46" Type="http://schemas.openxmlformats.org/officeDocument/2006/relationships/hyperlink" Target="https://www.zotero.org/google-docs/?XYqd3d" TargetMode="External"/><Relationship Id="rId45" Type="http://schemas.openxmlformats.org/officeDocument/2006/relationships/hyperlink" Target="https://www.zotero.org/google-docs/?Sa5wGf" TargetMode="External"/><Relationship Id="rId48" Type="http://schemas.openxmlformats.org/officeDocument/2006/relationships/hyperlink" Target="https://www.zotero.org/google-docs/?CV6Ref" TargetMode="External"/><Relationship Id="rId47" Type="http://schemas.openxmlformats.org/officeDocument/2006/relationships/hyperlink" Target="https://www.zotero.org/google-docs/?RSkbZj" TargetMode="External"/><Relationship Id="rId49" Type="http://schemas.openxmlformats.org/officeDocument/2006/relationships/image" Target="media/image2.png"/><Relationship Id="rId31" Type="http://schemas.openxmlformats.org/officeDocument/2006/relationships/hyperlink" Target="https://www.zotero.org/google-docs/?kETpjq" TargetMode="External"/><Relationship Id="rId30" Type="http://schemas.openxmlformats.org/officeDocument/2006/relationships/hyperlink" Target="https://www.zotero.org/google-docs/?RlMvdb" TargetMode="External"/><Relationship Id="rId33" Type="http://schemas.openxmlformats.org/officeDocument/2006/relationships/hyperlink" Target="https://www.zotero.org/google-docs/?woV5NZ" TargetMode="External"/><Relationship Id="rId32" Type="http://schemas.openxmlformats.org/officeDocument/2006/relationships/hyperlink" Target="https://www.zotero.org/google-docs/?wYswjO" TargetMode="External"/><Relationship Id="rId35" Type="http://schemas.openxmlformats.org/officeDocument/2006/relationships/hyperlink" Target="https://www.zotero.org/google-docs/?NlMC2Q" TargetMode="External"/><Relationship Id="rId34" Type="http://schemas.openxmlformats.org/officeDocument/2006/relationships/hyperlink" Target="https://www.zotero.org/google-docs/?sCHMir" TargetMode="External"/><Relationship Id="rId37" Type="http://schemas.openxmlformats.org/officeDocument/2006/relationships/hyperlink" Target="https://www.zotero.org/google-docs/?VZoDIr" TargetMode="External"/><Relationship Id="rId36" Type="http://schemas.openxmlformats.org/officeDocument/2006/relationships/hyperlink" Target="https://www.zotero.org/google-docs/?aKl70V" TargetMode="External"/><Relationship Id="rId39" Type="http://schemas.openxmlformats.org/officeDocument/2006/relationships/hyperlink" Target="https://www.zotero.org/google-docs/?Ca4unC" TargetMode="External"/><Relationship Id="rId38" Type="http://schemas.openxmlformats.org/officeDocument/2006/relationships/hyperlink" Target="https://www.zotero.org/google-docs/?BZJpwu" TargetMode="External"/><Relationship Id="rId20" Type="http://schemas.openxmlformats.org/officeDocument/2006/relationships/hyperlink" Target="https://www.zotero.org/google-docs/?kejRWV" TargetMode="External"/><Relationship Id="rId22" Type="http://schemas.openxmlformats.org/officeDocument/2006/relationships/hyperlink" Target="https://www.zotero.org/google-docs/?4gjDsF" TargetMode="External"/><Relationship Id="rId21" Type="http://schemas.openxmlformats.org/officeDocument/2006/relationships/hyperlink" Target="https://www.zotero.org/google-docs/?OHYcat" TargetMode="External"/><Relationship Id="rId24" Type="http://schemas.openxmlformats.org/officeDocument/2006/relationships/hyperlink" Target="https://www.zotero.org/google-docs/?dQ4y3A" TargetMode="External"/><Relationship Id="rId23" Type="http://schemas.openxmlformats.org/officeDocument/2006/relationships/hyperlink" Target="https://www.zotero.org/google-docs/?SURKto" TargetMode="External"/><Relationship Id="rId26" Type="http://schemas.openxmlformats.org/officeDocument/2006/relationships/hyperlink" Target="https://www.zotero.org/google-docs/?dVCOC6" TargetMode="External"/><Relationship Id="rId25" Type="http://schemas.openxmlformats.org/officeDocument/2006/relationships/hyperlink" Target="https://www.zotero.org/google-docs/?hyvoci" TargetMode="External"/><Relationship Id="rId28" Type="http://schemas.openxmlformats.org/officeDocument/2006/relationships/hyperlink" Target="https://www.zotero.org/google-docs/?3mNu15" TargetMode="External"/><Relationship Id="rId27" Type="http://schemas.openxmlformats.org/officeDocument/2006/relationships/hyperlink" Target="https://www.zotero.org/google-docs/?LIMWHu" TargetMode="External"/><Relationship Id="rId29" Type="http://schemas.openxmlformats.org/officeDocument/2006/relationships/hyperlink" Target="https://www.zotero.org/google-docs/?gMzrvD" TargetMode="External"/><Relationship Id="rId95" Type="http://schemas.openxmlformats.org/officeDocument/2006/relationships/hyperlink" Target="https://portal.fazenda.sp.gov.br/paginas/legislacao.aspx" TargetMode="External"/><Relationship Id="rId94" Type="http://schemas.openxmlformats.org/officeDocument/2006/relationships/hyperlink" Target="http://www.legislacao.sp.gov.br/legislacao/dg280202.nsf/legislacao/index.htm" TargetMode="External"/><Relationship Id="rId97" Type="http://schemas.openxmlformats.org/officeDocument/2006/relationships/hyperlink" Target="https://www.fiesp.com.br/indices-pesquisas-e-publicacoes/?tema=economia" TargetMode="External"/><Relationship Id="rId96" Type="http://schemas.openxmlformats.org/officeDocument/2006/relationships/hyperlink" Target="https://www.consorcioabc.sp.gov.br/" TargetMode="External"/><Relationship Id="rId11" Type="http://schemas.openxmlformats.org/officeDocument/2006/relationships/hyperlink" Target="https://www.zotero.org/google-docs/?tJbF92" TargetMode="External"/><Relationship Id="rId99" Type="http://schemas.openxmlformats.org/officeDocument/2006/relationships/hyperlink" Target="https://cartadaindustria.firjan.com.br/" TargetMode="External"/><Relationship Id="rId10" Type="http://schemas.openxmlformats.org/officeDocument/2006/relationships/hyperlink" Target="https://www.zotero.org/google-docs/?F2hyh6" TargetMode="External"/><Relationship Id="rId98" Type="http://schemas.openxmlformats.org/officeDocument/2006/relationships/hyperlink" Target="https://www.firjan.com.br/publicacoes/" TargetMode="External"/><Relationship Id="rId13" Type="http://schemas.openxmlformats.org/officeDocument/2006/relationships/hyperlink" Target="https://www.zotero.org/google-docs/?PKI7hy" TargetMode="External"/><Relationship Id="rId12" Type="http://schemas.openxmlformats.org/officeDocument/2006/relationships/hyperlink" Target="https://www.zotero.org/google-docs/?NffH2O" TargetMode="External"/><Relationship Id="rId91" Type="http://schemas.openxmlformats.org/officeDocument/2006/relationships/hyperlink" Target="https://bd.camara.leg.br/bd/home" TargetMode="External"/><Relationship Id="rId90" Type="http://schemas.openxmlformats.org/officeDocument/2006/relationships/hyperlink" Target="https://www12.senado.leg.br/institucional/biblioteca" TargetMode="External"/><Relationship Id="rId93" Type="http://schemas.openxmlformats.org/officeDocument/2006/relationships/hyperlink" Target="https://legislacao.fazenda.rj.gov.br/" TargetMode="External"/><Relationship Id="rId92" Type="http://schemas.openxmlformats.org/officeDocument/2006/relationships/hyperlink" Target="http://www3.alerj.rj.gov.br/lotus_notes/default.asp?id=2&amp;url=L0NPTlRMRUkuTlNGL0xlaU9yZEludD9PcGVuRm9ybQ==&amp;titulo=%20Leis%20Estaduais%20-%3E%20Por%20N%C3%BAmero" TargetMode="External"/><Relationship Id="rId15" Type="http://schemas.openxmlformats.org/officeDocument/2006/relationships/hyperlink" Target="https://www.zotero.org/google-docs/?J2rNMx" TargetMode="External"/><Relationship Id="rId14" Type="http://schemas.openxmlformats.org/officeDocument/2006/relationships/image" Target="media/image1.png"/><Relationship Id="rId17" Type="http://schemas.openxmlformats.org/officeDocument/2006/relationships/hyperlink" Target="https://www.zotero.org/google-docs/?n3Buno" TargetMode="External"/><Relationship Id="rId16" Type="http://schemas.openxmlformats.org/officeDocument/2006/relationships/hyperlink" Target="https://www.zotero.org/google-docs/?0dSvRx" TargetMode="External"/><Relationship Id="rId19" Type="http://schemas.openxmlformats.org/officeDocument/2006/relationships/hyperlink" Target="https://www.zotero.org/google-docs/?rW9s37" TargetMode="External"/><Relationship Id="rId18" Type="http://schemas.openxmlformats.org/officeDocument/2006/relationships/hyperlink" Target="https://www.zotero.org/google-docs/?xlNn1l" TargetMode="External"/><Relationship Id="rId84" Type="http://schemas.openxmlformats.org/officeDocument/2006/relationships/hyperlink" Target="https://www.zotero.org/google-docs/?oIptwO" TargetMode="External"/><Relationship Id="rId83" Type="http://schemas.openxmlformats.org/officeDocument/2006/relationships/hyperlink" Target="https://www.zotero.org/google-docs/?8IHgKx" TargetMode="External"/><Relationship Id="rId86" Type="http://schemas.openxmlformats.org/officeDocument/2006/relationships/hyperlink" Target="https://www.zotero.org/google-docs/?aEOaW2" TargetMode="External"/><Relationship Id="rId85" Type="http://schemas.openxmlformats.org/officeDocument/2006/relationships/hyperlink" Target="https://www.zotero.org/google-docs/?Htuhzc" TargetMode="External"/><Relationship Id="rId88" Type="http://schemas.openxmlformats.org/officeDocument/2006/relationships/hyperlink" Target="https://bibliotecadigital.economia.gov.br/" TargetMode="External"/><Relationship Id="rId87" Type="http://schemas.openxmlformats.org/officeDocument/2006/relationships/hyperlink" Target="https://www4.planalto.gov.br/legislacao" TargetMode="External"/><Relationship Id="rId89" Type="http://schemas.openxmlformats.org/officeDocument/2006/relationships/hyperlink" Target="https://www.camara.leg.br/" TargetMode="External"/><Relationship Id="rId80" Type="http://schemas.openxmlformats.org/officeDocument/2006/relationships/hyperlink" Target="https://www.zotero.org/google-docs/?loCeNV" TargetMode="External"/><Relationship Id="rId82" Type="http://schemas.openxmlformats.org/officeDocument/2006/relationships/hyperlink" Target="https://www.zotero.org/google-docs/?E4YTAR" TargetMode="External"/><Relationship Id="rId81" Type="http://schemas.openxmlformats.org/officeDocument/2006/relationships/hyperlink" Target="https://www.zotero.org/google-docs/?jFJxq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zotero.org/google-docs/?q2cH2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K2DQvI" TargetMode="External"/><Relationship Id="rId8" Type="http://schemas.openxmlformats.org/officeDocument/2006/relationships/hyperlink" Target="https://www.zotero.org/google-docs/?rqZs4D" TargetMode="External"/><Relationship Id="rId73" Type="http://schemas.openxmlformats.org/officeDocument/2006/relationships/hyperlink" Target="https://www.zotero.org/google-docs/?vcSXWj" TargetMode="External"/><Relationship Id="rId72" Type="http://schemas.openxmlformats.org/officeDocument/2006/relationships/hyperlink" Target="https://www.zotero.org/google-docs/?tGZ5l2" TargetMode="External"/><Relationship Id="rId75" Type="http://schemas.openxmlformats.org/officeDocument/2006/relationships/hyperlink" Target="https://www.zotero.org/google-docs/?nTDqQq" TargetMode="External"/><Relationship Id="rId74" Type="http://schemas.openxmlformats.org/officeDocument/2006/relationships/hyperlink" Target="https://www.zotero.org/google-docs/?gWAa6k" TargetMode="External"/><Relationship Id="rId77" Type="http://schemas.openxmlformats.org/officeDocument/2006/relationships/hyperlink" Target="https://www.zotero.org/google-docs/?r6ykAY" TargetMode="External"/><Relationship Id="rId76" Type="http://schemas.openxmlformats.org/officeDocument/2006/relationships/hyperlink" Target="https://www.zotero.org/google-docs/?z1RPGn" TargetMode="External"/><Relationship Id="rId79" Type="http://schemas.openxmlformats.org/officeDocument/2006/relationships/hyperlink" Target="https://www.zotero.org/google-docs/?93FtLL" TargetMode="External"/><Relationship Id="rId78" Type="http://schemas.openxmlformats.org/officeDocument/2006/relationships/hyperlink" Target="https://www.zotero.org/google-docs/?ECkTS3" TargetMode="External"/><Relationship Id="rId71" Type="http://schemas.openxmlformats.org/officeDocument/2006/relationships/hyperlink" Target="https://www.zotero.org/google-docs/?G1ZSKg" TargetMode="External"/><Relationship Id="rId70" Type="http://schemas.openxmlformats.org/officeDocument/2006/relationships/hyperlink" Target="https://www.zotero.org/google-docs/?f8Vwi2" TargetMode="External"/><Relationship Id="rId62" Type="http://schemas.openxmlformats.org/officeDocument/2006/relationships/hyperlink" Target="https://www.zotero.org/google-docs/?V6A9uA" TargetMode="External"/><Relationship Id="rId61" Type="http://schemas.openxmlformats.org/officeDocument/2006/relationships/hyperlink" Target="https://www.zotero.org/google-docs/?wgWz6u" TargetMode="External"/><Relationship Id="rId64" Type="http://schemas.openxmlformats.org/officeDocument/2006/relationships/hyperlink" Target="https://www.zotero.org/google-docs/?QMgch5" TargetMode="External"/><Relationship Id="rId63" Type="http://schemas.openxmlformats.org/officeDocument/2006/relationships/hyperlink" Target="https://www.zotero.org/google-docs/?t62VCd" TargetMode="External"/><Relationship Id="rId66" Type="http://schemas.openxmlformats.org/officeDocument/2006/relationships/hyperlink" Target="https://www.zotero.org/google-docs/?L8uEFf" TargetMode="External"/><Relationship Id="rId65" Type="http://schemas.openxmlformats.org/officeDocument/2006/relationships/hyperlink" Target="https://www.zotero.org/google-docs/?A6soJ8" TargetMode="External"/><Relationship Id="rId68" Type="http://schemas.openxmlformats.org/officeDocument/2006/relationships/hyperlink" Target="https://www.zotero.org/google-docs/?TZ30Ue" TargetMode="External"/><Relationship Id="rId67" Type="http://schemas.openxmlformats.org/officeDocument/2006/relationships/hyperlink" Target="https://www.zotero.org/google-docs/?GnMby2" TargetMode="External"/><Relationship Id="rId60" Type="http://schemas.openxmlformats.org/officeDocument/2006/relationships/hyperlink" Target="https://www.zotero.org/google-docs/?rnuum2" TargetMode="External"/><Relationship Id="rId69" Type="http://schemas.openxmlformats.org/officeDocument/2006/relationships/hyperlink" Target="https://www.zotero.org/google-docs/?Zva7nh" TargetMode="External"/><Relationship Id="rId51" Type="http://schemas.openxmlformats.org/officeDocument/2006/relationships/hyperlink" Target="https://www.zotero.org/google-docs/?TeaBd3" TargetMode="External"/><Relationship Id="rId50" Type="http://schemas.openxmlformats.org/officeDocument/2006/relationships/hyperlink" Target="https://www.zotero.org/google-docs/?RjNzgX" TargetMode="External"/><Relationship Id="rId53" Type="http://schemas.openxmlformats.org/officeDocument/2006/relationships/hyperlink" Target="https://www.zotero.org/google-docs/?ExmvVA" TargetMode="External"/><Relationship Id="rId52" Type="http://schemas.openxmlformats.org/officeDocument/2006/relationships/hyperlink" Target="https://www.zotero.org/google-docs/?2RdQjo" TargetMode="External"/><Relationship Id="rId55" Type="http://schemas.openxmlformats.org/officeDocument/2006/relationships/hyperlink" Target="https://www.zotero.org/google-docs/?88Rg2R" TargetMode="External"/><Relationship Id="rId54" Type="http://schemas.openxmlformats.org/officeDocument/2006/relationships/hyperlink" Target="https://www.zotero.org/google-docs/?0stZtG" TargetMode="External"/><Relationship Id="rId57" Type="http://schemas.openxmlformats.org/officeDocument/2006/relationships/hyperlink" Target="https://www.zotero.org/google-docs/?340vXJ" TargetMode="External"/><Relationship Id="rId56" Type="http://schemas.openxmlformats.org/officeDocument/2006/relationships/hyperlink" Target="https://www.zotero.org/google-docs/?5wGUqf" TargetMode="External"/><Relationship Id="rId59" Type="http://schemas.openxmlformats.org/officeDocument/2006/relationships/hyperlink" Target="https://www.zotero.org/google-docs/?dgCIq5" TargetMode="External"/><Relationship Id="rId58" Type="http://schemas.openxmlformats.org/officeDocument/2006/relationships/hyperlink" Target="https://www.zotero.org/google-docs/?bXMc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zotero.org/google-docs/?dddU7X" TargetMode="External"/><Relationship Id="rId2" Type="http://schemas.openxmlformats.org/officeDocument/2006/relationships/hyperlink" Target="https://www.zotero.org/google-docs/?a4Vv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