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l9dbb7koclz" w:id="0"/>
      <w:bookmarkEnd w:id="0"/>
      <w:r w:rsidDel="00000000" w:rsidR="00000000" w:rsidRPr="00000000">
        <w:rPr>
          <w:rtl w:val="0"/>
        </w:rPr>
        <w:t xml:space="preserve">Capítulo Teórico</w:t>
      </w:r>
    </w:p>
    <w:p w:rsidR="00000000" w:rsidDel="00000000" w:rsidP="00000000" w:rsidRDefault="00000000" w:rsidRPr="00000000" w14:paraId="00000002">
      <w:pPr>
        <w:rPr/>
      </w:pPr>
      <w:r w:rsidDel="00000000" w:rsidR="00000000" w:rsidRPr="00000000">
        <w:rPr>
          <w:rtl w:val="0"/>
        </w:rPr>
      </w:r>
    </w:p>
    <w:sdt>
      <w:sdtPr>
        <w:id w:val="-184309219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l9dbb7koc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Teórico</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8uv0ucs1ce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Teoria Sociológica sobre </w:t>
            </w:r>
          </w:hyperlink>
          <w:hyperlink w:anchor="_8uv0ucs1cepu">
            <w:r w:rsidDel="00000000" w:rsidR="00000000" w:rsidRPr="00000000">
              <w:rPr>
                <w:rtl w:val="0"/>
              </w:rPr>
              <w:t xml:space="preserve">desindustrialização</w:t>
            </w:r>
          </w:hyperlink>
          <w:hyperlink w:anchor="_8uv0ucs1ce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000000"/>
              <w:u w:val="none"/>
            </w:rPr>
          </w:pPr>
          <w:hyperlink w:anchor="_qenijmanwp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Desindustrialização no Mundo</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xy8cw0zbug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Desindustrialização no Brasil</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spacing w:line="360" w:lineRule="auto"/>
        <w:ind w:left="0" w:firstLine="0"/>
        <w:jc w:val="both"/>
        <w:rPr/>
      </w:pPr>
      <w:r w:rsidDel="00000000" w:rsidR="00000000" w:rsidRPr="00000000">
        <w:rPr>
          <w:rtl w:val="0"/>
        </w:rPr>
      </w:r>
    </w:p>
    <w:p w:rsidR="00000000" w:rsidDel="00000000" w:rsidP="00000000" w:rsidRDefault="00000000" w:rsidRPr="00000000" w14:paraId="00000008">
      <w:pPr>
        <w:spacing w:line="360" w:lineRule="auto"/>
        <w:ind w:left="0" w:firstLine="0"/>
        <w:jc w:val="both"/>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Teoria Geral (15pg)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Sociologia econômica contemporânea</w:t>
      </w:r>
    </w:p>
    <w:p w:rsidR="00000000" w:rsidDel="00000000" w:rsidP="00000000" w:rsidRDefault="00000000" w:rsidRPr="00000000" w14:paraId="0000000B">
      <w:pPr>
        <w:ind w:left="720" w:firstLine="720"/>
        <w:rPr/>
      </w:pPr>
      <w:r w:rsidDel="00000000" w:rsidR="00000000" w:rsidRPr="00000000">
        <w:rPr>
          <w:rtl w:val="0"/>
        </w:rPr>
        <w:t xml:space="preserve">principais linhas da soc econ</w:t>
      </w:r>
    </w:p>
    <w:p w:rsidR="00000000" w:rsidDel="00000000" w:rsidP="00000000" w:rsidRDefault="00000000" w:rsidRPr="00000000" w14:paraId="0000000C">
      <w:pPr>
        <w:ind w:left="1440" w:firstLine="720"/>
        <w:rPr/>
      </w:pPr>
      <w:r w:rsidDel="00000000" w:rsidR="00000000" w:rsidRPr="00000000">
        <w:rPr>
          <w:rtl w:val="0"/>
        </w:rPr>
        <w:t xml:space="preserve">(redes, campos, instituições)</w:t>
      </w:r>
    </w:p>
    <w:p w:rsidR="00000000" w:rsidDel="00000000" w:rsidP="00000000" w:rsidRDefault="00000000" w:rsidRPr="00000000" w14:paraId="0000000D">
      <w:pPr>
        <w:ind w:left="1440" w:firstLine="720"/>
        <w:rPr/>
      </w:pPr>
      <w:r w:rsidDel="00000000" w:rsidR="00000000" w:rsidRPr="00000000">
        <w:rPr>
          <w:rtl w:val="0"/>
        </w:rPr>
        <w:t xml:space="preserve">(organizações, mercados, grupos sociais e história)</w:t>
      </w:r>
    </w:p>
    <w:p w:rsidR="00000000" w:rsidDel="00000000" w:rsidP="00000000" w:rsidRDefault="00000000" w:rsidRPr="00000000" w14:paraId="0000000E">
      <w:pPr>
        <w:ind w:left="1440" w:firstLine="0"/>
        <w:rPr/>
      </w:pPr>
      <w:r w:rsidDel="00000000" w:rsidR="00000000" w:rsidRPr="00000000">
        <w:rPr>
          <w:rtl w:val="0"/>
        </w:rPr>
        <w:t xml:space="preserve">A noção pervasiva de cultura</w:t>
      </w:r>
    </w:p>
    <w:p w:rsidR="00000000" w:rsidDel="00000000" w:rsidP="00000000" w:rsidRDefault="00000000" w:rsidRPr="00000000" w14:paraId="0000000F">
      <w:pPr>
        <w:ind w:left="1440" w:firstLine="0"/>
        <w:rPr/>
      </w:pPr>
      <w:r w:rsidDel="00000000" w:rsidR="00000000" w:rsidRPr="00000000">
        <w:rPr>
          <w:rtl w:val="0"/>
        </w:rPr>
        <w:t xml:space="preserve">Predomínio de abordagens culturais no Brasil (Bourdieu)</w:t>
      </w:r>
    </w:p>
    <w:p w:rsidR="00000000" w:rsidDel="00000000" w:rsidP="00000000" w:rsidRDefault="00000000" w:rsidRPr="00000000" w14:paraId="00000010">
      <w:pPr>
        <w:ind w:left="1440" w:firstLine="0"/>
        <w:rPr/>
      </w:pPr>
      <w:r w:rsidDel="00000000" w:rsidR="00000000" w:rsidRPr="00000000">
        <w:rPr>
          <w:rtl w:val="0"/>
        </w:rPr>
        <w:t xml:space="preserve">A fuga para uma análise econômica não materialista e o espaço deixado aos economistas</w:t>
      </w:r>
    </w:p>
    <w:p w:rsidR="00000000" w:rsidDel="00000000" w:rsidP="00000000" w:rsidRDefault="00000000" w:rsidRPr="00000000" w14:paraId="00000011">
      <w:pPr>
        <w:ind w:left="1440" w:firstLine="0"/>
        <w:rPr/>
      </w:pPr>
      <w:r w:rsidDel="00000000" w:rsidR="00000000" w:rsidRPr="00000000">
        <w:rPr>
          <w:rtl w:val="0"/>
        </w:rPr>
        <w:t xml:space="preserve">A opção por uma sociologia econômico-política como contraponto</w:t>
      </w:r>
    </w:p>
    <w:p w:rsidR="00000000" w:rsidDel="00000000" w:rsidP="00000000" w:rsidRDefault="00000000" w:rsidRPr="00000000" w14:paraId="00000012">
      <w:pPr>
        <w:ind w:left="720" w:firstLine="72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Marx, o filho esquecido?</w:t>
      </w:r>
    </w:p>
    <w:p w:rsidR="00000000" w:rsidDel="00000000" w:rsidP="00000000" w:rsidRDefault="00000000" w:rsidRPr="00000000" w14:paraId="00000014">
      <w:pPr>
        <w:ind w:left="1440" w:firstLine="0"/>
        <w:rPr/>
      </w:pPr>
      <w:r w:rsidDel="00000000" w:rsidR="00000000" w:rsidRPr="00000000">
        <w:rPr>
          <w:rtl w:val="0"/>
        </w:rPr>
        <w:t xml:space="preserve">Crítica da crítica à sociologia “estadocentrica”, ao marxismo em geral e a sociologia do desenvolvimento (contexto dos anos 1980 em diante -neoliberalismo, queda da URSS são razões para queda))</w:t>
      </w:r>
    </w:p>
    <w:p w:rsidR="00000000" w:rsidDel="00000000" w:rsidP="00000000" w:rsidRDefault="00000000" w:rsidRPr="00000000" w14:paraId="00000015">
      <w:pPr>
        <w:ind w:left="1440" w:firstLine="0"/>
        <w:rPr/>
      </w:pPr>
      <w:r w:rsidDel="00000000" w:rsidR="00000000" w:rsidRPr="00000000">
        <w:rPr>
          <w:rtl w:val="0"/>
        </w:rPr>
        <w:t xml:space="preserve">o poder e a violência não-simbólicos</w:t>
      </w:r>
    </w:p>
    <w:p w:rsidR="00000000" w:rsidDel="00000000" w:rsidP="00000000" w:rsidRDefault="00000000" w:rsidRPr="00000000" w14:paraId="00000016">
      <w:pPr>
        <w:ind w:left="1440" w:firstLine="0"/>
        <w:rPr/>
      </w:pPr>
      <w:r w:rsidDel="00000000" w:rsidR="00000000" w:rsidRPr="00000000">
        <w:rPr>
          <w:rtl w:val="0"/>
        </w:rPr>
        <w:t xml:space="preserve">China, Trump, desigualdade econômica e as justificativas para retomar esse debate</w:t>
      </w:r>
    </w:p>
    <w:p w:rsidR="00000000" w:rsidDel="00000000" w:rsidP="00000000" w:rsidRDefault="00000000" w:rsidRPr="00000000" w14:paraId="00000017">
      <w:pPr>
        <w:ind w:left="720" w:firstLine="720"/>
        <w:rPr/>
      </w:pPr>
      <w:r w:rsidDel="00000000" w:rsidR="00000000" w:rsidRPr="00000000">
        <w:rPr>
          <w:rtl w:val="0"/>
        </w:rPr>
        <w:t xml:space="preserve">Defesa de retomada estruturalista (marx) e centrada no estado</w:t>
      </w:r>
    </w:p>
    <w:p w:rsidR="00000000" w:rsidDel="00000000" w:rsidP="00000000" w:rsidRDefault="00000000" w:rsidRPr="00000000" w14:paraId="00000018">
      <w:pPr>
        <w:ind w:left="2160" w:firstLine="0"/>
        <w:rPr/>
      </w:pPr>
      <w:r w:rsidDel="00000000" w:rsidR="00000000" w:rsidRPr="00000000">
        <w:rPr>
          <w:rtl w:val="0"/>
        </w:rPr>
        <w:t xml:space="preserve">elementos centrais da teoria marxista ausentes no debate da soc econômica</w:t>
      </w:r>
    </w:p>
    <w:p w:rsidR="00000000" w:rsidDel="00000000" w:rsidP="00000000" w:rsidRDefault="00000000" w:rsidRPr="00000000" w14:paraId="00000019">
      <w:pPr>
        <w:ind w:left="1440" w:firstLine="720"/>
        <w:rPr/>
      </w:pPr>
      <w:r w:rsidDel="00000000" w:rsidR="00000000" w:rsidRPr="00000000">
        <w:rPr>
          <w:rtl w:val="0"/>
        </w:rPr>
        <w:t xml:space="preserve">O problema do desenvolvimento econômico e das classes sociais (elites)</w:t>
      </w:r>
    </w:p>
    <w:p w:rsidR="00000000" w:rsidDel="00000000" w:rsidP="00000000" w:rsidRDefault="00000000" w:rsidRPr="00000000" w14:paraId="0000001A">
      <w:pPr>
        <w:ind w:left="2160" w:firstLine="0"/>
        <w:rPr/>
      </w:pPr>
      <w:r w:rsidDel="00000000" w:rsidR="00000000" w:rsidRPr="00000000">
        <w:rPr>
          <w:rtl w:val="0"/>
        </w:rPr>
        <w:t xml:space="preserve">Estado e política como mediação do desenvolvimento econômico (questão do poder político-econômico)</w:t>
      </w:r>
    </w:p>
    <w:p w:rsidR="00000000" w:rsidDel="00000000" w:rsidP="00000000" w:rsidRDefault="00000000" w:rsidRPr="00000000" w14:paraId="0000001B">
      <w:pPr>
        <w:ind w:left="720" w:firstLine="720"/>
        <w:rPr/>
      </w:pPr>
      <w:r w:rsidDel="00000000" w:rsidR="00000000" w:rsidRPr="00000000">
        <w:rPr>
          <w:rFonts w:ascii="Arial Unicode MS" w:cs="Arial Unicode MS" w:eastAsia="Arial Unicode MS" w:hAnsi="Arial Unicode MS"/>
          <w:rtl w:val="0"/>
        </w:rPr>
        <w:t xml:space="preserve">Necessidade de um contraponto institucionalista (polanyi → evans)</w:t>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Institucionalismo</w:t>
      </w:r>
    </w:p>
    <w:p w:rsidR="00000000" w:rsidDel="00000000" w:rsidP="00000000" w:rsidRDefault="00000000" w:rsidRPr="00000000" w14:paraId="0000001E">
      <w:pPr>
        <w:ind w:left="1440" w:firstLine="0"/>
        <w:rPr/>
      </w:pPr>
      <w:r w:rsidDel="00000000" w:rsidR="00000000" w:rsidRPr="00000000">
        <w:rPr>
          <w:rtl w:val="0"/>
        </w:rPr>
        <w:t xml:space="preserve">Sociologia econômica (histórica-comparativa e institucionalista) do desenvolvimento</w:t>
      </w:r>
    </w:p>
    <w:p w:rsidR="00000000" w:rsidDel="00000000" w:rsidP="00000000" w:rsidRDefault="00000000" w:rsidRPr="00000000" w14:paraId="0000001F">
      <w:pPr>
        <w:rPr/>
      </w:pPr>
      <w:r w:rsidDel="00000000" w:rsidR="00000000" w:rsidRPr="00000000">
        <w:rPr>
          <w:rtl w:val="0"/>
        </w:rPr>
        <w:tab/>
        <w:tab/>
        <w:t xml:space="preserve">institucionalismo (economico, cultural e político)</w:t>
      </w:r>
    </w:p>
    <w:p w:rsidR="00000000" w:rsidDel="00000000" w:rsidP="00000000" w:rsidRDefault="00000000" w:rsidRPr="00000000" w14:paraId="00000020">
      <w:pPr>
        <w:ind w:left="1440" w:firstLine="0"/>
        <w:rPr/>
      </w:pPr>
      <w:r w:rsidDel="00000000" w:rsidR="00000000" w:rsidRPr="00000000">
        <w:rPr>
          <w:rtl w:val="0"/>
        </w:rPr>
        <w:t xml:space="preserve">Diferentes abordagens mono institucionalista ou apenas relacionando cultura e economia (marx, weber, schumpeter, veblen, elias)</w:t>
      </w:r>
    </w:p>
    <w:p w:rsidR="00000000" w:rsidDel="00000000" w:rsidP="00000000" w:rsidRDefault="00000000" w:rsidRPr="00000000" w14:paraId="00000021">
      <w:pPr>
        <w:ind w:left="1440" w:firstLine="0"/>
        <w:rPr/>
      </w:pPr>
      <w:r w:rsidDel="00000000" w:rsidR="00000000" w:rsidRPr="00000000">
        <w:rPr>
          <w:rtl w:val="0"/>
        </w:rPr>
        <w:t xml:space="preserve">Polanyi como institucionalismo econômico e político</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t xml:space="preserve">O caso do sul global (institucionalismo e dependência)</w:t>
      </w:r>
    </w:p>
    <w:p w:rsidR="00000000" w:rsidDel="00000000" w:rsidP="00000000" w:rsidRDefault="00000000" w:rsidRPr="00000000" w14:paraId="00000024">
      <w:pPr>
        <w:ind w:left="720" w:firstLine="0"/>
        <w:rPr/>
      </w:pPr>
      <w:r w:rsidDel="00000000" w:rsidR="00000000" w:rsidRPr="00000000">
        <w:rPr>
          <w:rtl w:val="0"/>
        </w:rPr>
        <w:tab/>
        <w:t xml:space="preserve">Imperialismo</w:t>
      </w:r>
    </w:p>
    <w:p w:rsidR="00000000" w:rsidDel="00000000" w:rsidP="00000000" w:rsidRDefault="00000000" w:rsidRPr="00000000" w14:paraId="00000025">
      <w:pPr>
        <w:ind w:left="1440" w:firstLine="0"/>
        <w:rPr/>
      </w:pPr>
      <w:r w:rsidDel="00000000" w:rsidR="00000000" w:rsidRPr="00000000">
        <w:rPr>
          <w:rtl w:val="0"/>
        </w:rPr>
        <w:t xml:space="preserve">Desenvolvimento e subdesenvolvimento</w:t>
      </w:r>
    </w:p>
    <w:p w:rsidR="00000000" w:rsidDel="00000000" w:rsidP="00000000" w:rsidRDefault="00000000" w:rsidRPr="00000000" w14:paraId="00000026">
      <w:pPr>
        <w:ind w:left="1440" w:firstLine="0"/>
        <w:rPr/>
      </w:pPr>
      <w:r w:rsidDel="00000000" w:rsidR="00000000" w:rsidRPr="00000000">
        <w:rPr>
          <w:rtl w:val="0"/>
        </w:rPr>
        <w:t xml:space="preserve">Teoria da dependência e desenvolvimento dependente</w:t>
      </w:r>
    </w:p>
    <w:p w:rsidR="00000000" w:rsidDel="00000000" w:rsidP="00000000" w:rsidRDefault="00000000" w:rsidRPr="00000000" w14:paraId="00000027">
      <w:pPr>
        <w:ind w:left="1440" w:firstLine="0"/>
        <w:rPr/>
      </w:pPr>
      <w:r w:rsidDel="00000000" w:rsidR="00000000" w:rsidRPr="00000000">
        <w:rPr>
          <w:rtl w:val="0"/>
        </w:rPr>
        <w:t xml:space="preserve">Institucionalismo e dependência (as instituições chave)</w:t>
      </w:r>
    </w:p>
    <w:p w:rsidR="00000000" w:rsidDel="00000000" w:rsidP="00000000" w:rsidRDefault="00000000" w:rsidRPr="00000000" w14:paraId="00000028">
      <w:pPr>
        <w:pStyle w:val="Heading2"/>
        <w:spacing w:line="360" w:lineRule="auto"/>
        <w:jc w:val="both"/>
        <w:rPr/>
      </w:pPr>
      <w:bookmarkStart w:colFirst="0" w:colLast="0" w:name="_8uv0ucs1cepu" w:id="1"/>
      <w:bookmarkEnd w:id="1"/>
      <w:r w:rsidDel="00000000" w:rsidR="00000000" w:rsidRPr="00000000">
        <w:rPr>
          <w:rtl w:val="0"/>
        </w:rPr>
        <w:t xml:space="preserve">Teoria Sociológica sobre desindustrialização</w:t>
      </w:r>
    </w:p>
    <w:p w:rsidR="00000000" w:rsidDel="00000000" w:rsidP="00000000" w:rsidRDefault="00000000" w:rsidRPr="00000000" w14:paraId="00000029">
      <w:pPr>
        <w:pStyle w:val="Heading2"/>
        <w:spacing w:line="360" w:lineRule="auto"/>
        <w:jc w:val="both"/>
        <w:rPr/>
      </w:pPr>
      <w:bookmarkStart w:colFirst="0" w:colLast="0" w:name="_qenijmanwp5x" w:id="2"/>
      <w:bookmarkEnd w:id="2"/>
      <w:r w:rsidDel="00000000" w:rsidR="00000000" w:rsidRPr="00000000">
        <w:rPr>
          <w:rtl w:val="0"/>
        </w:rPr>
        <w:t xml:space="preserve">Desindustrialização no Mundo</w:t>
      </w:r>
    </w:p>
    <w:p w:rsidR="00000000" w:rsidDel="00000000" w:rsidP="00000000" w:rsidRDefault="00000000" w:rsidRPr="00000000" w14:paraId="0000002A">
      <w:pPr>
        <w:spacing w:before="400" w:line="360" w:lineRule="auto"/>
        <w:jc w:val="both"/>
        <w:rPr/>
      </w:pPr>
      <w:r w:rsidDel="00000000" w:rsidR="00000000" w:rsidRPr="00000000">
        <w:rPr>
          <w:rtl w:val="0"/>
        </w:rPr>
        <w:t xml:space="preserve">Introdução</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capítulo é uma revisão de literatura sobre processos de desindustrialização. Seu objetivo é caracterizá-los em aspectos sociológicos e históricos, identificando tanto suas características generalizáveis como suas especificidades temporais e geográficas. Visa também atualizar o leitor sobre os principais desenvolvimentos da literatura de língua inglesa recente sobre o tema nas áreas de sociologia e história.</w:t>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termo “desindustrialização” é comumente tratado como uma redução da participação da manufatura e da indústria geral na economia </w:t>
      </w:r>
      <w:hyperlink r:id="rId7">
        <w:r w:rsidDel="00000000" w:rsidR="00000000" w:rsidRPr="00000000">
          <w:rPr>
            <w:rFonts w:ascii="Times New Roman" w:cs="Times New Roman" w:eastAsia="Times New Roman" w:hAnsi="Times New Roman"/>
            <w:sz w:val="24"/>
            <w:szCs w:val="24"/>
            <w:rtl w:val="0"/>
          </w:rPr>
          <w:t xml:space="preserve">(Pula, 2017, p. 1)</w:t>
        </w:r>
      </w:hyperlink>
      <w:r w:rsidDel="00000000" w:rsidR="00000000" w:rsidRPr="00000000">
        <w:rPr>
          <w:rFonts w:ascii="Times New Roman" w:cs="Times New Roman" w:eastAsia="Times New Roman" w:hAnsi="Times New Roman"/>
          <w:sz w:val="24"/>
          <w:szCs w:val="24"/>
          <w:rtl w:val="0"/>
        </w:rPr>
        <w:t xml:space="preserve"> ou uma redução do emprego industrial em proporção ao estoque de empregos </w:t>
      </w:r>
      <w:hyperlink r:id="rId8">
        <w:r w:rsidDel="00000000" w:rsidR="00000000" w:rsidRPr="00000000">
          <w:rPr>
            <w:rFonts w:ascii="Times New Roman" w:cs="Times New Roman" w:eastAsia="Times New Roman" w:hAnsi="Times New Roman"/>
            <w:sz w:val="24"/>
            <w:szCs w:val="24"/>
            <w:rtl w:val="0"/>
          </w:rPr>
          <w:t xml:space="preserve">(Dandaneau, 2012, p. 1; Kollmeyer, 2020, p. 1; Lois González, 2019, p. 1)</w:t>
        </w:r>
      </w:hyperlink>
      <w:r w:rsidDel="00000000" w:rsidR="00000000" w:rsidRPr="00000000">
        <w:rPr>
          <w:rFonts w:ascii="Times New Roman" w:cs="Times New Roman" w:eastAsia="Times New Roman" w:hAnsi="Times New Roman"/>
          <w:sz w:val="24"/>
          <w:szCs w:val="24"/>
          <w:rtl w:val="0"/>
        </w:rPr>
        <w:t xml:space="preserve">. Em geral é identificada pela mudança em indicadores de participação do setor industrial no PIB </w:t>
      </w:r>
      <w:hyperlink r:id="rId9">
        <w:r w:rsidDel="00000000" w:rsidR="00000000" w:rsidRPr="00000000">
          <w:rPr>
            <w:rFonts w:ascii="Times New Roman" w:cs="Times New Roman" w:eastAsia="Times New Roman" w:hAnsi="Times New Roman"/>
            <w:sz w:val="24"/>
            <w:szCs w:val="24"/>
            <w:rtl w:val="0"/>
          </w:rPr>
          <w:t xml:space="preserve">(Rowthorn e Ramaswamy, 1999)</w:t>
        </w:r>
      </w:hyperlink>
      <w:r w:rsidDel="00000000" w:rsidR="00000000" w:rsidRPr="00000000">
        <w:rPr>
          <w:rFonts w:ascii="Times New Roman" w:cs="Times New Roman" w:eastAsia="Times New Roman" w:hAnsi="Times New Roman"/>
          <w:sz w:val="24"/>
          <w:szCs w:val="24"/>
          <w:rtl w:val="0"/>
        </w:rPr>
        <w:t xml:space="preserve"> conjugadamente com indicadores de emprego no nível nacional </w:t>
      </w:r>
      <w:hyperlink r:id="rId10">
        <w:r w:rsidDel="00000000" w:rsidR="00000000" w:rsidRPr="00000000">
          <w:rPr>
            <w:rFonts w:ascii="Times New Roman" w:cs="Times New Roman" w:eastAsia="Times New Roman" w:hAnsi="Times New Roman"/>
            <w:sz w:val="24"/>
            <w:szCs w:val="24"/>
            <w:rtl w:val="0"/>
          </w:rPr>
          <w:t xml:space="preserve">(Tregenna, 2009)</w:t>
        </w:r>
      </w:hyperlink>
      <w:r w:rsidDel="00000000" w:rsidR="00000000" w:rsidRPr="00000000">
        <w:rPr>
          <w:rFonts w:ascii="Times New Roman" w:cs="Times New Roman" w:eastAsia="Times New Roman" w:hAnsi="Times New Roman"/>
          <w:sz w:val="24"/>
          <w:szCs w:val="24"/>
          <w:rtl w:val="0"/>
        </w:rPr>
        <w:t xml:space="preserve">. Também pode ser abordado a partir de suas manifestações locais, como o fechamento de fábricas </w:t>
      </w:r>
      <w:hyperlink r:id="rId11">
        <w:r w:rsidDel="00000000" w:rsidR="00000000" w:rsidRPr="00000000">
          <w:rPr>
            <w:rFonts w:ascii="Times New Roman" w:cs="Times New Roman" w:eastAsia="Times New Roman" w:hAnsi="Times New Roman"/>
            <w:sz w:val="24"/>
            <w:szCs w:val="24"/>
            <w:rtl w:val="0"/>
          </w:rPr>
          <w:t xml:space="preserve">(Clarke, 2015; Hodson, 2019)</w:t>
        </w:r>
      </w:hyperlink>
      <w:r w:rsidDel="00000000" w:rsidR="00000000" w:rsidRPr="00000000">
        <w:rPr>
          <w:rFonts w:ascii="Times New Roman" w:cs="Times New Roman" w:eastAsia="Times New Roman" w:hAnsi="Times New Roman"/>
          <w:sz w:val="24"/>
          <w:szCs w:val="24"/>
          <w:rtl w:val="0"/>
        </w:rPr>
        <w:t xml:space="preserve">, regionais e setoriais </w:t>
      </w:r>
      <w:hyperlink r:id="rId12">
        <w:r w:rsidDel="00000000" w:rsidR="00000000" w:rsidRPr="00000000">
          <w:rPr>
            <w:rFonts w:ascii="Times New Roman" w:cs="Times New Roman" w:eastAsia="Times New Roman" w:hAnsi="Times New Roman"/>
            <w:sz w:val="24"/>
            <w:szCs w:val="24"/>
            <w:rtl w:val="0"/>
          </w:rPr>
          <w:t xml:space="preserve">(Berger, Wicke e Golombek, 2017; Durazzi e Geyer, 2020)</w:t>
        </w:r>
      </w:hyperlink>
      <w:r w:rsidDel="00000000" w:rsidR="00000000" w:rsidRPr="00000000">
        <w:rPr>
          <w:rFonts w:ascii="Times New Roman" w:cs="Times New Roman" w:eastAsia="Times New Roman" w:hAnsi="Times New Roman"/>
          <w:sz w:val="24"/>
          <w:szCs w:val="24"/>
          <w:rtl w:val="0"/>
        </w:rPr>
        <w:t xml:space="preserve">. Há na literatura também uma crescente defesa de uma visão menos economicista do fenômeno, seja abordando seus múltiplos significados para trabalhadores e comunidades afetadas </w:t>
      </w:r>
      <w:hyperlink r:id="rId13">
        <w:r w:rsidDel="00000000" w:rsidR="00000000" w:rsidRPr="00000000">
          <w:rPr>
            <w:rFonts w:ascii="Times New Roman" w:cs="Times New Roman" w:eastAsia="Times New Roman" w:hAnsi="Times New Roman"/>
            <w:sz w:val="24"/>
            <w:szCs w:val="24"/>
            <w:rtl w:val="0"/>
          </w:rPr>
          <w:t xml:space="preserve">(Cowie e Heathcott, 2003)</w:t>
        </w:r>
      </w:hyperlink>
      <w:r w:rsidDel="00000000" w:rsidR="00000000" w:rsidRPr="00000000">
        <w:rPr>
          <w:rFonts w:ascii="Times New Roman" w:cs="Times New Roman" w:eastAsia="Times New Roman" w:hAnsi="Times New Roman"/>
          <w:sz w:val="24"/>
          <w:szCs w:val="24"/>
          <w:rtl w:val="0"/>
        </w:rPr>
        <w:t xml:space="preserve"> ou tentando situá-lo como um processo histórico de encerramento da sociedade industrial </w:t>
      </w:r>
      <w:hyperlink r:id="rId14">
        <w:r w:rsidDel="00000000" w:rsidR="00000000" w:rsidRPr="00000000">
          <w:rPr>
            <w:rFonts w:ascii="Times New Roman" w:cs="Times New Roman" w:eastAsia="Times New Roman" w:hAnsi="Times New Roman"/>
            <w:sz w:val="24"/>
            <w:szCs w:val="24"/>
            <w:rtl w:val="0"/>
          </w:rPr>
          <w:t xml:space="preserve">(Strangleman, 2017)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trabalho propõe-se como definição de desindustrialização</w:t>
      </w:r>
      <w:r w:rsidDel="00000000" w:rsidR="00000000" w:rsidRPr="00000000">
        <w:rPr>
          <w:rFonts w:ascii="Times New Roman" w:cs="Times New Roman" w:eastAsia="Times New Roman" w:hAnsi="Times New Roman"/>
          <w:b w:val="1"/>
          <w:bCs w:val="1"/>
          <w:sz w:val="24"/>
          <w:szCs w:val="24"/>
          <w:rtl w:val="0"/>
        </w:rPr>
        <w:t xml:space="preserve"> a transformação social associada à redução relativa da participação da indústria na capacidade produtiva e no estoque de empregos em dado território, que passa a se dar de forma acelerada e recorrente a partir da segunda metade do século XX. </w:t>
      </w:r>
      <w:r w:rsidDel="00000000" w:rsidR="00000000" w:rsidRPr="00000000">
        <w:rPr>
          <w:rFonts w:ascii="Times New Roman" w:cs="Times New Roman" w:eastAsia="Times New Roman" w:hAnsi="Times New Roman"/>
          <w:sz w:val="24"/>
          <w:szCs w:val="24"/>
          <w:rtl w:val="0"/>
        </w:rPr>
        <w:t xml:space="preserve">Essa mudança tem dimensões econômica, política e cultural e é mediada por instituições tempo-espacialmente enraizadas. Essa definição é resultado da revisão de literatura apresentada, mas também da proposição de </w:t>
      </w:r>
      <w:hyperlink r:id="rId15">
        <w:r w:rsidDel="00000000" w:rsidR="00000000" w:rsidRPr="00000000">
          <w:rPr>
            <w:rFonts w:ascii="Times New Roman" w:cs="Times New Roman" w:eastAsia="Times New Roman" w:hAnsi="Times New Roman"/>
            <w:sz w:val="24"/>
            <w:szCs w:val="24"/>
            <w:rtl w:val="0"/>
          </w:rPr>
          <w:t xml:space="preserve">(Santos, 2016)</w:t>
        </w:r>
      </w:hyperlink>
      <w:r w:rsidDel="00000000" w:rsidR="00000000" w:rsidRPr="00000000">
        <w:rPr>
          <w:rFonts w:ascii="Times New Roman" w:cs="Times New Roman" w:eastAsia="Times New Roman" w:hAnsi="Times New Roman"/>
          <w:sz w:val="24"/>
          <w:szCs w:val="24"/>
          <w:rtl w:val="0"/>
        </w:rPr>
        <w:t xml:space="preserve"> de abordar o desenvolvimento econômico enquanto mudança social numa perspectiva socioantropológica.</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Enfatiza-se aqui, entretanto, seu caráter de transformação social historicamente situada, como defendido em Strangleman </w:t>
      </w:r>
      <w:hyperlink r:id="rId16">
        <w:r w:rsidDel="00000000" w:rsidR="00000000" w:rsidRPr="00000000">
          <w:rPr>
            <w:rFonts w:ascii="Times New Roman" w:cs="Times New Roman" w:eastAsia="Times New Roman" w:hAnsi="Times New Roman"/>
            <w:sz w:val="24"/>
            <w:szCs w:val="24"/>
            <w:rtl w:val="0"/>
          </w:rPr>
          <w:t xml:space="preserve">(2017)</w:t>
        </w:r>
      </w:hyperlink>
      <w:r w:rsidDel="00000000" w:rsidR="00000000" w:rsidRPr="00000000">
        <w:rPr>
          <w:rFonts w:ascii="Times New Roman" w:cs="Times New Roman" w:eastAsia="Times New Roman" w:hAnsi="Times New Roman"/>
          <w:sz w:val="24"/>
          <w:szCs w:val="24"/>
          <w:rtl w:val="0"/>
        </w:rPr>
        <w:t xml:space="preserve"> e Lawson </w:t>
      </w:r>
      <w:hyperlink r:id="rId17">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rtl w:val="0"/>
        </w:rPr>
        <w:t xml:space="preserve">, e a necessidade de conectar os estudos sobre trabalhadores e suas comunidades às transformações de nível macro na economia política e na divisão internacional do trabalho, como propõe High </w:t>
      </w:r>
      <w:hyperlink r:id="rId18">
        <w:r w:rsidDel="00000000" w:rsidR="00000000" w:rsidRPr="00000000">
          <w:rPr>
            <w:rFonts w:ascii="Times New Roman" w:cs="Times New Roman" w:eastAsia="Times New Roman" w:hAnsi="Times New Roman"/>
            <w:sz w:val="24"/>
            <w:szCs w:val="24"/>
            <w:rtl w:val="0"/>
          </w:rPr>
          <w:t xml:space="preserve">(High, 2023, p. 56)</w:t>
        </w:r>
      </w:hyperlink>
      <w:r w:rsidDel="00000000" w:rsidR="00000000" w:rsidRPr="00000000">
        <w:rPr>
          <w:rFonts w:ascii="Times New Roman" w:cs="Times New Roman" w:eastAsia="Times New Roman" w:hAnsi="Times New Roman"/>
          <w:sz w:val="24"/>
          <w:szCs w:val="24"/>
          <w:rtl w:val="0"/>
        </w:rPr>
        <w:t xml:space="preserve">. Destaca-se a importância de compreender a aceleração dessa transformação social, resultante da interação complexa de múltiplos fatores contextuais, em vez de buscar causas únicas.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Entre as razões para investigar o fenômeno estão seus efeitos sobre e relações com a política </w:t>
      </w:r>
      <w:hyperlink r:id="rId19">
        <w:r w:rsidDel="00000000" w:rsidR="00000000" w:rsidRPr="00000000">
          <w:rPr>
            <w:rFonts w:ascii="Times New Roman" w:cs="Times New Roman" w:eastAsia="Times New Roman" w:hAnsi="Times New Roman"/>
            <w:sz w:val="24"/>
            <w:szCs w:val="24"/>
            <w:rtl w:val="0"/>
          </w:rPr>
          <w:t xml:space="preserve">(Iversen e Cusack, 2000)</w:t>
        </w:r>
      </w:hyperlink>
      <w:r w:rsidDel="00000000" w:rsidR="00000000" w:rsidRPr="00000000">
        <w:rPr>
          <w:rFonts w:ascii="Times New Roman" w:cs="Times New Roman" w:eastAsia="Times New Roman" w:hAnsi="Times New Roman"/>
          <w:sz w:val="24"/>
          <w:szCs w:val="24"/>
          <w:rtl w:val="0"/>
        </w:rPr>
        <w:t xml:space="preserve">, comércio </w:t>
      </w:r>
      <w:hyperlink r:id="rId20">
        <w:r w:rsidDel="00000000" w:rsidR="00000000" w:rsidRPr="00000000">
          <w:rPr>
            <w:rFonts w:ascii="Times New Roman" w:cs="Times New Roman" w:eastAsia="Times New Roman" w:hAnsi="Times New Roman"/>
            <w:sz w:val="24"/>
            <w:szCs w:val="24"/>
            <w:rtl w:val="0"/>
          </w:rPr>
          <w:t xml:space="preserve">(Alderson, 1999; Alderson e Nielsen, 2002)</w:t>
        </w:r>
      </w:hyperlink>
      <w:r w:rsidDel="00000000" w:rsidR="00000000" w:rsidRPr="00000000">
        <w:rPr>
          <w:rFonts w:ascii="Times New Roman" w:cs="Times New Roman" w:eastAsia="Times New Roman" w:hAnsi="Times New Roman"/>
          <w:sz w:val="24"/>
          <w:szCs w:val="24"/>
          <w:rtl w:val="0"/>
        </w:rPr>
        <w:t xml:space="preserve">, emprego </w:t>
      </w:r>
      <w:hyperlink r:id="rId21">
        <w:r w:rsidDel="00000000" w:rsidR="00000000" w:rsidRPr="00000000">
          <w:rPr>
            <w:rFonts w:ascii="Times New Roman" w:cs="Times New Roman" w:eastAsia="Times New Roman" w:hAnsi="Times New Roman"/>
            <w:sz w:val="24"/>
            <w:szCs w:val="24"/>
            <w:rtl w:val="0"/>
          </w:rPr>
          <w:t xml:space="preserve">(Beatty e Fothergill, 2020; Tomlinson, 2020)</w:t>
        </w:r>
      </w:hyperlink>
      <w:r w:rsidDel="00000000" w:rsidR="00000000" w:rsidRPr="00000000">
        <w:rPr>
          <w:rFonts w:ascii="Times New Roman" w:cs="Times New Roman" w:eastAsia="Times New Roman" w:hAnsi="Times New Roman"/>
          <w:sz w:val="24"/>
          <w:szCs w:val="24"/>
          <w:rtl w:val="0"/>
        </w:rPr>
        <w:t xml:space="preserve">, meio ambiente </w:t>
      </w:r>
      <w:hyperlink r:id="rId22">
        <w:r w:rsidDel="00000000" w:rsidR="00000000" w:rsidRPr="00000000">
          <w:rPr>
            <w:rFonts w:ascii="Times New Roman" w:cs="Times New Roman" w:eastAsia="Times New Roman" w:hAnsi="Times New Roman"/>
            <w:sz w:val="24"/>
            <w:szCs w:val="24"/>
            <w:rtl w:val="0"/>
          </w:rPr>
          <w:t xml:space="preserve">(Feltrin, Mah e Brown, 2022)</w:t>
        </w:r>
      </w:hyperlink>
      <w:r w:rsidDel="00000000" w:rsidR="00000000" w:rsidRPr="00000000">
        <w:rPr>
          <w:rFonts w:ascii="Times New Roman" w:cs="Times New Roman" w:eastAsia="Times New Roman" w:hAnsi="Times New Roman"/>
          <w:sz w:val="24"/>
          <w:szCs w:val="24"/>
          <w:rtl w:val="0"/>
        </w:rPr>
        <w:t xml:space="preserve"> e seus impactos nas identidades dos indivíduos e comunidades afetados por ele </w:t>
      </w:r>
      <w:hyperlink r:id="rId23">
        <w:r w:rsidDel="00000000" w:rsidR="00000000" w:rsidRPr="00000000">
          <w:rPr>
            <w:rFonts w:ascii="Times New Roman" w:cs="Times New Roman" w:eastAsia="Times New Roman" w:hAnsi="Times New Roman"/>
            <w:sz w:val="24"/>
            <w:szCs w:val="24"/>
            <w:rtl w:val="0"/>
          </w:rPr>
          <w:t xml:space="preserve">(Linkon, 2018; Mah, 2012; Nayak, 2006; Perchard, 2013)</w:t>
        </w:r>
      </w:hyperlink>
      <w:r w:rsidDel="00000000" w:rsidR="00000000" w:rsidRPr="00000000">
        <w:rPr>
          <w:rFonts w:ascii="Times New Roman" w:cs="Times New Roman" w:eastAsia="Times New Roman" w:hAnsi="Times New Roman"/>
          <w:sz w:val="24"/>
          <w:szCs w:val="24"/>
          <w:rtl w:val="0"/>
        </w:rPr>
        <w:t xml:space="preserve">. Inicialmente identificada com o rust belt americano e regiões europeias como o Ruhr, Alemanha, ou norte da Inglaterra </w:t>
      </w:r>
      <w:hyperlink r:id="rId24">
        <w:r w:rsidDel="00000000" w:rsidR="00000000" w:rsidRPr="00000000">
          <w:rPr>
            <w:rFonts w:ascii="Times New Roman" w:cs="Times New Roman" w:eastAsia="Times New Roman" w:hAnsi="Times New Roman"/>
            <w:sz w:val="24"/>
            <w:szCs w:val="24"/>
            <w:rtl w:val="0"/>
          </w:rPr>
          <w:t xml:space="preserve">(Emery, 2019; High, 2013; Strangleman, Rhodes e Linkon, 2013)</w:t>
        </w:r>
      </w:hyperlink>
      <w:r w:rsidDel="00000000" w:rsidR="00000000" w:rsidRPr="00000000">
        <w:rPr>
          <w:rFonts w:ascii="Times New Roman" w:cs="Times New Roman" w:eastAsia="Times New Roman" w:hAnsi="Times New Roman"/>
          <w:sz w:val="24"/>
          <w:szCs w:val="24"/>
          <w:rtl w:val="0"/>
        </w:rPr>
        <w:t xml:space="preserve">, a discussão tem ganhado crescente espaço fora do Norte global, sendo seu aparecimento “prematuro” visto como um desafio para países de industrialização tardia </w:t>
      </w:r>
      <w:hyperlink r:id="rId25">
        <w:r w:rsidDel="00000000" w:rsidR="00000000" w:rsidRPr="00000000">
          <w:rPr>
            <w:rFonts w:ascii="Times New Roman" w:cs="Times New Roman" w:eastAsia="Times New Roman" w:hAnsi="Times New Roman"/>
            <w:sz w:val="24"/>
            <w:szCs w:val="24"/>
            <w:rtl w:val="0"/>
          </w:rPr>
          <w:t xml:space="preserve">(Rodrik,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Brasil, as discussões centram-se sobre sua ocorrência, causas e consequências </w:t>
      </w:r>
      <w:hyperlink r:id="rId26">
        <w:r w:rsidDel="00000000" w:rsidR="00000000" w:rsidRPr="00000000">
          <w:rPr>
            <w:rFonts w:ascii="Times New Roman" w:cs="Times New Roman" w:eastAsia="Times New Roman" w:hAnsi="Times New Roman"/>
            <w:sz w:val="24"/>
            <w:szCs w:val="24"/>
            <w:rtl w:val="0"/>
          </w:rPr>
          <w:t xml:space="preserve">(Maia, 2020; Marconi e Rocha, 2012; Morceiro e Guilhoto, 2020; Nassif, 2008; Oreiro e Feijó, 2010)</w:t>
        </w:r>
      </w:hyperlink>
      <w:r w:rsidDel="00000000" w:rsidR="00000000" w:rsidRPr="00000000">
        <w:rPr>
          <w:rFonts w:ascii="Times New Roman" w:cs="Times New Roman" w:eastAsia="Times New Roman" w:hAnsi="Times New Roman"/>
          <w:sz w:val="24"/>
          <w:szCs w:val="24"/>
          <w:rtl w:val="0"/>
        </w:rPr>
        <w:t xml:space="preserve">, mas o debate acaba centrado no campo da economia, limitando a compreensão da complexidade do fenômeno. Como exceção, Santos et al </w:t>
      </w:r>
      <w:hyperlink r:id="rId27">
        <w:r w:rsidDel="00000000" w:rsidR="00000000" w:rsidRPr="00000000">
          <w:rPr>
            <w:rFonts w:ascii="Times New Roman" w:cs="Times New Roman" w:eastAsia="Times New Roman" w:hAnsi="Times New Roman"/>
            <w:sz w:val="24"/>
            <w:szCs w:val="24"/>
            <w:rtl w:val="0"/>
          </w:rPr>
          <w:t xml:space="preserve">(Santos </w:t>
        </w:r>
      </w:hyperlink>
      <w:hyperlink r:id="rId28">
        <w:r w:rsidDel="00000000" w:rsidR="00000000" w:rsidRPr="00000000">
          <w:rPr>
            <w:rFonts w:ascii="Times New Roman" w:cs="Times New Roman" w:eastAsia="Times New Roman" w:hAnsi="Times New Roman"/>
            <w:i w:val="1"/>
            <w:iCs w:val="1"/>
            <w:sz w:val="24"/>
            <w:szCs w:val="24"/>
            <w:rtl w:val="0"/>
          </w:rPr>
          <w:t xml:space="preserve">et al.</w:t>
        </w:r>
      </w:hyperlink>
      <w:hyperlink r:id="rId29">
        <w:r w:rsidDel="00000000" w:rsidR="00000000" w:rsidRPr="00000000">
          <w:rPr>
            <w:rFonts w:ascii="Times New Roman" w:cs="Times New Roman" w:eastAsia="Times New Roman" w:hAnsi="Times New Roman"/>
            <w:sz w:val="24"/>
            <w:szCs w:val="24"/>
            <w:rtl w:val="0"/>
          </w:rPr>
          <w:t xml:space="preserve">, 2024)</w:t>
        </w:r>
      </w:hyperlink>
      <w:r w:rsidDel="00000000" w:rsidR="00000000" w:rsidRPr="00000000">
        <w:rPr>
          <w:rFonts w:ascii="Times New Roman" w:cs="Times New Roman" w:eastAsia="Times New Roman" w:hAnsi="Times New Roman"/>
          <w:sz w:val="24"/>
          <w:szCs w:val="24"/>
          <w:rtl w:val="0"/>
        </w:rPr>
        <w:t xml:space="preserve"> apontam sua relação com mudanças na dinâmica eleitoral brasileira. Por sua vez, políticas públicas como a “Nova Indústria Brasil” partem da premissa da existência da desindustrialização e visam revertê-la ou amenizá-la como parte de uma estratégia de desenvolvimento econômico </w:t>
      </w:r>
      <w:hyperlink r:id="rId30">
        <w:r w:rsidDel="00000000" w:rsidR="00000000" w:rsidRPr="00000000">
          <w:rPr>
            <w:rFonts w:ascii="Times New Roman" w:cs="Times New Roman" w:eastAsia="Times New Roman" w:hAnsi="Times New Roman"/>
            <w:sz w:val="24"/>
            <w:szCs w:val="24"/>
            <w:rtl w:val="0"/>
          </w:rPr>
          <w:t xml:space="preserve">(CNDI e MDIC, 2024, p. 5)</w:t>
        </w:r>
      </w:hyperlink>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texto a seguir está dividido em quatro partes que abordam: 1 - critérios de seleção e características da revisão de literatura; 2 - características econômicas, culturais e políticas da desindustrialização; 3- a temporalidade, lugares e grupos sociais privilegiados no seu debate; 4 - suas causas, consequências e relações territoriais e setoriais; 5- discussão e conclusões.</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before="400" w:line="360" w:lineRule="auto"/>
        <w:rPr/>
      </w:pPr>
      <w:r w:rsidDel="00000000" w:rsidR="00000000" w:rsidRPr="00000000">
        <w:rPr>
          <w:rtl w:val="0"/>
        </w:rPr>
        <w:t xml:space="preserve">1. Características da revisão de literatura</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revisão de literatura realizada é exploratória e crítica </w:t>
      </w:r>
      <w:hyperlink r:id="rId31">
        <w:r w:rsidDel="00000000" w:rsidR="00000000" w:rsidRPr="00000000">
          <w:rPr>
            <w:rFonts w:ascii="Times New Roman" w:cs="Times New Roman" w:eastAsia="Times New Roman" w:hAnsi="Times New Roman"/>
            <w:sz w:val="24"/>
            <w:szCs w:val="24"/>
            <w:rtl w:val="0"/>
          </w:rPr>
          <w:t xml:space="preserve">(Jesson, Matheson e Lacey, 2011, p. 15)</w:t>
        </w:r>
      </w:hyperlink>
      <w:r w:rsidDel="00000000" w:rsidR="00000000" w:rsidRPr="00000000">
        <w:rPr>
          <w:rFonts w:ascii="Times New Roman" w:cs="Times New Roman" w:eastAsia="Times New Roman" w:hAnsi="Times New Roman"/>
          <w:sz w:val="24"/>
          <w:szCs w:val="24"/>
          <w:rtl w:val="0"/>
        </w:rPr>
        <w:t xml:space="preserve">, incorporando elementos de uma revisão sistemática </w:t>
      </w:r>
      <w:hyperlink r:id="rId32">
        <w:r w:rsidDel="00000000" w:rsidR="00000000" w:rsidRPr="00000000">
          <w:rPr>
            <w:rFonts w:ascii="Times New Roman" w:cs="Times New Roman" w:eastAsia="Times New Roman" w:hAnsi="Times New Roman"/>
            <w:sz w:val="24"/>
            <w:szCs w:val="24"/>
            <w:rtl w:val="0"/>
          </w:rPr>
          <w:t xml:space="preserve">(Efron e Ravid, 2019, p. 25)</w:t>
        </w:r>
      </w:hyperlink>
      <w:r w:rsidDel="00000000" w:rsidR="00000000" w:rsidRPr="00000000">
        <w:rPr>
          <w:rFonts w:ascii="Times New Roman" w:cs="Times New Roman" w:eastAsia="Times New Roman" w:hAnsi="Times New Roman"/>
          <w:sz w:val="24"/>
          <w:szCs w:val="24"/>
          <w:rtl w:val="0"/>
        </w:rPr>
        <w:t xml:space="preserve">, mas com flexibilização da cobertura do material. Foram utilizados termos de busca na </w:t>
      </w:r>
      <w:r w:rsidDel="00000000" w:rsidR="00000000" w:rsidRPr="00000000">
        <w:rPr>
          <w:rFonts w:ascii="Times New Roman" w:cs="Times New Roman" w:eastAsia="Times New Roman" w:hAnsi="Times New Roman"/>
          <w:i w:val="1"/>
          <w:iCs w:val="1"/>
          <w:sz w:val="24"/>
          <w:szCs w:val="24"/>
          <w:rtl w:val="0"/>
        </w:rPr>
        <w:t xml:space="preserve">Web of Science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para encontrar 205 artigos em inglês nas áreas de sociologia e história, publicados entre 2014 e 2023 e revisados por pares.</w:t>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artigos foram ordenados por número de citações e avaliados quanto ao seu tópico central, abordagem do conceito de desindustrialização, dimensões consideradas e metodologia (cf. tabela 11 abaixo). Vinte e três artigos foram selecionados com base nesses critérios. Em seguida, foram extraídas as referências citadas pelo conjunto de 205 artigos, resultando em uma lista das fontes bibliográficas mais utilizadas nos últimos dez anos. Foram selecionados os artigos revisados por pares mais relevantes, adicionando assim vinte artigos e os cinco livros mais citados ao </w:t>
      </w:r>
      <w:r w:rsidDel="00000000" w:rsidR="00000000" w:rsidRPr="00000000">
        <w:rPr>
          <w:rFonts w:ascii="Times New Roman" w:cs="Times New Roman" w:eastAsia="Times New Roman" w:hAnsi="Times New Roman"/>
          <w:i w:val="1"/>
          <w:iCs w:val="1"/>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No total, tem-se a seleção sistemática de 43 artigos e cinco livros como base para a revisão de literatura. Por fim, critérios não sistemáticos foram utilizados para preencher lacunas específicas relativas ao caso brasileiro e contextualizar a discussão na introdução acima.</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11: critérios de priorização de artigos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20"/>
        <w:tblGridChange w:id="0">
          <w:tblGrid>
            <w:gridCol w:w="144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Critério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Descrição da avaliação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Tópico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desindustrialização é um tópico central do artigo? (-) Há outras temáticas que dividem o foco do artigo?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Abordagem do 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Há uma definição clara do conceito? (+) O conceito é considerado em sua complexidade de causas e consequências? (-) É tratado como apenas variável causal para outro fenômeno?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Dimensões consideradas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artigo aborda a desindustrialização em dimensões: (+) econômica, (+) social/cultural e (+) política?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Metodologia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Artigo possui descrição de metodologia clara? (+) Descreve a fonte dos dados analisados?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 indica aspecto positivo; (-) indica aspecto negativo; pontuação de 0, 0.5 ou 1 em cada critério; selecionados artigos que pontuaram 3 ou mais</w:t>
            </w:r>
          </w:p>
        </w:tc>
      </w:tr>
    </w:tbl>
    <w:p w:rsidR="00000000" w:rsidDel="00000000" w:rsidP="00000000" w:rsidRDefault="00000000" w:rsidRPr="00000000" w14:paraId="0000004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Realizando uma inferência a partir da revista de publicação, ou da formação acadêmica do autor, pode-se agrupar os artigos da seguinte maneira: sociologia (15), história (18), economia (4), ciência política (3), estudos culturais (1), </w:t>
      </w:r>
      <w:r w:rsidDel="00000000" w:rsidR="00000000" w:rsidRPr="00000000">
        <w:rPr>
          <w:rFonts w:ascii="Times New Roman" w:cs="Times New Roman" w:eastAsia="Times New Roman" w:hAnsi="Times New Roman"/>
          <w:i w:val="1"/>
          <w:iCs w:val="1"/>
          <w:sz w:val="24"/>
          <w:szCs w:val="24"/>
          <w:rtl w:val="0"/>
        </w:rPr>
        <w:t xml:space="preserve">social policy </w:t>
      </w:r>
      <w:r w:rsidDel="00000000" w:rsidR="00000000" w:rsidRPr="00000000">
        <w:rPr>
          <w:rFonts w:ascii="Times New Roman" w:cs="Times New Roman" w:eastAsia="Times New Roman" w:hAnsi="Times New Roman"/>
          <w:sz w:val="24"/>
          <w:szCs w:val="24"/>
          <w:rtl w:val="0"/>
        </w:rPr>
        <w:t xml:space="preserve">(1) e geografia (1). Os livros, a partir da formação dos autores, podem ser classificados em: sociologia (1), história (2), economia (1) e estudos de literatura (1). Tal agrupamento, entretanto, não dá conta completa da natureza interdisciplinar dos trabalhos do campo. Tal interdisciplinaridade se reflete na heterogeneidade das linhas teóricas utilizadas, estando presentes abordagens neoclássicas </w:t>
      </w:r>
      <w:hyperlink r:id="rId33">
        <w:r w:rsidDel="00000000" w:rsidR="00000000" w:rsidRPr="00000000">
          <w:rPr>
            <w:rFonts w:ascii="Times New Roman" w:cs="Times New Roman" w:eastAsia="Times New Roman" w:hAnsi="Times New Roman"/>
            <w:sz w:val="24"/>
            <w:szCs w:val="24"/>
            <w:rtl w:val="0"/>
          </w:rPr>
          <w:t xml:space="preserve">(Scheiring e King, 2023)</w:t>
        </w:r>
      </w:hyperlink>
      <w:r w:rsidDel="00000000" w:rsidR="00000000" w:rsidRPr="00000000">
        <w:rPr>
          <w:rFonts w:ascii="Times New Roman" w:cs="Times New Roman" w:eastAsia="Times New Roman" w:hAnsi="Times New Roman"/>
          <w:sz w:val="24"/>
          <w:szCs w:val="24"/>
          <w:rtl w:val="0"/>
        </w:rPr>
        <w:t xml:space="preserve">, marxistas </w:t>
      </w:r>
      <w:hyperlink r:id="rId34">
        <w:r w:rsidDel="00000000" w:rsidR="00000000" w:rsidRPr="00000000">
          <w:rPr>
            <w:rFonts w:ascii="Times New Roman" w:cs="Times New Roman" w:eastAsia="Times New Roman" w:hAnsi="Times New Roman"/>
            <w:sz w:val="24"/>
            <w:szCs w:val="24"/>
            <w:rtl w:val="0"/>
          </w:rPr>
          <w:t xml:space="preserve">(High, 2013, p. 997)</w:t>
        </w:r>
      </w:hyperlink>
      <w:r w:rsidDel="00000000" w:rsidR="00000000" w:rsidRPr="00000000">
        <w:rPr>
          <w:rFonts w:ascii="Times New Roman" w:cs="Times New Roman" w:eastAsia="Times New Roman" w:hAnsi="Times New Roman"/>
          <w:sz w:val="24"/>
          <w:szCs w:val="24"/>
          <w:rtl w:val="0"/>
        </w:rPr>
        <w:t xml:space="preserve">, institucionalistas </w:t>
      </w:r>
      <w:hyperlink r:id="rId35">
        <w:r w:rsidDel="00000000" w:rsidR="00000000" w:rsidRPr="00000000">
          <w:rPr>
            <w:rFonts w:ascii="Times New Roman" w:cs="Times New Roman" w:eastAsia="Times New Roman" w:hAnsi="Times New Roman"/>
            <w:sz w:val="24"/>
            <w:szCs w:val="24"/>
            <w:rtl w:val="0"/>
          </w:rPr>
          <w:t xml:space="preserve">(Lee, 2016)</w:t>
        </w:r>
      </w:hyperlink>
      <w:r w:rsidDel="00000000" w:rsidR="00000000" w:rsidRPr="00000000">
        <w:rPr>
          <w:rFonts w:ascii="Times New Roman" w:cs="Times New Roman" w:eastAsia="Times New Roman" w:hAnsi="Times New Roman"/>
          <w:sz w:val="24"/>
          <w:szCs w:val="24"/>
          <w:rtl w:val="0"/>
        </w:rPr>
        <w:t xml:space="preserve">, da história econômica </w:t>
      </w:r>
      <w:hyperlink r:id="rId36">
        <w:r w:rsidDel="00000000" w:rsidR="00000000" w:rsidRPr="00000000">
          <w:rPr>
            <w:rFonts w:ascii="Times New Roman" w:cs="Times New Roman" w:eastAsia="Times New Roman" w:hAnsi="Times New Roman"/>
            <w:sz w:val="24"/>
            <w:szCs w:val="24"/>
            <w:rtl w:val="0"/>
          </w:rPr>
          <w:t xml:space="preserve">(Van Nederveen Meerkerk, 2017)</w:t>
        </w:r>
      </w:hyperlink>
      <w:r w:rsidDel="00000000" w:rsidR="00000000" w:rsidRPr="00000000">
        <w:rPr>
          <w:rFonts w:ascii="Times New Roman" w:cs="Times New Roman" w:eastAsia="Times New Roman" w:hAnsi="Times New Roman"/>
          <w:sz w:val="24"/>
          <w:szCs w:val="24"/>
          <w:rtl w:val="0"/>
        </w:rPr>
        <w:t xml:space="preserve"> e da sociologia da estratificação e mobilidade social </w:t>
      </w:r>
      <w:hyperlink r:id="rId37">
        <w:r w:rsidDel="00000000" w:rsidR="00000000" w:rsidRPr="00000000">
          <w:rPr>
            <w:rFonts w:ascii="Times New Roman" w:cs="Times New Roman" w:eastAsia="Times New Roman" w:hAnsi="Times New Roman"/>
            <w:sz w:val="24"/>
            <w:szCs w:val="24"/>
            <w:rtl w:val="0"/>
          </w:rPr>
          <w:t xml:space="preserve">(Kollmeyer, 2018)</w:t>
        </w:r>
      </w:hyperlink>
      <w:r w:rsidDel="00000000" w:rsidR="00000000" w:rsidRPr="00000000">
        <w:rPr>
          <w:rFonts w:ascii="Times New Roman" w:cs="Times New Roman" w:eastAsia="Times New Roman" w:hAnsi="Times New Roman"/>
          <w:sz w:val="24"/>
          <w:szCs w:val="24"/>
          <w:rtl w:val="0"/>
        </w:rPr>
        <w:t xml:space="preserve">, entre outras.</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Do ponto de vista metodológico, predominam na literatura trabalhos primordialmente qualitativos. Há forte presença de trabalhos que utilizam metodologias de história oral </w:t>
      </w:r>
      <w:hyperlink r:id="rId38">
        <w:r w:rsidDel="00000000" w:rsidR="00000000" w:rsidRPr="00000000">
          <w:rPr>
            <w:rFonts w:ascii="Times New Roman" w:cs="Times New Roman" w:eastAsia="Times New Roman" w:hAnsi="Times New Roman"/>
            <w:sz w:val="24"/>
            <w:szCs w:val="24"/>
            <w:rtl w:val="0"/>
          </w:rPr>
          <w:t xml:space="preserve">(Clark e Gibbs, 2020; Clarke, 2015; Hodson, 2019)</w:t>
        </w:r>
      </w:hyperlink>
      <w:r w:rsidDel="00000000" w:rsidR="00000000" w:rsidRPr="00000000">
        <w:rPr>
          <w:rFonts w:ascii="Times New Roman" w:cs="Times New Roman" w:eastAsia="Times New Roman" w:hAnsi="Times New Roman"/>
          <w:sz w:val="24"/>
          <w:szCs w:val="24"/>
          <w:highlight w:val="white"/>
          <w:rtl w:val="0"/>
        </w:rPr>
        <w:t xml:space="preserve">, entrevistas </w:t>
      </w:r>
      <w:hyperlink r:id="rId39">
        <w:r w:rsidDel="00000000" w:rsidR="00000000" w:rsidRPr="00000000">
          <w:rPr>
            <w:rFonts w:ascii="Times New Roman" w:cs="Times New Roman" w:eastAsia="Times New Roman" w:hAnsi="Times New Roman"/>
            <w:sz w:val="24"/>
            <w:szCs w:val="24"/>
            <w:rtl w:val="0"/>
          </w:rPr>
          <w:t xml:space="preserve">(Hoekstra, 2020; Nettleingham, 2019; Scheiring, 2020; Scheiring e King, 2023)</w:t>
        </w:r>
      </w:hyperlink>
      <w:r w:rsidDel="00000000" w:rsidR="00000000" w:rsidRPr="00000000">
        <w:rPr>
          <w:rFonts w:ascii="Times New Roman" w:cs="Times New Roman" w:eastAsia="Times New Roman" w:hAnsi="Times New Roman"/>
          <w:sz w:val="24"/>
          <w:szCs w:val="24"/>
          <w:highlight w:val="white"/>
          <w:rtl w:val="0"/>
        </w:rPr>
        <w:t xml:space="preserve"> e em menor grau análises documentais </w:t>
      </w:r>
      <w:hyperlink r:id="rId40">
        <w:r w:rsidDel="00000000" w:rsidR="00000000" w:rsidRPr="00000000">
          <w:rPr>
            <w:rFonts w:ascii="Times New Roman" w:cs="Times New Roman" w:eastAsia="Times New Roman" w:hAnsi="Times New Roman"/>
            <w:sz w:val="24"/>
            <w:szCs w:val="24"/>
            <w:rtl w:val="0"/>
          </w:rPr>
          <w:t xml:space="preserve">(Phillips, 2015; Phillips, Wright e Tomlinson, 2019)</w:t>
        </w:r>
      </w:hyperlink>
      <w:r w:rsidDel="00000000" w:rsidR="00000000" w:rsidRPr="00000000">
        <w:rPr>
          <w:rFonts w:ascii="Times New Roman" w:cs="Times New Roman" w:eastAsia="Times New Roman" w:hAnsi="Times New Roman"/>
          <w:sz w:val="24"/>
          <w:szCs w:val="24"/>
          <w:highlight w:val="white"/>
          <w:rtl w:val="0"/>
        </w:rPr>
        <w:t xml:space="preserve">, etnografias </w:t>
      </w:r>
      <w:hyperlink r:id="rId41">
        <w:r w:rsidDel="00000000" w:rsidR="00000000" w:rsidRPr="00000000">
          <w:rPr>
            <w:rFonts w:ascii="Times New Roman" w:cs="Times New Roman" w:eastAsia="Times New Roman" w:hAnsi="Times New Roman"/>
            <w:sz w:val="24"/>
            <w:szCs w:val="24"/>
            <w:rtl w:val="0"/>
          </w:rPr>
          <w:t xml:space="preserve">(Lewis, 2016)</w:t>
        </w:r>
      </w:hyperlink>
      <w:r w:rsidDel="00000000" w:rsidR="00000000" w:rsidRPr="00000000">
        <w:rPr>
          <w:rFonts w:ascii="Times New Roman" w:cs="Times New Roman" w:eastAsia="Times New Roman" w:hAnsi="Times New Roman"/>
          <w:sz w:val="24"/>
          <w:szCs w:val="24"/>
          <w:highlight w:val="white"/>
          <w:rtl w:val="0"/>
        </w:rPr>
        <w:t xml:space="preserve"> e análises institucionalistas comparativas </w:t>
      </w:r>
      <w:hyperlink r:id="rId42">
        <w:r w:rsidDel="00000000" w:rsidR="00000000" w:rsidRPr="00000000">
          <w:rPr>
            <w:rFonts w:ascii="Times New Roman" w:cs="Times New Roman" w:eastAsia="Times New Roman" w:hAnsi="Times New Roman"/>
            <w:sz w:val="24"/>
            <w:szCs w:val="24"/>
            <w:rtl w:val="0"/>
          </w:rPr>
          <w:t xml:space="preserve">(Lee, 2016)</w:t>
        </w:r>
      </w:hyperlink>
      <w:r w:rsidDel="00000000" w:rsidR="00000000" w:rsidRPr="00000000">
        <w:rPr>
          <w:rFonts w:ascii="Times New Roman" w:cs="Times New Roman" w:eastAsia="Times New Roman" w:hAnsi="Times New Roman"/>
          <w:sz w:val="24"/>
          <w:szCs w:val="24"/>
          <w:highlight w:val="white"/>
          <w:rtl w:val="0"/>
        </w:rPr>
        <w:t xml:space="preserve">. Alguns trabalhos empregam métodos mistos, combinando análises históricas com análises de dados quantitativos </w:t>
      </w:r>
      <w:hyperlink r:id="rId43">
        <w:r w:rsidDel="00000000" w:rsidR="00000000" w:rsidRPr="00000000">
          <w:rPr>
            <w:rFonts w:ascii="Times New Roman" w:cs="Times New Roman" w:eastAsia="Times New Roman" w:hAnsi="Times New Roman"/>
            <w:sz w:val="24"/>
            <w:szCs w:val="24"/>
            <w:rtl w:val="0"/>
          </w:rPr>
          <w:t xml:space="preserve">(Tomlinson, 2020; Van Nederveen Meerkerk, 2017)</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Já trabalhos de ênfase primordialmente quantitativa são minoria, se destacando preocupações com o impacto econômico da desindustrialização na desigualdade econômica e mobilidade social </w:t>
      </w:r>
      <w:hyperlink r:id="rId44">
        <w:r w:rsidDel="00000000" w:rsidR="00000000" w:rsidRPr="00000000">
          <w:rPr>
            <w:rFonts w:ascii="Times New Roman" w:cs="Times New Roman" w:eastAsia="Times New Roman" w:hAnsi="Times New Roman"/>
            <w:sz w:val="24"/>
            <w:szCs w:val="24"/>
            <w:rtl w:val="0"/>
          </w:rPr>
          <w:t xml:space="preserve">(Berger e Engzell, 2022; Kollmeyer, 2018)</w:t>
        </w:r>
      </w:hyperlink>
      <w:r w:rsidDel="00000000" w:rsidR="00000000" w:rsidRPr="00000000">
        <w:rPr>
          <w:rFonts w:ascii="Times New Roman" w:cs="Times New Roman" w:eastAsia="Times New Roman" w:hAnsi="Times New Roman"/>
          <w:sz w:val="24"/>
          <w:szCs w:val="24"/>
          <w:highlight w:val="white"/>
          <w:rtl w:val="0"/>
        </w:rPr>
        <w:t xml:space="preserve"> ou suas causas do ponto de vista econômico </w:t>
      </w:r>
      <w:hyperlink r:id="rId45">
        <w:r w:rsidDel="00000000" w:rsidR="00000000" w:rsidRPr="00000000">
          <w:rPr>
            <w:rFonts w:ascii="Times New Roman" w:cs="Times New Roman" w:eastAsia="Times New Roman" w:hAnsi="Times New Roman"/>
            <w:sz w:val="24"/>
            <w:szCs w:val="24"/>
            <w:rtl w:val="0"/>
          </w:rPr>
          <w:t xml:space="preserve">(Kollmeyer, 2018; Rodrik, 2016)</w:t>
        </w:r>
      </w:hyperlink>
      <w:r w:rsidDel="00000000" w:rsidR="00000000" w:rsidRPr="00000000">
        <w:rPr>
          <w:rFonts w:ascii="Times New Roman" w:cs="Times New Roman" w:eastAsia="Times New Roman" w:hAnsi="Times New Roman"/>
          <w:sz w:val="24"/>
          <w:szCs w:val="24"/>
          <w:highlight w:val="white"/>
          <w:rtl w:val="0"/>
        </w:rPr>
        <w:t xml:space="preserve">. Estes são na maioria baseados em técnicas de regressão multivariada. Por fim, alguns trabalhos têm preocupação primordialmente teórica </w:t>
      </w:r>
      <w:hyperlink r:id="rId46">
        <w:r w:rsidDel="00000000" w:rsidR="00000000" w:rsidRPr="00000000">
          <w:rPr>
            <w:rFonts w:ascii="Times New Roman" w:cs="Times New Roman" w:eastAsia="Times New Roman" w:hAnsi="Times New Roman"/>
            <w:sz w:val="24"/>
            <w:szCs w:val="24"/>
            <w:rtl w:val="0"/>
          </w:rPr>
          <w:t xml:space="preserve">(Strangleman, 2017; Tomlinson, 2016)</w:t>
        </w:r>
      </w:hyperlink>
      <w:r w:rsidDel="00000000" w:rsidR="00000000" w:rsidRPr="00000000">
        <w:rPr>
          <w:rFonts w:ascii="Times New Roman" w:cs="Times New Roman" w:eastAsia="Times New Roman" w:hAnsi="Times New Roman"/>
          <w:sz w:val="24"/>
          <w:szCs w:val="24"/>
          <w:highlight w:val="white"/>
          <w:rtl w:val="0"/>
        </w:rPr>
        <w:t xml:space="preserve"> enquanto outros são revisões de literatura </w:t>
      </w:r>
      <w:hyperlink r:id="rId47">
        <w:r w:rsidDel="00000000" w:rsidR="00000000" w:rsidRPr="00000000">
          <w:rPr>
            <w:rFonts w:ascii="Times New Roman" w:cs="Times New Roman" w:eastAsia="Times New Roman" w:hAnsi="Times New Roman"/>
            <w:sz w:val="24"/>
            <w:szCs w:val="24"/>
            <w:rtl w:val="0"/>
          </w:rPr>
          <w:t xml:space="preserve">(Emery, 2019; High, 2013; Lawson, 2020; Strangleman e Rhodes, 2014; Strangleman, Rhodes e Linkon, 2013)</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spacing w:before="400" w:line="360" w:lineRule="auto"/>
        <w:rPr/>
      </w:pPr>
      <w:r w:rsidDel="00000000" w:rsidR="00000000" w:rsidRPr="00000000">
        <w:rPr>
          <w:rtl w:val="0"/>
        </w:rPr>
        <w:t xml:space="preserve">2. Características econômicas, culturais e políticas do processo de desindustrialização</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Diversas maneiras pelas quais o processo de desindustrialização é compreendido na literatura podem ser agregadas a partir da ênfase em seus aspectos econômicos, culturais ou políticos. Obviamente a maioria dos trabalhos não adere estritamente a uma das categorias, em geral sendo valorizada a interação de duas ou mais dessas categorias.</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que concerne à dimensão econômica, a redução do emprego industrial é o principal indicador do fenômeno na literatura examinada </w:t>
      </w:r>
      <w:hyperlink r:id="rId48">
        <w:r w:rsidDel="00000000" w:rsidR="00000000" w:rsidRPr="00000000">
          <w:rPr>
            <w:rFonts w:ascii="Times New Roman" w:cs="Times New Roman" w:eastAsia="Times New Roman" w:hAnsi="Times New Roman"/>
            <w:sz w:val="24"/>
            <w:szCs w:val="24"/>
            <w:rtl w:val="0"/>
          </w:rPr>
          <w:t xml:space="preserve">(Beatty e Fothergill, 2020; Berger e Engzell, 2022; Clark e Gibbs, 2020, p. 42; Phillips, Wright e Tomlinson, 2019; Scheiring, 2020; Tomlinson, 2016, p. 84; Van Nederveen Meerkerk, 2017)</w:t>
        </w:r>
      </w:hyperlink>
      <w:r w:rsidDel="00000000" w:rsidR="00000000" w:rsidRPr="00000000">
        <w:rPr>
          <w:rFonts w:ascii="Times New Roman" w:cs="Times New Roman" w:eastAsia="Times New Roman" w:hAnsi="Times New Roman"/>
          <w:sz w:val="24"/>
          <w:szCs w:val="24"/>
          <w:rtl w:val="0"/>
        </w:rPr>
        <w:t xml:space="preserve">, em diversos casos analisada a partir da experiência de fechamento de fábricas </w:t>
      </w:r>
      <w:hyperlink r:id="rId49">
        <w:r w:rsidDel="00000000" w:rsidR="00000000" w:rsidRPr="00000000">
          <w:rPr>
            <w:rFonts w:ascii="Times New Roman" w:cs="Times New Roman" w:eastAsia="Times New Roman" w:hAnsi="Times New Roman"/>
            <w:sz w:val="24"/>
            <w:szCs w:val="24"/>
            <w:rtl w:val="0"/>
          </w:rPr>
          <w:t xml:space="preserve">(Clarke, 2015; Hodson, 2019; Lewis, 2016)</w:t>
        </w:r>
      </w:hyperlink>
      <w:r w:rsidDel="00000000" w:rsidR="00000000" w:rsidRPr="00000000">
        <w:rPr>
          <w:rFonts w:ascii="Times New Roman" w:cs="Times New Roman" w:eastAsia="Times New Roman" w:hAnsi="Times New Roman"/>
          <w:sz w:val="24"/>
          <w:szCs w:val="24"/>
          <w:rtl w:val="0"/>
        </w:rPr>
        <w:t xml:space="preserve">, saída de empresas de regiões </w:t>
      </w:r>
      <w:hyperlink r:id="rId50">
        <w:r w:rsidDel="00000000" w:rsidR="00000000" w:rsidRPr="00000000">
          <w:rPr>
            <w:rFonts w:ascii="Times New Roman" w:cs="Times New Roman" w:eastAsia="Times New Roman" w:hAnsi="Times New Roman"/>
            <w:sz w:val="24"/>
            <w:szCs w:val="24"/>
            <w:rtl w:val="0"/>
          </w:rPr>
          <w:t xml:space="preserve">(Highsmith, 2014)</w:t>
        </w:r>
      </w:hyperlink>
      <w:r w:rsidDel="00000000" w:rsidR="00000000" w:rsidRPr="00000000">
        <w:rPr>
          <w:rFonts w:ascii="Times New Roman" w:cs="Times New Roman" w:eastAsia="Times New Roman" w:hAnsi="Times New Roman"/>
          <w:sz w:val="24"/>
          <w:szCs w:val="24"/>
          <w:rtl w:val="0"/>
        </w:rPr>
        <w:t xml:space="preserve"> ou declínio de setores industriais particulares, como carvão e aço </w:t>
      </w:r>
      <w:hyperlink r:id="rId51">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rtl w:val="0"/>
        </w:rPr>
        <w:t xml:space="preserve">. Alguns autores tratam o processo, de forma menos específica, como uma redução da capacidade produtiva </w:t>
      </w:r>
      <w:hyperlink r:id="rId52">
        <w:r w:rsidDel="00000000" w:rsidR="00000000" w:rsidRPr="00000000">
          <w:rPr>
            <w:rFonts w:ascii="Times New Roman" w:cs="Times New Roman" w:eastAsia="Times New Roman" w:hAnsi="Times New Roman"/>
            <w:sz w:val="24"/>
            <w:szCs w:val="24"/>
            <w:rtl w:val="0"/>
          </w:rPr>
          <w:t xml:space="preserve">(Bluestone e Harrison, 1982)</w:t>
        </w:r>
      </w:hyperlink>
      <w:r w:rsidDel="00000000" w:rsidR="00000000" w:rsidRPr="00000000">
        <w:rPr>
          <w:rFonts w:ascii="Times New Roman" w:cs="Times New Roman" w:eastAsia="Times New Roman" w:hAnsi="Times New Roman"/>
          <w:sz w:val="24"/>
          <w:szCs w:val="24"/>
          <w:rtl w:val="0"/>
        </w:rPr>
        <w:t xml:space="preserve">, um encolhimento dos setores industriais centrais </w:t>
      </w:r>
      <w:hyperlink r:id="rId53">
        <w:r w:rsidDel="00000000" w:rsidR="00000000" w:rsidRPr="00000000">
          <w:rPr>
            <w:rFonts w:ascii="Times New Roman" w:cs="Times New Roman" w:eastAsia="Times New Roman" w:hAnsi="Times New Roman"/>
            <w:sz w:val="24"/>
            <w:szCs w:val="24"/>
            <w:rtl w:val="0"/>
          </w:rPr>
          <w:t xml:space="preserve">(Durazzi e Geyer, 2020)</w:t>
        </w:r>
      </w:hyperlink>
      <w:r w:rsidDel="00000000" w:rsidR="00000000" w:rsidRPr="00000000">
        <w:rPr>
          <w:rFonts w:ascii="Times New Roman" w:cs="Times New Roman" w:eastAsia="Times New Roman" w:hAnsi="Times New Roman"/>
          <w:sz w:val="24"/>
          <w:szCs w:val="24"/>
          <w:rtl w:val="0"/>
        </w:rPr>
        <w:t xml:space="preserve"> ou uma redução da produção – </w:t>
      </w:r>
      <w:r w:rsidDel="00000000" w:rsidR="00000000" w:rsidRPr="00000000">
        <w:rPr>
          <w:rFonts w:ascii="Times New Roman" w:cs="Times New Roman" w:eastAsia="Times New Roman" w:hAnsi="Times New Roman"/>
          <w:i w:val="1"/>
          <w:i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no original – industrial </w:t>
      </w:r>
      <w:hyperlink r:id="rId54">
        <w:r w:rsidDel="00000000" w:rsidR="00000000" w:rsidRPr="00000000">
          <w:rPr>
            <w:rFonts w:ascii="Times New Roman" w:cs="Times New Roman" w:eastAsia="Times New Roman" w:hAnsi="Times New Roman"/>
            <w:sz w:val="24"/>
            <w:szCs w:val="24"/>
            <w:rtl w:val="0"/>
          </w:rPr>
          <w:t xml:space="preserve">(Van Nederveen Meerkerk, 2017, p. 1219–1220)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Bluestone e Harrison </w:t>
      </w:r>
      <w:hyperlink r:id="rId55">
        <w:r w:rsidDel="00000000" w:rsidR="00000000" w:rsidRPr="00000000">
          <w:rPr>
            <w:rFonts w:ascii="Times New Roman" w:cs="Times New Roman" w:eastAsia="Times New Roman" w:hAnsi="Times New Roman"/>
            <w:sz w:val="24"/>
            <w:szCs w:val="24"/>
            <w:rtl w:val="0"/>
          </w:rPr>
          <w:t xml:space="preserve">(1982)</w:t>
        </w:r>
      </w:hyperlink>
      <w:r w:rsidDel="00000000" w:rsidR="00000000" w:rsidRPr="00000000">
        <w:rPr>
          <w:rFonts w:ascii="Times New Roman" w:cs="Times New Roman" w:eastAsia="Times New Roman" w:hAnsi="Times New Roman"/>
          <w:sz w:val="24"/>
          <w:szCs w:val="24"/>
          <w:rtl w:val="0"/>
        </w:rPr>
        <w:t xml:space="preserve">, Kollmeyer </w:t>
      </w:r>
      <w:hyperlink r:id="rId56">
        <w:r w:rsidDel="00000000" w:rsidR="00000000" w:rsidRPr="00000000">
          <w:rPr>
            <w:rFonts w:ascii="Times New Roman" w:cs="Times New Roman" w:eastAsia="Times New Roman" w:hAnsi="Times New Roman"/>
            <w:sz w:val="24"/>
            <w:szCs w:val="24"/>
            <w:rtl w:val="0"/>
          </w:rPr>
          <w:t xml:space="preserve">(2018, p. 1)</w:t>
        </w:r>
      </w:hyperlink>
      <w:r w:rsidDel="00000000" w:rsidR="00000000" w:rsidRPr="00000000">
        <w:rPr>
          <w:rFonts w:ascii="Times New Roman" w:cs="Times New Roman" w:eastAsia="Times New Roman" w:hAnsi="Times New Roman"/>
          <w:sz w:val="24"/>
          <w:szCs w:val="24"/>
          <w:rtl w:val="0"/>
        </w:rPr>
        <w:t xml:space="preserve"> e Gibbs e Clark </w:t>
      </w:r>
      <w:hyperlink r:id="rId57">
        <w:r w:rsidDel="00000000" w:rsidR="00000000" w:rsidRPr="00000000">
          <w:rPr>
            <w:rFonts w:ascii="Times New Roman" w:cs="Times New Roman" w:eastAsia="Times New Roman" w:hAnsi="Times New Roman"/>
            <w:sz w:val="24"/>
            <w:szCs w:val="24"/>
            <w:rtl w:val="0"/>
          </w:rPr>
          <w:t xml:space="preserve">(2020, p. 40)</w:t>
        </w:r>
      </w:hyperlink>
      <w:r w:rsidDel="00000000" w:rsidR="00000000" w:rsidRPr="00000000">
        <w:rPr>
          <w:rFonts w:ascii="Times New Roman" w:cs="Times New Roman" w:eastAsia="Times New Roman" w:hAnsi="Times New Roman"/>
          <w:sz w:val="24"/>
          <w:szCs w:val="24"/>
          <w:rtl w:val="0"/>
        </w:rPr>
        <w:t xml:space="preserve"> a contração do setor industrial está relacionada à crescente mobilidade de capital e para Tomlinson </w:t>
      </w:r>
      <w:hyperlink r:id="rId58">
        <w:r w:rsidDel="00000000" w:rsidR="00000000" w:rsidRPr="00000000">
          <w:rPr>
            <w:rFonts w:ascii="Times New Roman" w:cs="Times New Roman" w:eastAsia="Times New Roman" w:hAnsi="Times New Roman"/>
            <w:sz w:val="24"/>
            <w:szCs w:val="24"/>
            <w:rtl w:val="0"/>
          </w:rPr>
          <w:t xml:space="preserve">(2016, 2020, p. 199)</w:t>
        </w:r>
      </w:hyperlink>
      <w:r w:rsidDel="00000000" w:rsidR="00000000" w:rsidRPr="00000000">
        <w:rPr>
          <w:rFonts w:ascii="Times New Roman" w:cs="Times New Roman" w:eastAsia="Times New Roman" w:hAnsi="Times New Roman"/>
          <w:sz w:val="24"/>
          <w:szCs w:val="24"/>
          <w:rtl w:val="0"/>
        </w:rPr>
        <w:t xml:space="preserve"> ao crescimento do setor terciário e transição para uma economia de serviços. Tal transição é associada à crescente terceirização e aumento do trabalho precário em Lee </w:t>
      </w:r>
      <w:hyperlink r:id="rId59">
        <w:r w:rsidDel="00000000" w:rsidR="00000000" w:rsidRPr="00000000">
          <w:rPr>
            <w:rFonts w:ascii="Times New Roman" w:cs="Times New Roman" w:eastAsia="Times New Roman" w:hAnsi="Times New Roman"/>
            <w:sz w:val="24"/>
            <w:szCs w:val="24"/>
            <w:rtl w:val="0"/>
          </w:rPr>
          <w:t xml:space="preserve">(2016, p. 79)</w:t>
        </w:r>
      </w:hyperlink>
      <w:r w:rsidDel="00000000" w:rsidR="00000000" w:rsidRPr="00000000">
        <w:rPr>
          <w:rFonts w:ascii="Times New Roman" w:cs="Times New Roman" w:eastAsia="Times New Roman" w:hAnsi="Times New Roman"/>
          <w:sz w:val="24"/>
          <w:szCs w:val="24"/>
          <w:rtl w:val="0"/>
        </w:rPr>
        <w:t xml:space="preserve"> e a salários mais baixos em Winant </w:t>
      </w:r>
      <w:hyperlink r:id="rId60">
        <w:r w:rsidDel="00000000" w:rsidR="00000000" w:rsidRPr="00000000">
          <w:rPr>
            <w:rFonts w:ascii="Times New Roman" w:cs="Times New Roman" w:eastAsia="Times New Roman" w:hAnsi="Times New Roman"/>
            <w:sz w:val="24"/>
            <w:szCs w:val="24"/>
            <w:rtl w:val="0"/>
          </w:rPr>
          <w:t xml:space="preserve">(2019, p. 107)</w:t>
        </w:r>
      </w:hyperlink>
      <w:r w:rsidDel="00000000" w:rsidR="00000000" w:rsidRPr="00000000">
        <w:rPr>
          <w:rFonts w:ascii="Times New Roman" w:cs="Times New Roman" w:eastAsia="Times New Roman" w:hAnsi="Times New Roman"/>
          <w:sz w:val="24"/>
          <w:szCs w:val="24"/>
          <w:rtl w:val="0"/>
        </w:rPr>
        <w:t xml:space="preserve">. Ainda sobre o mercado de trabalho, há ênfase numa crescente dualização, a separação deste em camadas que mantêm certo grau de proteção social e uma crescente camada de trabalhadores submetidos a piores condições de trabalho e menores salários </w:t>
      </w:r>
      <w:hyperlink r:id="rId61">
        <w:r w:rsidDel="00000000" w:rsidR="00000000" w:rsidRPr="00000000">
          <w:rPr>
            <w:rFonts w:ascii="Times New Roman" w:cs="Times New Roman" w:eastAsia="Times New Roman" w:hAnsi="Times New Roman"/>
            <w:sz w:val="24"/>
            <w:szCs w:val="24"/>
            <w:rtl w:val="0"/>
          </w:rPr>
          <w:t xml:space="preserve">(Durazzi e Geyer, 2020, p. 120; Lee, 2016, p. 86)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conceituação do fenômeno, porém, vai além, incorporando dimensões culturais e políticas. É notável a influência programática de Cowie e Heathcott nos estudos de desindustrialização ao propor repensar sua “cronologia, memória, relações espaciais, cultura e políticas” [e analisar] “os múltiplos significados de uma das mais importantes transformações do século XX” </w:t>
      </w:r>
      <w:hyperlink r:id="rId62">
        <w:r w:rsidDel="00000000" w:rsidR="00000000" w:rsidRPr="00000000">
          <w:rPr>
            <w:rFonts w:ascii="Times New Roman" w:cs="Times New Roman" w:eastAsia="Times New Roman" w:hAnsi="Times New Roman"/>
            <w:sz w:val="24"/>
            <w:szCs w:val="24"/>
            <w:rtl w:val="0"/>
          </w:rPr>
          <w:t xml:space="preserve">(Cowie e Heathcott, 2003, p. 2)</w:t>
        </w:r>
      </w:hyperlink>
      <w:r w:rsidDel="00000000" w:rsidR="00000000" w:rsidRPr="00000000">
        <w:rPr>
          <w:rFonts w:ascii="Times New Roman" w:cs="Times New Roman" w:eastAsia="Times New Roman" w:hAnsi="Times New Roman"/>
          <w:sz w:val="24"/>
          <w:szCs w:val="24"/>
          <w:highlight w:val="white"/>
          <w:vertAlign w:val="superscript"/>
        </w:rPr>
        <w:footnoteReference w:customMarkFollows="0" w:id="2"/>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Dentro da dimensão cultural, algumas importantes considerações são sobre como essa mudança representa uma transição de um modo de vida e cujos impactos se estendem longamente. </w:t>
      </w:r>
      <w:r w:rsidDel="00000000" w:rsidR="00000000" w:rsidRPr="00000000">
        <w:rPr>
          <w:rFonts w:ascii="Times New Roman" w:cs="Times New Roman" w:eastAsia="Times New Roman" w:hAnsi="Times New Roman"/>
          <w:sz w:val="24"/>
          <w:szCs w:val="24"/>
          <w:highlight w:val="white"/>
          <w:rtl w:val="0"/>
        </w:rPr>
        <w:t xml:space="preserve">Linkon</w:t>
      </w:r>
      <w:r w:rsidDel="00000000" w:rsidR="00000000" w:rsidRPr="00000000">
        <w:rPr>
          <w:rFonts w:ascii="Times New Roman" w:cs="Times New Roman" w:eastAsia="Times New Roman" w:hAnsi="Times New Roman"/>
          <w:sz w:val="24"/>
          <w:szCs w:val="24"/>
          <w:highlight w:val="white"/>
          <w:rtl w:val="0"/>
        </w:rPr>
        <w:t xml:space="preserve"> </w:t>
      </w:r>
      <w:hyperlink r:id="rId63">
        <w:r w:rsidDel="00000000" w:rsidR="00000000" w:rsidRPr="00000000">
          <w:rPr>
            <w:rFonts w:ascii="Times New Roman" w:cs="Times New Roman" w:eastAsia="Times New Roman" w:hAnsi="Times New Roman"/>
            <w:sz w:val="24"/>
            <w:szCs w:val="24"/>
            <w:highlight w:val="white"/>
            <w:rtl w:val="0"/>
          </w:rPr>
          <w:t xml:space="preserve">(2018)</w:t>
        </w:r>
      </w:hyperlink>
      <w:r w:rsidDel="00000000" w:rsidR="00000000" w:rsidRPr="00000000">
        <w:rPr>
          <w:rFonts w:ascii="Times New Roman" w:cs="Times New Roman" w:eastAsia="Times New Roman" w:hAnsi="Times New Roman"/>
          <w:sz w:val="24"/>
          <w:szCs w:val="24"/>
          <w:highlight w:val="white"/>
          <w:rtl w:val="0"/>
        </w:rPr>
        <w:t xml:space="preserve"> vai enfatizar essa continuidade pela expressão "meia vida da desindustrialização", destacando os efeitos de longo prazo sobre trabalhadores e comunidades afetados pelos fechamentos de fábricas. Mah </w:t>
      </w:r>
      <w:hyperlink r:id="rId64">
        <w:r w:rsidDel="00000000" w:rsidR="00000000" w:rsidRPr="00000000">
          <w:rPr>
            <w:rFonts w:ascii="Times New Roman" w:cs="Times New Roman" w:eastAsia="Times New Roman" w:hAnsi="Times New Roman"/>
            <w:sz w:val="24"/>
            <w:szCs w:val="24"/>
            <w:highlight w:val="white"/>
            <w:rtl w:val="0"/>
          </w:rPr>
          <w:t xml:space="preserve">(2012)</w:t>
        </w:r>
      </w:hyperlink>
      <w:r w:rsidDel="00000000" w:rsidR="00000000" w:rsidRPr="00000000">
        <w:rPr>
          <w:rFonts w:ascii="Times New Roman" w:cs="Times New Roman" w:eastAsia="Times New Roman" w:hAnsi="Times New Roman"/>
          <w:sz w:val="24"/>
          <w:szCs w:val="24"/>
          <w:highlight w:val="white"/>
          <w:rtl w:val="0"/>
        </w:rPr>
        <w:t xml:space="preserve"> irá olhar o constante declínio dessas comunidades sob a perspectiva de uma "ruinação", enfatizando assim seu aspecto de processo.</w:t>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Já </w:t>
      </w:r>
      <w:r w:rsidDel="00000000" w:rsidR="00000000" w:rsidRPr="00000000">
        <w:rPr>
          <w:rFonts w:ascii="Times New Roman" w:cs="Times New Roman" w:eastAsia="Times New Roman" w:hAnsi="Times New Roman"/>
          <w:sz w:val="24"/>
          <w:szCs w:val="24"/>
          <w:highlight w:val="white"/>
          <w:rtl w:val="0"/>
        </w:rPr>
        <w:t xml:space="preserve">Strangleman</w:t>
      </w:r>
      <w:r w:rsidDel="00000000" w:rsidR="00000000" w:rsidRPr="00000000">
        <w:rPr>
          <w:rFonts w:ascii="Times New Roman" w:cs="Times New Roman" w:eastAsia="Times New Roman" w:hAnsi="Times New Roman"/>
          <w:sz w:val="24"/>
          <w:szCs w:val="24"/>
          <w:highlight w:val="white"/>
          <w:rtl w:val="0"/>
        </w:rPr>
        <w:t xml:space="preserve"> </w:t>
      </w:r>
      <w:hyperlink r:id="rId65">
        <w:r w:rsidDel="00000000" w:rsidR="00000000" w:rsidRPr="00000000">
          <w:rPr>
            <w:rFonts w:ascii="Times New Roman" w:cs="Times New Roman" w:eastAsia="Times New Roman" w:hAnsi="Times New Roman"/>
            <w:sz w:val="24"/>
            <w:szCs w:val="24"/>
            <w:highlight w:val="white"/>
            <w:rtl w:val="0"/>
          </w:rPr>
          <w:t xml:space="preserve">(2017)</w:t>
        </w:r>
      </w:hyperlink>
      <w:r w:rsidDel="00000000" w:rsidR="00000000" w:rsidRPr="00000000">
        <w:rPr>
          <w:rFonts w:ascii="Times New Roman" w:cs="Times New Roman" w:eastAsia="Times New Roman" w:hAnsi="Times New Roman"/>
          <w:sz w:val="24"/>
          <w:szCs w:val="24"/>
          <w:highlight w:val="white"/>
          <w:rtl w:val="0"/>
        </w:rPr>
        <w:t xml:space="preserve"> avança a discussão propondo a leitura dessa transformação como um momento histórico simétrico à industrialização. Em sua leitura de Thompson </w:t>
      </w:r>
      <w:hyperlink r:id="rId66">
        <w:r w:rsidDel="00000000" w:rsidR="00000000" w:rsidRPr="00000000">
          <w:rPr>
            <w:rFonts w:ascii="Times New Roman" w:cs="Times New Roman" w:eastAsia="Times New Roman" w:hAnsi="Times New Roman"/>
            <w:sz w:val="24"/>
            <w:szCs w:val="24"/>
            <w:highlight w:val="white"/>
            <w:rtl w:val="0"/>
          </w:rPr>
          <w:t xml:space="preserve">(1961. </w:t>
        </w:r>
      </w:hyperlink>
      <w:hyperlink r:id="rId67">
        <w:r w:rsidDel="00000000" w:rsidR="00000000" w:rsidRPr="00000000">
          <w:rPr>
            <w:rFonts w:ascii="Times New Roman" w:cs="Times New Roman" w:eastAsia="Times New Roman" w:hAnsi="Times New Roman"/>
            <w:i w:val="1"/>
            <w:iCs w:val="1"/>
            <w:sz w:val="24"/>
            <w:szCs w:val="24"/>
            <w:highlight w:val="white"/>
            <w:rtl w:val="0"/>
          </w:rPr>
          <w:t xml:space="preserve">apud</w:t>
        </w:r>
      </w:hyperlink>
      <w:hyperlink r:id="rId68">
        <w:r w:rsidDel="00000000" w:rsidR="00000000" w:rsidRPr="00000000">
          <w:rPr>
            <w:rFonts w:ascii="Times New Roman" w:cs="Times New Roman" w:eastAsia="Times New Roman" w:hAnsi="Times New Roman"/>
            <w:sz w:val="24"/>
            <w:szCs w:val="24"/>
            <w:highlight w:val="white"/>
            <w:rtl w:val="0"/>
          </w:rPr>
          <w:t xml:space="preserve"> Strangleman, 2017)</w:t>
        </w:r>
      </w:hyperlink>
      <w:r w:rsidDel="00000000" w:rsidR="00000000" w:rsidRPr="00000000">
        <w:rPr>
          <w:rFonts w:ascii="Times New Roman" w:cs="Times New Roman" w:eastAsia="Times New Roman" w:hAnsi="Times New Roman"/>
          <w:sz w:val="24"/>
          <w:szCs w:val="24"/>
          <w:highlight w:val="white"/>
          <w:rtl w:val="0"/>
        </w:rPr>
        <w:t xml:space="preserve"> ele enfatizará este momento como uma transição que carrega consigo as marcas do período anterior, um fechamento da era industrial </w:t>
      </w:r>
      <w:hyperlink r:id="rId69">
        <w:r w:rsidDel="00000000" w:rsidR="00000000" w:rsidRPr="00000000">
          <w:rPr>
            <w:rFonts w:ascii="Times New Roman" w:cs="Times New Roman" w:eastAsia="Times New Roman" w:hAnsi="Times New Roman"/>
            <w:sz w:val="24"/>
            <w:szCs w:val="24"/>
            <w:highlight w:val="white"/>
            <w:rtl w:val="0"/>
          </w:rPr>
          <w:t xml:space="preserve">(Strangleman, 2017, p. 467)</w:t>
        </w:r>
      </w:hyperlink>
      <w:r w:rsidDel="00000000" w:rsidR="00000000" w:rsidRPr="00000000">
        <w:rPr>
          <w:rFonts w:ascii="Times New Roman" w:cs="Times New Roman" w:eastAsia="Times New Roman" w:hAnsi="Times New Roman"/>
          <w:sz w:val="24"/>
          <w:szCs w:val="24"/>
          <w:highlight w:val="white"/>
          <w:rtl w:val="0"/>
        </w:rPr>
        <w:t xml:space="preserve">. De forma similar, Hoekstra </w:t>
      </w:r>
      <w:hyperlink r:id="rId70">
        <w:r w:rsidDel="00000000" w:rsidR="00000000" w:rsidRPr="00000000">
          <w:rPr>
            <w:rFonts w:ascii="Times New Roman" w:cs="Times New Roman" w:eastAsia="Times New Roman" w:hAnsi="Times New Roman"/>
            <w:sz w:val="24"/>
            <w:szCs w:val="24"/>
            <w:highlight w:val="white"/>
            <w:rtl w:val="0"/>
          </w:rPr>
          <w:t xml:space="preserve">(2020, p. 694)</w:t>
        </w:r>
      </w:hyperlink>
      <w:r w:rsidDel="00000000" w:rsidR="00000000" w:rsidRPr="00000000">
        <w:rPr>
          <w:rFonts w:ascii="Times New Roman" w:cs="Times New Roman" w:eastAsia="Times New Roman" w:hAnsi="Times New Roman"/>
          <w:sz w:val="24"/>
          <w:szCs w:val="24"/>
          <w:highlight w:val="white"/>
          <w:rtl w:val="0"/>
        </w:rPr>
        <w:t xml:space="preserve"> encapsula as discussões sobre transformações relativas às comunidades como constituindo a perda de uma forma de vida. </w:t>
      </w:r>
      <w:r w:rsidDel="00000000" w:rsidR="00000000" w:rsidRPr="00000000">
        <w:rPr>
          <w:rFonts w:ascii="Times New Roman" w:cs="Times New Roman" w:eastAsia="Times New Roman" w:hAnsi="Times New Roman"/>
          <w:sz w:val="24"/>
          <w:szCs w:val="24"/>
          <w:highlight w:val="white"/>
          <w:rtl w:val="0"/>
        </w:rPr>
        <w:t xml:space="preserve">Scheiring</w:t>
      </w:r>
      <w:r w:rsidDel="00000000" w:rsidR="00000000" w:rsidRPr="00000000">
        <w:rPr>
          <w:rFonts w:ascii="Times New Roman" w:cs="Times New Roman" w:eastAsia="Times New Roman" w:hAnsi="Times New Roman"/>
          <w:sz w:val="24"/>
          <w:szCs w:val="24"/>
          <w:highlight w:val="white"/>
          <w:rtl w:val="0"/>
        </w:rPr>
        <w:t xml:space="preserve"> e King </w:t>
      </w:r>
      <w:hyperlink r:id="rId71">
        <w:r w:rsidDel="00000000" w:rsidR="00000000" w:rsidRPr="00000000">
          <w:rPr>
            <w:rFonts w:ascii="Times New Roman" w:cs="Times New Roman" w:eastAsia="Times New Roman" w:hAnsi="Times New Roman"/>
            <w:sz w:val="24"/>
            <w:szCs w:val="24"/>
            <w:highlight w:val="white"/>
            <w:rtl w:val="0"/>
          </w:rPr>
          <w:t xml:space="preserve">(Scheiring e King, 2023, p. 144)</w:t>
        </w:r>
      </w:hyperlink>
      <w:r w:rsidDel="00000000" w:rsidR="00000000" w:rsidRPr="00000000">
        <w:rPr>
          <w:rFonts w:ascii="Times New Roman" w:cs="Times New Roman" w:eastAsia="Times New Roman" w:hAnsi="Times New Roman"/>
          <w:sz w:val="24"/>
          <w:szCs w:val="24"/>
          <w:highlight w:val="white"/>
          <w:rtl w:val="0"/>
        </w:rPr>
        <w:t xml:space="preserve">vão propor ver a indústria como uma instituição social cuja sua dissolução provoca uma desintegração com amplas implicações para o tecido social.</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Memória e nostalgia são também mobilizados </w:t>
      </w:r>
      <w:hyperlink r:id="rId72">
        <w:r w:rsidDel="00000000" w:rsidR="00000000" w:rsidRPr="00000000">
          <w:rPr>
            <w:rFonts w:ascii="Times New Roman" w:cs="Times New Roman" w:eastAsia="Times New Roman" w:hAnsi="Times New Roman"/>
            <w:sz w:val="24"/>
            <w:szCs w:val="24"/>
            <w:rtl w:val="0"/>
          </w:rPr>
          <w:t xml:space="preserve">(Clark e Gibbs, 2020; Clarke, 2015; Lewis, 2016; Nettleingham, 2019)</w:t>
        </w:r>
      </w:hyperlink>
      <w:r w:rsidDel="00000000" w:rsidR="00000000" w:rsidRPr="00000000">
        <w:rPr>
          <w:rFonts w:ascii="Times New Roman" w:cs="Times New Roman" w:eastAsia="Times New Roman" w:hAnsi="Times New Roman"/>
          <w:sz w:val="24"/>
          <w:szCs w:val="24"/>
          <w:highlight w:val="white"/>
          <w:rtl w:val="0"/>
        </w:rPr>
        <w:t xml:space="preserve">. Porém, longe de estarem ligados meramente ao passado, esses conceitos ressaltam como os atores sociais mobilizam as narrativas do passado no presente enquanto recursos, possibilitando assim a transformação do futuro. Dizem respeito menos ao passado e mais aos “presentes alternativos” </w:t>
      </w:r>
      <w:hyperlink r:id="rId73">
        <w:r w:rsidDel="00000000" w:rsidR="00000000" w:rsidRPr="00000000">
          <w:rPr>
            <w:rFonts w:ascii="Times New Roman" w:cs="Times New Roman" w:eastAsia="Times New Roman" w:hAnsi="Times New Roman"/>
            <w:sz w:val="24"/>
            <w:szCs w:val="24"/>
            <w:rtl w:val="0"/>
          </w:rPr>
          <w:t xml:space="preserve">(Clarke, 2015, p. 119–123)</w:t>
        </w:r>
      </w:hyperlink>
      <w:r w:rsidDel="00000000" w:rsidR="00000000" w:rsidRPr="00000000">
        <w:rPr>
          <w:rFonts w:ascii="Times New Roman" w:cs="Times New Roman" w:eastAsia="Times New Roman" w:hAnsi="Times New Roman"/>
          <w:sz w:val="24"/>
          <w:szCs w:val="24"/>
          <w:highlight w:val="white"/>
          <w:rtl w:val="0"/>
        </w:rPr>
        <w:t xml:space="preserve"> possíveis de existir e aos futuros possíveis de serem imaginados.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Já sobre a dimensão política, de conflito e coordenação, </w:t>
      </w:r>
      <w:r w:rsidDel="00000000" w:rsidR="00000000" w:rsidRPr="00000000">
        <w:rPr>
          <w:rFonts w:ascii="Times New Roman" w:cs="Times New Roman" w:eastAsia="Times New Roman" w:hAnsi="Times New Roman"/>
          <w:sz w:val="24"/>
          <w:szCs w:val="24"/>
          <w:highlight w:val="white"/>
          <w:rtl w:val="0"/>
        </w:rPr>
        <w:t xml:space="preserve">Phillips </w:t>
      </w:r>
      <w:hyperlink r:id="rId74">
        <w:r w:rsidDel="00000000" w:rsidR="00000000" w:rsidRPr="00000000">
          <w:rPr>
            <w:rFonts w:ascii="Times New Roman" w:cs="Times New Roman" w:eastAsia="Times New Roman" w:hAnsi="Times New Roman"/>
            <w:sz w:val="24"/>
            <w:szCs w:val="24"/>
            <w:rtl w:val="0"/>
          </w:rPr>
          <w:t xml:space="preserve">(2015, p. 551)</w:t>
        </w:r>
      </w:hyperlink>
      <w:r w:rsidDel="00000000" w:rsidR="00000000" w:rsidRPr="00000000">
        <w:rPr>
          <w:rFonts w:ascii="Times New Roman" w:cs="Times New Roman" w:eastAsia="Times New Roman" w:hAnsi="Times New Roman"/>
          <w:sz w:val="24"/>
          <w:szCs w:val="24"/>
          <w:highlight w:val="white"/>
          <w:rtl w:val="0"/>
        </w:rPr>
        <w:t xml:space="preserve"> destaca o caráter desejado e politizado da desindustrialização. Mostra, pela história do fechamento de uma mina de carvão, como as decisões – e propensões – dos atores políticos e das organizações econômicas são baseadas em suas relações sociais e tensões e que o processo sempre pode ser gerido de formas distintas </w:t>
      </w:r>
      <w:hyperlink r:id="rId75">
        <w:r w:rsidDel="00000000" w:rsidR="00000000" w:rsidRPr="00000000">
          <w:rPr>
            <w:rFonts w:ascii="Times New Roman" w:cs="Times New Roman" w:eastAsia="Times New Roman" w:hAnsi="Times New Roman"/>
            <w:sz w:val="24"/>
            <w:szCs w:val="24"/>
            <w:rtl w:val="0"/>
          </w:rPr>
          <w:t xml:space="preserve">(Phillips, 2015, p. 571–572)</w:t>
        </w:r>
      </w:hyperlink>
      <w:r w:rsidDel="00000000" w:rsidR="00000000" w:rsidRPr="00000000">
        <w:rPr>
          <w:rFonts w:ascii="Times New Roman" w:cs="Times New Roman" w:eastAsia="Times New Roman" w:hAnsi="Times New Roman"/>
          <w:sz w:val="24"/>
          <w:szCs w:val="24"/>
          <w:highlight w:val="white"/>
          <w:rtl w:val="0"/>
        </w:rPr>
        <w:t xml:space="preserve">. Já Clarke </w:t>
      </w:r>
      <w:hyperlink r:id="rId76">
        <w:r w:rsidDel="00000000" w:rsidR="00000000" w:rsidRPr="00000000">
          <w:rPr>
            <w:rFonts w:ascii="Times New Roman" w:cs="Times New Roman" w:eastAsia="Times New Roman" w:hAnsi="Times New Roman"/>
            <w:sz w:val="24"/>
            <w:szCs w:val="24"/>
            <w:rtl w:val="0"/>
          </w:rPr>
          <w:t xml:space="preserve">(Clarke, 2015, p. 108)</w:t>
        </w:r>
      </w:hyperlink>
      <w:r w:rsidDel="00000000" w:rsidR="00000000" w:rsidRPr="00000000">
        <w:rPr>
          <w:rFonts w:ascii="Times New Roman" w:cs="Times New Roman" w:eastAsia="Times New Roman" w:hAnsi="Times New Roman"/>
          <w:sz w:val="24"/>
          <w:szCs w:val="24"/>
          <w:highlight w:val="white"/>
          <w:rtl w:val="0"/>
        </w:rPr>
        <w:t xml:space="preserve"> mostra como a desindustrialização está imbricada numa narrativa de “modernização” pela qual o fenômeno é considerado inevitável, funcionando como estratégia por parte de representações oficias do poder público de forma a despolitizar as discussões sobre projetos relativos aos antigos territórios industriais. </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sua vez, Clark e Gibbs </w:t>
      </w:r>
      <w:hyperlink r:id="rId77">
        <w:r w:rsidDel="00000000" w:rsidR="00000000" w:rsidRPr="00000000">
          <w:rPr>
            <w:rFonts w:ascii="Times New Roman" w:cs="Times New Roman" w:eastAsia="Times New Roman" w:hAnsi="Times New Roman"/>
            <w:sz w:val="24"/>
            <w:szCs w:val="24"/>
            <w:rtl w:val="0"/>
          </w:rPr>
          <w:t xml:space="preserve">(2020, p. 45)</w:t>
        </w:r>
      </w:hyperlink>
      <w:r w:rsidDel="00000000" w:rsidR="00000000" w:rsidRPr="00000000">
        <w:rPr>
          <w:rFonts w:ascii="Times New Roman" w:cs="Times New Roman" w:eastAsia="Times New Roman" w:hAnsi="Times New Roman"/>
          <w:sz w:val="24"/>
          <w:szCs w:val="24"/>
          <w:highlight w:val="white"/>
          <w:rtl w:val="0"/>
        </w:rPr>
        <w:t xml:space="preserve"> apontam os desequilíbrios de poder e distintas experiências de atores da sociedade civil, econômicos e políticos em regiões passando por entradas ou saídas de investimentos. Já numa dimensão mais ampla, Tomlinson </w:t>
      </w:r>
      <w:hyperlink r:id="rId78">
        <w:r w:rsidDel="00000000" w:rsidR="00000000" w:rsidRPr="00000000">
          <w:rPr>
            <w:rFonts w:ascii="Times New Roman" w:cs="Times New Roman" w:eastAsia="Times New Roman" w:hAnsi="Times New Roman"/>
            <w:sz w:val="24"/>
            <w:szCs w:val="24"/>
            <w:rtl w:val="0"/>
          </w:rPr>
          <w:t xml:space="preserve">(2016)</w:t>
        </w:r>
      </w:hyperlink>
      <w:r w:rsidDel="00000000" w:rsidR="00000000" w:rsidRPr="00000000">
        <w:rPr>
          <w:rFonts w:ascii="Times New Roman" w:cs="Times New Roman" w:eastAsia="Times New Roman" w:hAnsi="Times New Roman"/>
          <w:sz w:val="24"/>
          <w:szCs w:val="24"/>
          <w:highlight w:val="white"/>
          <w:rtl w:val="0"/>
        </w:rPr>
        <w:t xml:space="preserve"> aborda a desindustrialização como uma metanarrativa explicativa das transformações da Grã-Bretanha no século XX e destaca suas consequências para a economia política e bem-estar econômico </w:t>
      </w:r>
      <w:hyperlink r:id="rId79">
        <w:r w:rsidDel="00000000" w:rsidR="00000000" w:rsidRPr="00000000">
          <w:rPr>
            <w:rFonts w:ascii="Times New Roman" w:cs="Times New Roman" w:eastAsia="Times New Roman" w:hAnsi="Times New Roman"/>
            <w:sz w:val="24"/>
            <w:szCs w:val="24"/>
            <w:rtl w:val="0"/>
          </w:rPr>
          <w:t xml:space="preserve">(Tomlinson, 2016, p. 86)</w:t>
        </w:r>
      </w:hyperlink>
      <w:r w:rsidDel="00000000" w:rsidR="00000000" w:rsidRPr="00000000">
        <w:rPr>
          <w:rFonts w:ascii="Times New Roman" w:cs="Times New Roman" w:eastAsia="Times New Roman" w:hAnsi="Times New Roman"/>
          <w:sz w:val="24"/>
          <w:szCs w:val="24"/>
          <w:highlight w:val="white"/>
          <w:rtl w:val="0"/>
        </w:rPr>
        <w:t xml:space="preserve">. Como um todo, há assim uma noção de desindustrialização como uma disputa pertencente à economia política na qual claramente alguns atores – do mercado e Estado – possuem posição privilegiada em relação aos trabalhadores e suas comunidades.</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Por fim</w:t>
      </w:r>
      <w:r w:rsidDel="00000000" w:rsidR="00000000" w:rsidRPr="00000000">
        <w:rPr>
          <w:rFonts w:ascii="Times New Roman" w:cs="Times New Roman" w:eastAsia="Times New Roman" w:hAnsi="Times New Roman"/>
          <w:sz w:val="24"/>
          <w:szCs w:val="24"/>
          <w:rtl w:val="0"/>
        </w:rPr>
        <w:t xml:space="preserve">, a gestão da desindustrialização no tempo presente é tratada mais centralmente em dois conceitos político-culturais. Rhodes </w:t>
      </w:r>
      <w:hyperlink r:id="rId80">
        <w:r w:rsidDel="00000000" w:rsidR="00000000" w:rsidRPr="00000000">
          <w:rPr>
            <w:rFonts w:ascii="Times New Roman" w:cs="Times New Roman" w:eastAsia="Times New Roman" w:hAnsi="Times New Roman"/>
            <w:sz w:val="24"/>
            <w:szCs w:val="24"/>
            <w:rtl w:val="0"/>
          </w:rPr>
          <w:t xml:space="preserve">(2013, p. 64)</w:t>
        </w:r>
      </w:hyperlink>
      <w:r w:rsidDel="00000000" w:rsidR="00000000" w:rsidRPr="00000000">
        <w:rPr>
          <w:rFonts w:ascii="Times New Roman" w:cs="Times New Roman" w:eastAsia="Times New Roman" w:hAnsi="Times New Roman"/>
          <w:sz w:val="24"/>
          <w:szCs w:val="24"/>
          <w:rtl w:val="0"/>
        </w:rPr>
        <w:t xml:space="preserve"> e Byrne </w:t>
      </w:r>
      <w:hyperlink r:id="rId81">
        <w:r w:rsidDel="00000000" w:rsidR="00000000" w:rsidRPr="00000000">
          <w:rPr>
            <w:rFonts w:ascii="Times New Roman" w:cs="Times New Roman" w:eastAsia="Times New Roman" w:hAnsi="Times New Roman"/>
            <w:sz w:val="24"/>
            <w:szCs w:val="24"/>
            <w:rtl w:val="0"/>
          </w:rPr>
          <w:t xml:space="preserve">(2002)</w:t>
        </w:r>
      </w:hyperlink>
      <w:r w:rsidDel="00000000" w:rsidR="00000000" w:rsidRPr="00000000">
        <w:rPr>
          <w:rFonts w:ascii="Times New Roman" w:cs="Times New Roman" w:eastAsia="Times New Roman" w:hAnsi="Times New Roman"/>
          <w:sz w:val="24"/>
          <w:szCs w:val="24"/>
          <w:rtl w:val="0"/>
        </w:rPr>
        <w:t xml:space="preserve"> mobilizam a ideia de estrutura de sentimentos, de Raymond Williams, como forma de descrição da maneira como o processo histórico é percebido no dia a dia por parte daqueles envolvidos. Já a expressão “economia moral”, em Gibbs </w:t>
      </w:r>
      <w:hyperlink r:id="rId82">
        <w:r w:rsidDel="00000000" w:rsidR="00000000" w:rsidRPr="00000000">
          <w:rPr>
            <w:rFonts w:ascii="Times New Roman" w:cs="Times New Roman" w:eastAsia="Times New Roman" w:hAnsi="Times New Roman"/>
            <w:sz w:val="24"/>
            <w:szCs w:val="24"/>
            <w:rtl w:val="0"/>
          </w:rPr>
          <w:t xml:space="preserve">(2018)</w:t>
        </w:r>
      </w:hyperlink>
      <w:r w:rsidDel="00000000" w:rsidR="00000000" w:rsidRPr="00000000">
        <w:rPr>
          <w:rFonts w:ascii="Times New Roman" w:cs="Times New Roman" w:eastAsia="Times New Roman" w:hAnsi="Times New Roman"/>
          <w:sz w:val="24"/>
          <w:szCs w:val="24"/>
          <w:rtl w:val="0"/>
        </w:rPr>
        <w:t xml:space="preserve"> e Tomlinson </w:t>
      </w:r>
      <w:hyperlink r:id="rId83">
        <w:r w:rsidDel="00000000" w:rsidR="00000000" w:rsidRPr="00000000">
          <w:rPr>
            <w:rFonts w:ascii="Times New Roman" w:cs="Times New Roman" w:eastAsia="Times New Roman" w:hAnsi="Times New Roman"/>
            <w:sz w:val="24"/>
            <w:szCs w:val="24"/>
            <w:rtl w:val="0"/>
          </w:rPr>
          <w:t xml:space="preserve">(2011)</w:t>
        </w:r>
      </w:hyperlink>
      <w:r w:rsidDel="00000000" w:rsidR="00000000" w:rsidRPr="00000000">
        <w:rPr>
          <w:rFonts w:ascii="Times New Roman" w:cs="Times New Roman" w:eastAsia="Times New Roman" w:hAnsi="Times New Roman"/>
          <w:sz w:val="24"/>
          <w:szCs w:val="24"/>
          <w:rtl w:val="0"/>
        </w:rPr>
        <w:t xml:space="preserve">, em grande parte referenciando Thompson </w:t>
      </w:r>
      <w:hyperlink r:id="rId84">
        <w:r w:rsidDel="00000000" w:rsidR="00000000" w:rsidRPr="00000000">
          <w:rPr>
            <w:rFonts w:ascii="Times New Roman" w:cs="Times New Roman" w:eastAsia="Times New Roman" w:hAnsi="Times New Roman"/>
            <w:sz w:val="24"/>
            <w:szCs w:val="24"/>
            <w:rtl w:val="0"/>
          </w:rPr>
          <w:t xml:space="preserve">(1966)</w:t>
        </w:r>
      </w:hyperlink>
      <w:r w:rsidDel="00000000" w:rsidR="00000000" w:rsidRPr="00000000">
        <w:rPr>
          <w:rFonts w:ascii="Times New Roman" w:cs="Times New Roman" w:eastAsia="Times New Roman" w:hAnsi="Times New Roman"/>
          <w:sz w:val="24"/>
          <w:szCs w:val="24"/>
          <w:rtl w:val="0"/>
        </w:rPr>
        <w:t xml:space="preserve">, diz respeito a aspectos normativos, difusos nas comunidades, sobre como a gestão da transformação econômica deveria se dar, especialmente do ponto de vista da ação estatal e da mitigação, ou não, dos impactos sobre trabalhadores e comunidades.</w:t>
      </w:r>
    </w:p>
    <w:p w:rsidR="00000000" w:rsidDel="00000000" w:rsidP="00000000" w:rsidRDefault="00000000" w:rsidRPr="00000000" w14:paraId="00000055">
      <w:pPr>
        <w:spacing w:before="400" w:lineRule="auto"/>
        <w:rPr/>
      </w:pPr>
      <w:r w:rsidDel="00000000" w:rsidR="00000000" w:rsidRPr="00000000">
        <w:rPr>
          <w:rtl w:val="0"/>
        </w:rPr>
        <w:t xml:space="preserve">3. Lugares, periodização e personagens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maior parte das análises concentra-se em países com alto grau de renda </w:t>
      </w:r>
      <w:r w:rsidDel="00000000" w:rsidR="00000000" w:rsidRPr="00000000">
        <w:rPr>
          <w:rFonts w:ascii="Times New Roman" w:cs="Times New Roman" w:eastAsia="Times New Roman" w:hAnsi="Times New Roman"/>
          <w:i w:val="1"/>
          <w:iCs w:val="1"/>
          <w:sz w:val="24"/>
          <w:szCs w:val="24"/>
          <w:highlight w:val="white"/>
          <w:rtl w:val="0"/>
        </w:rPr>
        <w:t xml:space="preserve">per capita</w:t>
      </w:r>
      <w:r w:rsidDel="00000000" w:rsidR="00000000" w:rsidRPr="00000000">
        <w:rPr>
          <w:rFonts w:ascii="Times New Roman" w:cs="Times New Roman" w:eastAsia="Times New Roman" w:hAnsi="Times New Roman"/>
          <w:sz w:val="24"/>
          <w:szCs w:val="24"/>
          <w:highlight w:val="white"/>
          <w:rtl w:val="0"/>
        </w:rPr>
        <w:t xml:space="preserve"> e industrialização antiga, em especial na Europa e América do Norte. As mais frequentes remetem à Grã-Bretanha, aparente reflexo de sua importância histórica no processo de industrialização. Tomlinson </w:t>
      </w:r>
      <w:hyperlink r:id="rId85">
        <w:r w:rsidDel="00000000" w:rsidR="00000000" w:rsidRPr="00000000">
          <w:rPr>
            <w:rFonts w:ascii="Times New Roman" w:cs="Times New Roman" w:eastAsia="Times New Roman" w:hAnsi="Times New Roman"/>
            <w:sz w:val="24"/>
            <w:szCs w:val="24"/>
            <w:rtl w:val="0"/>
          </w:rPr>
          <w:t xml:space="preserve">(2016)</w:t>
        </w:r>
      </w:hyperlink>
      <w:r w:rsidDel="00000000" w:rsidR="00000000" w:rsidRPr="00000000">
        <w:rPr>
          <w:rFonts w:ascii="Times New Roman" w:cs="Times New Roman" w:eastAsia="Times New Roman" w:hAnsi="Times New Roman"/>
          <w:sz w:val="24"/>
          <w:szCs w:val="24"/>
          <w:highlight w:val="white"/>
          <w:rtl w:val="0"/>
        </w:rPr>
        <w:t xml:space="preserve"> toma como recorte a Grã-Bretanha como um todo a partir de 1945, Nettleingham </w:t>
      </w:r>
      <w:hyperlink r:id="rId86">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highlight w:val="white"/>
          <w:rtl w:val="0"/>
        </w:rPr>
        <w:t xml:space="preserve"> dá ênfase à cidade inglesa de Faversham, enfatizando os precedentes históricos dos fechamentos em massa dos anos 80 e Beatty e Fothergill </w:t>
      </w:r>
      <w:hyperlink r:id="rId87">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highlight w:val="white"/>
          <w:rtl w:val="0"/>
        </w:rPr>
        <w:t xml:space="preserve"> expandem o escopo para um conjunto de antigas cidades industriais inglesas. Já Lewis </w:t>
      </w:r>
      <w:hyperlink r:id="rId88">
        <w:r w:rsidDel="00000000" w:rsidR="00000000" w:rsidRPr="00000000">
          <w:rPr>
            <w:rFonts w:ascii="Times New Roman" w:cs="Times New Roman" w:eastAsia="Times New Roman" w:hAnsi="Times New Roman"/>
            <w:sz w:val="24"/>
            <w:szCs w:val="24"/>
            <w:rtl w:val="0"/>
          </w:rPr>
          <w:t xml:space="preserve">(2016)</w:t>
        </w:r>
      </w:hyperlink>
      <w:r w:rsidDel="00000000" w:rsidR="00000000" w:rsidRPr="00000000">
        <w:rPr>
          <w:rFonts w:ascii="Times New Roman" w:cs="Times New Roman" w:eastAsia="Times New Roman" w:hAnsi="Times New Roman"/>
          <w:sz w:val="24"/>
          <w:szCs w:val="24"/>
          <w:highlight w:val="white"/>
          <w:rtl w:val="0"/>
        </w:rPr>
        <w:t xml:space="preserve"> trata em específico da região leste de Manchester. Aparecem ainda discussões sobre a Irlanda do Norte </w:t>
      </w:r>
      <w:hyperlink r:id="rId89">
        <w:r w:rsidDel="00000000" w:rsidR="00000000" w:rsidRPr="00000000">
          <w:rPr>
            <w:rFonts w:ascii="Times New Roman" w:cs="Times New Roman" w:eastAsia="Times New Roman" w:hAnsi="Times New Roman"/>
            <w:sz w:val="24"/>
            <w:szCs w:val="24"/>
            <w:rtl w:val="0"/>
          </w:rPr>
          <w:t xml:space="preserve">(Hodson, 2019)</w:t>
        </w:r>
      </w:hyperlink>
      <w:r w:rsidDel="00000000" w:rsidR="00000000" w:rsidRPr="00000000">
        <w:rPr>
          <w:rFonts w:ascii="Times New Roman" w:cs="Times New Roman" w:eastAsia="Times New Roman" w:hAnsi="Times New Roman"/>
          <w:sz w:val="24"/>
          <w:szCs w:val="24"/>
          <w:highlight w:val="white"/>
          <w:rtl w:val="0"/>
        </w:rPr>
        <w:t xml:space="preserve"> e Escócia </w:t>
      </w:r>
      <w:hyperlink r:id="rId90">
        <w:r w:rsidDel="00000000" w:rsidR="00000000" w:rsidRPr="00000000">
          <w:rPr>
            <w:rFonts w:ascii="Times New Roman" w:cs="Times New Roman" w:eastAsia="Times New Roman" w:hAnsi="Times New Roman"/>
            <w:sz w:val="24"/>
            <w:szCs w:val="24"/>
            <w:rtl w:val="0"/>
          </w:rPr>
          <w:t xml:space="preserve">(Perchard, 2013; Phillips, 2013, 2015; Phillips, Wright e Tomlinson, 2019)</w:t>
        </w:r>
      </w:hyperlink>
      <w:r w:rsidDel="00000000" w:rsidR="00000000" w:rsidRPr="00000000">
        <w:rPr>
          <w:rFonts w:ascii="Times New Roman" w:cs="Times New Roman" w:eastAsia="Times New Roman" w:hAnsi="Times New Roman"/>
          <w:sz w:val="24"/>
          <w:szCs w:val="24"/>
          <w:highlight w:val="white"/>
          <w:rtl w:val="0"/>
        </w:rPr>
        <w:t xml:space="preserve">. Há, ainda, debates centrados na Europa continental, como na região do Ruhr, na Alemanha </w:t>
      </w:r>
      <w:hyperlink r:id="rId91">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highlight w:val="white"/>
          <w:rtl w:val="0"/>
        </w:rPr>
        <w:t xml:space="preserve">, França </w:t>
      </w:r>
      <w:hyperlink r:id="rId92">
        <w:r w:rsidDel="00000000" w:rsidR="00000000" w:rsidRPr="00000000">
          <w:rPr>
            <w:rFonts w:ascii="Times New Roman" w:cs="Times New Roman" w:eastAsia="Times New Roman" w:hAnsi="Times New Roman"/>
            <w:sz w:val="24"/>
            <w:szCs w:val="24"/>
            <w:rtl w:val="0"/>
          </w:rPr>
          <w:t xml:space="preserve">(Clarke, 2015)</w:t>
        </w:r>
      </w:hyperlink>
      <w:r w:rsidDel="00000000" w:rsidR="00000000" w:rsidRPr="00000000">
        <w:rPr>
          <w:rFonts w:ascii="Times New Roman" w:cs="Times New Roman" w:eastAsia="Times New Roman" w:hAnsi="Times New Roman"/>
          <w:sz w:val="24"/>
          <w:szCs w:val="24"/>
          <w:highlight w:val="white"/>
          <w:rtl w:val="0"/>
        </w:rPr>
        <w:t xml:space="preserve"> e Hungria pós transição para uma economia de mercado </w:t>
      </w:r>
      <w:hyperlink r:id="rId93">
        <w:r w:rsidDel="00000000" w:rsidR="00000000" w:rsidRPr="00000000">
          <w:rPr>
            <w:rFonts w:ascii="Times New Roman" w:cs="Times New Roman" w:eastAsia="Times New Roman" w:hAnsi="Times New Roman"/>
            <w:sz w:val="24"/>
            <w:szCs w:val="24"/>
            <w:rtl w:val="0"/>
          </w:rPr>
          <w:t xml:space="preserve">(Scheiring, 2020; Scheiring e King, 2023)</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Também central é o caso dos EUA, tratado na escala nacional </w:t>
      </w:r>
      <w:hyperlink r:id="rId94">
        <w:r w:rsidDel="00000000" w:rsidR="00000000" w:rsidRPr="00000000">
          <w:rPr>
            <w:rFonts w:ascii="Times New Roman" w:cs="Times New Roman" w:eastAsia="Times New Roman" w:hAnsi="Times New Roman"/>
            <w:sz w:val="24"/>
            <w:szCs w:val="24"/>
            <w:rtl w:val="0"/>
          </w:rPr>
          <w:t xml:space="preserve">(Berger e Engzell, 2022; Kollmeyer, 2018)</w:t>
        </w:r>
      </w:hyperlink>
      <w:r w:rsidDel="00000000" w:rsidR="00000000" w:rsidRPr="00000000">
        <w:rPr>
          <w:rFonts w:ascii="Times New Roman" w:cs="Times New Roman" w:eastAsia="Times New Roman" w:hAnsi="Times New Roman"/>
          <w:sz w:val="24"/>
          <w:szCs w:val="24"/>
          <w:highlight w:val="white"/>
          <w:rtl w:val="0"/>
        </w:rPr>
        <w:t xml:space="preserve">, regional, especialmente quanto ao que se convencionou chamar de “</w:t>
      </w:r>
      <w:r w:rsidDel="00000000" w:rsidR="00000000" w:rsidRPr="00000000">
        <w:rPr>
          <w:rFonts w:ascii="Times New Roman" w:cs="Times New Roman" w:eastAsia="Times New Roman" w:hAnsi="Times New Roman"/>
          <w:i w:val="1"/>
          <w:iCs w:val="1"/>
          <w:sz w:val="24"/>
          <w:szCs w:val="24"/>
          <w:highlight w:val="white"/>
          <w:rtl w:val="0"/>
        </w:rPr>
        <w:t xml:space="preserve">rust belt”</w:t>
      </w:r>
      <w:r w:rsidDel="00000000" w:rsidR="00000000" w:rsidRPr="00000000">
        <w:rPr>
          <w:rFonts w:ascii="Times New Roman" w:cs="Times New Roman" w:eastAsia="Times New Roman" w:hAnsi="Times New Roman"/>
          <w:sz w:val="24"/>
          <w:szCs w:val="24"/>
          <w:highlight w:val="white"/>
          <w:rtl w:val="0"/>
        </w:rPr>
        <w:t xml:space="preserve"> americano </w:t>
      </w:r>
      <w:hyperlink r:id="rId95">
        <w:r w:rsidDel="00000000" w:rsidR="00000000" w:rsidRPr="00000000">
          <w:rPr>
            <w:rFonts w:ascii="Times New Roman" w:cs="Times New Roman" w:eastAsia="Times New Roman" w:hAnsi="Times New Roman"/>
            <w:sz w:val="24"/>
            <w:szCs w:val="24"/>
            <w:rtl w:val="0"/>
          </w:rPr>
          <w:t xml:space="preserve">(Bluestone e Harrison, 1982; High, 2003)</w:t>
        </w:r>
      </w:hyperlink>
      <w:r w:rsidDel="00000000" w:rsidR="00000000" w:rsidRPr="00000000">
        <w:rPr>
          <w:rFonts w:ascii="Times New Roman" w:cs="Times New Roman" w:eastAsia="Times New Roman" w:hAnsi="Times New Roman"/>
          <w:sz w:val="24"/>
          <w:szCs w:val="24"/>
          <w:highlight w:val="white"/>
          <w:rtl w:val="0"/>
        </w:rPr>
        <w:t xml:space="preserve"> e local, com particular atenção a cidades como Flint </w:t>
      </w:r>
      <w:hyperlink r:id="rId96">
        <w:r w:rsidDel="00000000" w:rsidR="00000000" w:rsidRPr="00000000">
          <w:rPr>
            <w:rFonts w:ascii="Times New Roman" w:cs="Times New Roman" w:eastAsia="Times New Roman" w:hAnsi="Times New Roman"/>
            <w:sz w:val="24"/>
            <w:szCs w:val="24"/>
            <w:rtl w:val="0"/>
          </w:rPr>
          <w:t xml:space="preserve">(Highsmith, 2014)</w:t>
        </w:r>
      </w:hyperlink>
      <w:r w:rsidDel="00000000" w:rsidR="00000000" w:rsidRPr="00000000">
        <w:rPr>
          <w:rFonts w:ascii="Times New Roman" w:cs="Times New Roman" w:eastAsia="Times New Roman" w:hAnsi="Times New Roman"/>
          <w:sz w:val="24"/>
          <w:szCs w:val="24"/>
          <w:highlight w:val="white"/>
          <w:rtl w:val="0"/>
        </w:rPr>
        <w:t xml:space="preserve"> e Pittsburgh </w:t>
      </w:r>
      <w:hyperlink r:id="rId97">
        <w:r w:rsidDel="00000000" w:rsidR="00000000" w:rsidRPr="00000000">
          <w:rPr>
            <w:rFonts w:ascii="Times New Roman" w:cs="Times New Roman" w:eastAsia="Times New Roman" w:hAnsi="Times New Roman"/>
            <w:sz w:val="24"/>
            <w:szCs w:val="24"/>
            <w:rtl w:val="0"/>
          </w:rPr>
          <w:t xml:space="preserve">(Winant, 2019)</w:t>
        </w:r>
      </w:hyperlink>
      <w:r w:rsidDel="00000000" w:rsidR="00000000" w:rsidRPr="00000000">
        <w:rPr>
          <w:rFonts w:ascii="Times New Roman" w:cs="Times New Roman" w:eastAsia="Times New Roman" w:hAnsi="Times New Roman"/>
          <w:sz w:val="24"/>
          <w:szCs w:val="24"/>
          <w:highlight w:val="white"/>
          <w:rtl w:val="0"/>
        </w:rPr>
        <w:t xml:space="preserve">. Ainda na América do Norte, Clark e Gibbs </w:t>
      </w:r>
      <w:hyperlink r:id="rId98">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highlight w:val="white"/>
          <w:rtl w:val="0"/>
        </w:rPr>
        <w:t xml:space="preserve"> enfocam a Nova Escócia, Canadá, ecoando a presença do país como um dos pioneiros nos estudos de desindustrialização </w:t>
      </w:r>
      <w:hyperlink r:id="rId99">
        <w:r w:rsidDel="00000000" w:rsidR="00000000" w:rsidRPr="00000000">
          <w:rPr>
            <w:rFonts w:ascii="Times New Roman" w:cs="Times New Roman" w:eastAsia="Times New Roman" w:hAnsi="Times New Roman"/>
            <w:sz w:val="24"/>
            <w:szCs w:val="24"/>
            <w:rtl w:val="0"/>
          </w:rPr>
          <w:t xml:space="preserve">(High, 2013, p. 994)</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Alguns trabalhos destacam-se pelo caráter comparativo internacional, como: Mah </w:t>
      </w:r>
      <w:hyperlink r:id="rId100">
        <w:r w:rsidDel="00000000" w:rsidR="00000000" w:rsidRPr="00000000">
          <w:rPr>
            <w:rFonts w:ascii="Times New Roman" w:cs="Times New Roman" w:eastAsia="Times New Roman" w:hAnsi="Times New Roman"/>
            <w:sz w:val="24"/>
            <w:szCs w:val="24"/>
            <w:rtl w:val="0"/>
          </w:rPr>
          <w:t xml:space="preserve">(2012)</w:t>
        </w:r>
      </w:hyperlink>
      <w:r w:rsidDel="00000000" w:rsidR="00000000" w:rsidRPr="00000000">
        <w:rPr>
          <w:rFonts w:ascii="Times New Roman" w:cs="Times New Roman" w:eastAsia="Times New Roman" w:hAnsi="Times New Roman"/>
          <w:sz w:val="24"/>
          <w:szCs w:val="24"/>
          <w:highlight w:val="white"/>
          <w:rtl w:val="0"/>
        </w:rPr>
        <w:t xml:space="preserve"> que traz comparações de cidades americana, inglesa e russa; Durazzi e Geyer </w:t>
      </w:r>
      <w:hyperlink r:id="rId101">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highlight w:val="white"/>
          <w:rtl w:val="0"/>
        </w:rPr>
        <w:t xml:space="preserve">, centrando a discussão nos contextos Austríaco e Alemão; e Lee </w:t>
      </w:r>
      <w:hyperlink r:id="rId102">
        <w:r w:rsidDel="00000000" w:rsidR="00000000" w:rsidRPr="00000000">
          <w:rPr>
            <w:rFonts w:ascii="Times New Roman" w:cs="Times New Roman" w:eastAsia="Times New Roman" w:hAnsi="Times New Roman"/>
            <w:sz w:val="24"/>
            <w:szCs w:val="24"/>
            <w:rtl w:val="0"/>
          </w:rPr>
          <w:t xml:space="preserve">(2016)</w:t>
        </w:r>
      </w:hyperlink>
      <w:r w:rsidDel="00000000" w:rsidR="00000000" w:rsidRPr="00000000">
        <w:rPr>
          <w:rFonts w:ascii="Times New Roman" w:cs="Times New Roman" w:eastAsia="Times New Roman" w:hAnsi="Times New Roman"/>
          <w:sz w:val="24"/>
          <w:szCs w:val="24"/>
          <w:highlight w:val="white"/>
          <w:rtl w:val="0"/>
        </w:rPr>
        <w:t xml:space="preserve">, que analisa comparativamente Japão, Coreia do Sul e Taiwan. Este último se mostra uma das poucas exceções a fugir do eixo Norte Atlântico.</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 ponto de vista da escala analítica, a maior parte dos artigos trabalha com a escala do Estado-Nação ou país. Também são frequentes artigos tomando como escala analítica determinada cidade em específico, às vezes expandindo sua análise para a região metropolitana, como em Highsmith </w:t>
      </w:r>
      <w:hyperlink r:id="rId103">
        <w:r w:rsidDel="00000000" w:rsidR="00000000" w:rsidRPr="00000000">
          <w:rPr>
            <w:rFonts w:ascii="Times New Roman" w:cs="Times New Roman" w:eastAsia="Times New Roman" w:hAnsi="Times New Roman"/>
            <w:sz w:val="24"/>
            <w:szCs w:val="24"/>
            <w:rtl w:val="0"/>
          </w:rPr>
          <w:t xml:space="preserve">(2014)</w:t>
        </w:r>
      </w:hyperlink>
      <w:r w:rsidDel="00000000" w:rsidR="00000000" w:rsidRPr="00000000">
        <w:rPr>
          <w:rFonts w:ascii="Times New Roman" w:cs="Times New Roman" w:eastAsia="Times New Roman" w:hAnsi="Times New Roman"/>
          <w:sz w:val="24"/>
          <w:szCs w:val="24"/>
          <w:highlight w:val="white"/>
          <w:rtl w:val="0"/>
        </w:rPr>
        <w:t xml:space="preserve">. Em alguns exemplos mais raros há ênfase regional, como em Berger; Wicke e Golombek </w:t>
      </w:r>
      <w:hyperlink r:id="rId104">
        <w:r w:rsidDel="00000000" w:rsidR="00000000" w:rsidRPr="00000000">
          <w:rPr>
            <w:rFonts w:ascii="Times New Roman" w:cs="Times New Roman" w:eastAsia="Times New Roman" w:hAnsi="Times New Roman"/>
            <w:sz w:val="24"/>
            <w:szCs w:val="24"/>
            <w:rtl w:val="0"/>
          </w:rPr>
          <w:t xml:space="preserve">(2017)</w:t>
        </w:r>
      </w:hyperlink>
      <w:r w:rsidDel="00000000" w:rsidR="00000000" w:rsidRPr="00000000">
        <w:rPr>
          <w:rFonts w:ascii="Times New Roman" w:cs="Times New Roman" w:eastAsia="Times New Roman" w:hAnsi="Times New Roman"/>
          <w:sz w:val="24"/>
          <w:szCs w:val="24"/>
          <w:highlight w:val="white"/>
          <w:rtl w:val="0"/>
        </w:rPr>
        <w:t xml:space="preserve"> sobre a região do Ruhr ou </w:t>
      </w:r>
      <w:r w:rsidDel="00000000" w:rsidR="00000000" w:rsidRPr="00000000">
        <w:rPr>
          <w:rFonts w:ascii="Times New Roman" w:cs="Times New Roman" w:eastAsia="Times New Roman" w:hAnsi="Times New Roman"/>
          <w:sz w:val="24"/>
          <w:szCs w:val="24"/>
          <w:highlight w:val="white"/>
          <w:rtl w:val="0"/>
        </w:rPr>
        <w:t xml:space="preserve">Scheiring</w:t>
      </w:r>
      <w:r w:rsidDel="00000000" w:rsidR="00000000" w:rsidRPr="00000000">
        <w:rPr>
          <w:rFonts w:ascii="Times New Roman" w:cs="Times New Roman" w:eastAsia="Times New Roman" w:hAnsi="Times New Roman"/>
          <w:sz w:val="24"/>
          <w:szCs w:val="24"/>
          <w:highlight w:val="white"/>
          <w:rtl w:val="0"/>
        </w:rPr>
        <w:t xml:space="preserve"> </w:t>
      </w:r>
      <w:hyperlink r:id="rId105">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highlight w:val="white"/>
          <w:rtl w:val="0"/>
        </w:rPr>
        <w:t xml:space="preserve">, o qual seleciona um conjunto de cidades húngaras tipicamente industriais antes da transição para economia de mercado. Alguns trabalhos deslocam a escala ainda mais para a unidade industrial, como Hodson </w:t>
      </w:r>
      <w:hyperlink r:id="rId106">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highlight w:val="white"/>
          <w:rtl w:val="0"/>
        </w:rPr>
        <w:t xml:space="preserve">, no qual há ênfase no encerramento de um icônico estaleiro e Phillips </w:t>
      </w:r>
      <w:hyperlink r:id="rId107">
        <w:r w:rsidDel="00000000" w:rsidR="00000000" w:rsidRPr="00000000">
          <w:rPr>
            <w:rFonts w:ascii="Times New Roman" w:cs="Times New Roman" w:eastAsia="Times New Roman" w:hAnsi="Times New Roman"/>
            <w:sz w:val="24"/>
            <w:szCs w:val="24"/>
            <w:rtl w:val="0"/>
          </w:rPr>
          <w:t xml:space="preserve">(2015)</w:t>
        </w:r>
      </w:hyperlink>
      <w:r w:rsidDel="00000000" w:rsidR="00000000" w:rsidRPr="00000000">
        <w:rPr>
          <w:rFonts w:ascii="Times New Roman" w:cs="Times New Roman" w:eastAsia="Times New Roman" w:hAnsi="Times New Roman"/>
          <w:sz w:val="24"/>
          <w:szCs w:val="24"/>
          <w:highlight w:val="white"/>
          <w:rtl w:val="0"/>
        </w:rPr>
        <w:t xml:space="preserve">, onde se descreve em detalhe o fechamento de uma mina de carvão, ambos na Escócia. Dada a natureza multiescalar dos processos econômicos, uma lacuna dessa literatura reside na falta de trabalhos operando em diversas escalas analíticas simultaneamente ou com abordagens de rede.</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É Importante salientar como a escolha da escala analítica muitas vezes é determinante na identificação da existência de processos de desindustrialização, em especial em situações que envolvem realocação produtiva. Um dos melhores exemplos é como Bluestone e Harrison </w:t>
      </w:r>
      <w:hyperlink r:id="rId108">
        <w:r w:rsidDel="00000000" w:rsidR="00000000" w:rsidRPr="00000000">
          <w:rPr>
            <w:rFonts w:ascii="Times New Roman" w:cs="Times New Roman" w:eastAsia="Times New Roman" w:hAnsi="Times New Roman"/>
            <w:sz w:val="24"/>
            <w:szCs w:val="24"/>
            <w:highlight w:val="white"/>
            <w:rtl w:val="0"/>
          </w:rPr>
          <w:t xml:space="preserve">(1982)</w:t>
        </w:r>
      </w:hyperlink>
      <w:r w:rsidDel="00000000" w:rsidR="00000000" w:rsidRPr="00000000">
        <w:rPr>
          <w:rFonts w:ascii="Times New Roman" w:cs="Times New Roman" w:eastAsia="Times New Roman" w:hAnsi="Times New Roman"/>
          <w:sz w:val="24"/>
          <w:szCs w:val="24"/>
          <w:highlight w:val="white"/>
          <w:rtl w:val="0"/>
        </w:rPr>
        <w:t xml:space="preserve"> enfatizam simultaneamente a ocorrência de desindustrialização no norte dos EUA enquanto observam a industrialização no sul do país. Também pioneiro, e poucas vezes repetido, é o modo como esses mesmos autores abordam os impactos sociais dos dois processos, mostrando-os como duas faces de um mesmo fenômeno relacionado à crescente mobilidade de capital.</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Essa transformação, entretanto, não segue um ritmo linear ou simultâneo em todos os territórios. Considerando a escala nacional para fins didáticos, as análises do caso americano apontam um intenso período de desinvestimento produtivo nos anos 60 até os anos 90 </w:t>
      </w:r>
      <w:hyperlink r:id="rId109">
        <w:r w:rsidDel="00000000" w:rsidR="00000000" w:rsidRPr="00000000">
          <w:rPr>
            <w:rFonts w:ascii="Times New Roman" w:cs="Times New Roman" w:eastAsia="Times New Roman" w:hAnsi="Times New Roman"/>
            <w:sz w:val="24"/>
            <w:szCs w:val="24"/>
            <w:rtl w:val="0"/>
          </w:rPr>
          <w:t xml:space="preserve">(Bluestone e Harrison, 1982)</w:t>
        </w:r>
      </w:hyperlink>
      <w:r w:rsidDel="00000000" w:rsidR="00000000" w:rsidRPr="00000000">
        <w:rPr>
          <w:rFonts w:ascii="Times New Roman" w:cs="Times New Roman" w:eastAsia="Times New Roman" w:hAnsi="Times New Roman"/>
          <w:sz w:val="24"/>
          <w:szCs w:val="24"/>
          <w:highlight w:val="white"/>
          <w:rtl w:val="0"/>
        </w:rPr>
        <w:t xml:space="preserve">, com intensificação nos anos 70 </w:t>
      </w:r>
      <w:hyperlink r:id="rId110">
        <w:r w:rsidDel="00000000" w:rsidR="00000000" w:rsidRPr="00000000">
          <w:rPr>
            <w:rFonts w:ascii="Times New Roman" w:cs="Times New Roman" w:eastAsia="Times New Roman" w:hAnsi="Times New Roman"/>
            <w:sz w:val="24"/>
            <w:szCs w:val="24"/>
            <w:rtl w:val="0"/>
          </w:rPr>
          <w:t xml:space="preserve">(Highsmith, 2014, p. 42; Strangleman, 2017, p. 474; Winant, 2019)</w:t>
        </w:r>
      </w:hyperlink>
      <w:r w:rsidDel="00000000" w:rsidR="00000000" w:rsidRPr="00000000">
        <w:rPr>
          <w:rFonts w:ascii="Times New Roman" w:cs="Times New Roman" w:eastAsia="Times New Roman" w:hAnsi="Times New Roman"/>
          <w:sz w:val="24"/>
          <w:szCs w:val="24"/>
          <w:highlight w:val="white"/>
          <w:rtl w:val="0"/>
        </w:rPr>
        <w:t xml:space="preserve">. Kollmeyer </w:t>
      </w:r>
      <w:hyperlink r:id="rId111">
        <w:r w:rsidDel="00000000" w:rsidR="00000000" w:rsidRPr="00000000">
          <w:rPr>
            <w:rFonts w:ascii="Times New Roman" w:cs="Times New Roman" w:eastAsia="Times New Roman" w:hAnsi="Times New Roman"/>
            <w:sz w:val="24"/>
            <w:szCs w:val="24"/>
            <w:rtl w:val="0"/>
          </w:rPr>
          <w:t xml:space="preserve">(2009)</w:t>
        </w:r>
      </w:hyperlink>
      <w:r w:rsidDel="00000000" w:rsidR="00000000" w:rsidRPr="00000000">
        <w:rPr>
          <w:rFonts w:ascii="Times New Roman" w:cs="Times New Roman" w:eastAsia="Times New Roman" w:hAnsi="Times New Roman"/>
          <w:sz w:val="24"/>
          <w:szCs w:val="24"/>
          <w:highlight w:val="white"/>
          <w:rtl w:val="0"/>
        </w:rPr>
        <w:t xml:space="preserve"> chega a pontuar seus sinais já no pós Segunda Guerra Mundial, enquanto Highsmith </w:t>
      </w:r>
      <w:hyperlink r:id="rId112">
        <w:r w:rsidDel="00000000" w:rsidR="00000000" w:rsidRPr="00000000">
          <w:rPr>
            <w:rFonts w:ascii="Times New Roman" w:cs="Times New Roman" w:eastAsia="Times New Roman" w:hAnsi="Times New Roman"/>
            <w:sz w:val="24"/>
            <w:szCs w:val="24"/>
            <w:highlight w:val="white"/>
            <w:rtl w:val="0"/>
          </w:rPr>
          <w:t xml:space="preserve">(2014)</w:t>
        </w:r>
      </w:hyperlink>
      <w:r w:rsidDel="00000000" w:rsidR="00000000" w:rsidRPr="00000000">
        <w:rPr>
          <w:rFonts w:ascii="Times New Roman" w:cs="Times New Roman" w:eastAsia="Times New Roman" w:hAnsi="Times New Roman"/>
          <w:sz w:val="24"/>
          <w:szCs w:val="24"/>
          <w:highlight w:val="white"/>
          <w:rtl w:val="0"/>
        </w:rPr>
        <w:t xml:space="preserve"> situa-a como centrada nos anos 1960 em diante, porém ligado intimamente a descentralização do investimento produtivo já a partir dos anos 1940. Sobre o Canadá, Clark e Gibbs </w:t>
      </w:r>
      <w:hyperlink r:id="rId113">
        <w:r w:rsidDel="00000000" w:rsidR="00000000" w:rsidRPr="00000000">
          <w:rPr>
            <w:rFonts w:ascii="Times New Roman" w:cs="Times New Roman" w:eastAsia="Times New Roman" w:hAnsi="Times New Roman"/>
            <w:sz w:val="24"/>
            <w:szCs w:val="24"/>
            <w:rtl w:val="0"/>
          </w:rPr>
          <w:t xml:space="preserve">(2020)</w:t>
        </w:r>
      </w:hyperlink>
      <w:r w:rsidDel="00000000" w:rsidR="00000000" w:rsidRPr="00000000">
        <w:rPr>
          <w:rFonts w:ascii="Times New Roman" w:cs="Times New Roman" w:eastAsia="Times New Roman" w:hAnsi="Times New Roman"/>
          <w:sz w:val="24"/>
          <w:szCs w:val="24"/>
          <w:highlight w:val="white"/>
          <w:rtl w:val="0"/>
        </w:rPr>
        <w:t xml:space="preserve"> destacam um processo a partir dos anos 1970 em diante, intensificado nos anos 1980.</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Os casos da Grã-Bretanha e europeus continentais exibem padrão similar. No primeiro, há evidências iniciais de desindustrialização cujas causas remontam ao período prévio a 1945 </w:t>
      </w:r>
      <w:hyperlink r:id="rId114">
        <w:r w:rsidDel="00000000" w:rsidR="00000000" w:rsidRPr="00000000">
          <w:rPr>
            <w:rFonts w:ascii="Times New Roman" w:cs="Times New Roman" w:eastAsia="Times New Roman" w:hAnsi="Times New Roman"/>
            <w:sz w:val="24"/>
            <w:szCs w:val="24"/>
            <w:rtl w:val="0"/>
          </w:rPr>
          <w:t xml:space="preserve">(Tomlinson, 2020)</w:t>
        </w:r>
      </w:hyperlink>
      <w:r w:rsidDel="00000000" w:rsidR="00000000" w:rsidRPr="00000000">
        <w:rPr>
          <w:rFonts w:ascii="Times New Roman" w:cs="Times New Roman" w:eastAsia="Times New Roman" w:hAnsi="Times New Roman"/>
          <w:sz w:val="24"/>
          <w:szCs w:val="24"/>
          <w:highlight w:val="white"/>
          <w:rtl w:val="0"/>
        </w:rPr>
        <w:t xml:space="preserve">, mas cujos desenvolvimentos passam a ser claramente vistos em fins dos anos 1950, abrangendo a Inglaterra, a Escócia e a Irlanda do Norte e se aceleram ao longo dos anos 1960 e 1970 </w:t>
      </w:r>
      <w:hyperlink r:id="rId115">
        <w:r w:rsidDel="00000000" w:rsidR="00000000" w:rsidRPr="00000000">
          <w:rPr>
            <w:rFonts w:ascii="Times New Roman" w:cs="Times New Roman" w:eastAsia="Times New Roman" w:hAnsi="Times New Roman"/>
            <w:sz w:val="24"/>
            <w:szCs w:val="24"/>
            <w:rtl w:val="0"/>
          </w:rPr>
          <w:t xml:space="preserve">(Hodson, 2019; Phillips, 2015; Tomlinson, 2016)</w:t>
        </w:r>
      </w:hyperlink>
      <w:r w:rsidDel="00000000" w:rsidR="00000000" w:rsidRPr="00000000">
        <w:rPr>
          <w:rFonts w:ascii="Times New Roman" w:cs="Times New Roman" w:eastAsia="Times New Roman" w:hAnsi="Times New Roman"/>
          <w:sz w:val="24"/>
          <w:szCs w:val="24"/>
          <w:highlight w:val="white"/>
          <w:rtl w:val="0"/>
        </w:rPr>
        <w:t xml:space="preserve">. O período de 1979 a 1982 é, particularmente, crítico para a Grã-Bretanha como aponta Tomlinson </w:t>
      </w:r>
      <w:hyperlink r:id="rId116">
        <w:r w:rsidDel="00000000" w:rsidR="00000000" w:rsidRPr="00000000">
          <w:rPr>
            <w:rFonts w:ascii="Times New Roman" w:cs="Times New Roman" w:eastAsia="Times New Roman" w:hAnsi="Times New Roman"/>
            <w:sz w:val="24"/>
            <w:szCs w:val="24"/>
            <w:rtl w:val="0"/>
          </w:rPr>
          <w:t xml:space="preserve">(2016, p. 87)</w:t>
        </w:r>
      </w:hyperlink>
      <w:r w:rsidDel="00000000" w:rsidR="00000000" w:rsidRPr="00000000">
        <w:rPr>
          <w:rFonts w:ascii="Times New Roman" w:cs="Times New Roman" w:eastAsia="Times New Roman" w:hAnsi="Times New Roman"/>
          <w:sz w:val="24"/>
          <w:szCs w:val="24"/>
          <w:highlight w:val="white"/>
          <w:rtl w:val="0"/>
        </w:rPr>
        <w:t xml:space="preserve">, de 1975 a 1981 para a Escócia </w:t>
      </w:r>
      <w:hyperlink r:id="rId117">
        <w:r w:rsidDel="00000000" w:rsidR="00000000" w:rsidRPr="00000000">
          <w:rPr>
            <w:rFonts w:ascii="Times New Roman" w:cs="Times New Roman" w:eastAsia="Times New Roman" w:hAnsi="Times New Roman"/>
            <w:sz w:val="24"/>
            <w:szCs w:val="24"/>
            <w:rtl w:val="0"/>
          </w:rPr>
          <w:t xml:space="preserve">(Phillips, Wright e Tomlinson, 2019)</w:t>
        </w:r>
      </w:hyperlink>
      <w:r w:rsidDel="00000000" w:rsidR="00000000" w:rsidRPr="00000000">
        <w:rPr>
          <w:rFonts w:ascii="Times New Roman" w:cs="Times New Roman" w:eastAsia="Times New Roman" w:hAnsi="Times New Roman"/>
          <w:sz w:val="24"/>
          <w:szCs w:val="24"/>
          <w:highlight w:val="white"/>
          <w:rtl w:val="0"/>
        </w:rPr>
        <w:t xml:space="preserve">, se mantendo intenso ao longo dos anos 1980 </w:t>
      </w:r>
      <w:hyperlink r:id="rId118">
        <w:r w:rsidDel="00000000" w:rsidR="00000000" w:rsidRPr="00000000">
          <w:rPr>
            <w:rFonts w:ascii="Times New Roman" w:cs="Times New Roman" w:eastAsia="Times New Roman" w:hAnsi="Times New Roman"/>
            <w:sz w:val="24"/>
            <w:szCs w:val="24"/>
            <w:rtl w:val="0"/>
          </w:rPr>
          <w:t xml:space="preserve">(Beatty e Fothergill, 2020, p. 2)</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Tanto EUA como Inglaterra, demonstram, então, alguns indícios de uma intensificação da desindustrialização e seus impactos com a eleição dos governos Reagan (1980) e Tatcher (1979) respectivamente, mas há uma avaliação de que está é prévia a esses governos e já vinha se acelerando mesmo antes da ascensão de governos classificados como neoliberais </w:t>
      </w:r>
      <w:hyperlink r:id="rId119">
        <w:r w:rsidDel="00000000" w:rsidR="00000000" w:rsidRPr="00000000">
          <w:rPr>
            <w:rFonts w:ascii="Times New Roman" w:cs="Times New Roman" w:eastAsia="Times New Roman" w:hAnsi="Times New Roman"/>
            <w:sz w:val="24"/>
            <w:szCs w:val="24"/>
            <w:rtl w:val="0"/>
          </w:rPr>
          <w:t xml:space="preserve">(Tomlinson, 2016)</w:t>
        </w:r>
      </w:hyperlink>
      <w:r w:rsidDel="00000000" w:rsidR="00000000" w:rsidRPr="00000000">
        <w:rPr>
          <w:rFonts w:ascii="Times New Roman" w:cs="Times New Roman" w:eastAsia="Times New Roman" w:hAnsi="Times New Roman"/>
          <w:sz w:val="24"/>
          <w:szCs w:val="24"/>
          <w:highlight w:val="white"/>
          <w:rtl w:val="0"/>
        </w:rPr>
        <w:t xml:space="preserve">. Winant argumenta inclusive sobre como os incrementos de custos relativos à seguridade social decorrentes da desindustrialização foram na verdade elemento importante nas disputas da economia política que levaram à ascensão de tais governos </w:t>
      </w:r>
      <w:hyperlink r:id="rId120">
        <w:r w:rsidDel="00000000" w:rsidR="00000000" w:rsidRPr="00000000">
          <w:rPr>
            <w:rFonts w:ascii="Times New Roman" w:cs="Times New Roman" w:eastAsia="Times New Roman" w:hAnsi="Times New Roman"/>
            <w:sz w:val="24"/>
            <w:szCs w:val="24"/>
            <w:rtl w:val="0"/>
          </w:rPr>
          <w:t xml:space="preserve">(Winant, 2019, p. 113–114)</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Indo em direção a Europa continental, na Alemanha duas ondas se sobrepõem: uma ligada à indústria de extração de carvão nos anos 1950 em diante e outra à siderurgia, dos anos 1970 em diante na região do Ruhr </w:t>
      </w:r>
      <w:hyperlink r:id="rId121">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highlight w:val="white"/>
          <w:rtl w:val="0"/>
        </w:rPr>
        <w:t xml:space="preserve">. No entanto, o território exibiu maior gradualidade no fechamento de fábricas, prolongando o processo e mitigando seus custos sociais </w:t>
      </w:r>
      <w:hyperlink r:id="rId122">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highlight w:val="white"/>
          <w:rtl w:val="0"/>
        </w:rPr>
        <w:t xml:space="preserve">. Já na França, é possível ver um sinal de como a aceleração maior deu-se apenas em fins dos anos 1980 e início dos anos 1990 </w:t>
      </w:r>
      <w:hyperlink r:id="rId123">
        <w:r w:rsidDel="00000000" w:rsidR="00000000" w:rsidRPr="00000000">
          <w:rPr>
            <w:rFonts w:ascii="Times New Roman" w:cs="Times New Roman" w:eastAsia="Times New Roman" w:hAnsi="Times New Roman"/>
            <w:sz w:val="24"/>
            <w:szCs w:val="24"/>
            <w:rtl w:val="0"/>
          </w:rPr>
          <w:t xml:space="preserve">(Clarke, 2015)</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Leste Europeu e o Leste Asiático, por sua vez, apresentam uma periodização distinta. Na Hungria esse processo se deu de forma acelerada ao longo dos anos 1990, possivelmente contribuindo para uma intensificação de seus impactos </w:t>
      </w:r>
      <w:hyperlink r:id="rId124">
        <w:r w:rsidDel="00000000" w:rsidR="00000000" w:rsidRPr="00000000">
          <w:rPr>
            <w:rFonts w:ascii="Times New Roman" w:cs="Times New Roman" w:eastAsia="Times New Roman" w:hAnsi="Times New Roman"/>
            <w:sz w:val="24"/>
            <w:szCs w:val="24"/>
            <w:rtl w:val="0"/>
          </w:rPr>
          <w:t xml:space="preserve">(Scheiring, 2020; Scheiring e King, 2023)</w:t>
        </w:r>
      </w:hyperlink>
      <w:r w:rsidDel="00000000" w:rsidR="00000000" w:rsidRPr="00000000">
        <w:rPr>
          <w:rFonts w:ascii="Times New Roman" w:cs="Times New Roman" w:eastAsia="Times New Roman" w:hAnsi="Times New Roman"/>
          <w:sz w:val="24"/>
          <w:szCs w:val="24"/>
          <w:highlight w:val="white"/>
          <w:rtl w:val="0"/>
        </w:rPr>
        <w:t xml:space="preserve">. Já no Leste Asiático, há identificação de desindustrialização dos anos 1990 em diante, porém, sua ocorrência é mais gradual e mitigada pela ação estatal </w:t>
      </w:r>
      <w:hyperlink r:id="rId125">
        <w:r w:rsidDel="00000000" w:rsidR="00000000" w:rsidRPr="00000000">
          <w:rPr>
            <w:rFonts w:ascii="Times New Roman" w:cs="Times New Roman" w:eastAsia="Times New Roman" w:hAnsi="Times New Roman"/>
            <w:sz w:val="24"/>
            <w:szCs w:val="24"/>
            <w:rtl w:val="0"/>
          </w:rPr>
          <w:t xml:space="preserve">(Lee, 2016)</w:t>
        </w:r>
      </w:hyperlink>
      <w:r w:rsidDel="00000000" w:rsidR="00000000" w:rsidRPr="00000000">
        <w:rPr>
          <w:rFonts w:ascii="Times New Roman" w:cs="Times New Roman" w:eastAsia="Times New Roman" w:hAnsi="Times New Roman"/>
          <w:sz w:val="24"/>
          <w:szCs w:val="24"/>
          <w:highlight w:val="white"/>
          <w:rtl w:val="0"/>
        </w:rPr>
        <w:t xml:space="preserve">. Há notável ausência, nessa literatura, de discussões sobre o caso Chinês.</w:t>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resumo, apesar de não significar a inexistência de casos temporalmente anteriores, como mostram outros trabalhos </w:t>
      </w:r>
      <w:hyperlink r:id="rId126">
        <w:r w:rsidDel="00000000" w:rsidR="00000000" w:rsidRPr="00000000">
          <w:rPr>
            <w:rFonts w:ascii="Times New Roman" w:cs="Times New Roman" w:eastAsia="Times New Roman" w:hAnsi="Times New Roman"/>
            <w:sz w:val="24"/>
            <w:szCs w:val="24"/>
            <w:highlight w:val="white"/>
            <w:rtl w:val="0"/>
          </w:rPr>
          <w:t xml:space="preserve">(Clingingsmith e Williamson, 2008; Pamuk e Williamson, 2011)</w:t>
        </w:r>
      </w:hyperlink>
      <w:r w:rsidDel="00000000" w:rsidR="00000000" w:rsidRPr="00000000">
        <w:rPr>
          <w:rFonts w:ascii="Times New Roman" w:cs="Times New Roman" w:eastAsia="Times New Roman" w:hAnsi="Times New Roman"/>
          <w:sz w:val="24"/>
          <w:szCs w:val="24"/>
          <w:highlight w:val="white"/>
          <w:rtl w:val="0"/>
        </w:rPr>
        <w:t xml:space="preserve">, há um consenso na literatura sobre sua maior intensidade ocorrendo entre os anos 1960 e fins dos anos 1980, especialmente na Europa Ocidental e EUA. Territórios caracterizados por uma industrialização mais tardia</w:t>
      </w:r>
      <w:r w:rsidDel="00000000" w:rsidR="00000000" w:rsidRPr="00000000">
        <w:rPr>
          <w:rFonts w:ascii="Times New Roman" w:cs="Times New Roman" w:eastAsia="Times New Roman" w:hAnsi="Times New Roman"/>
          <w:sz w:val="24"/>
          <w:szCs w:val="24"/>
          <w:highlight w:val="white"/>
          <w:vertAlign w:val="superscript"/>
        </w:rPr>
        <w:footnoteReference w:customMarkFollows="0" w:id="3"/>
      </w:r>
      <w:r w:rsidDel="00000000" w:rsidR="00000000" w:rsidRPr="00000000">
        <w:rPr>
          <w:rFonts w:ascii="Times New Roman" w:cs="Times New Roman" w:eastAsia="Times New Roman" w:hAnsi="Times New Roman"/>
          <w:sz w:val="24"/>
          <w:szCs w:val="24"/>
          <w:highlight w:val="white"/>
          <w:rtl w:val="0"/>
        </w:rPr>
        <w:t xml:space="preserve"> ou com nível de renda </w:t>
      </w:r>
      <w:r w:rsidDel="00000000" w:rsidR="00000000" w:rsidRPr="00000000">
        <w:rPr>
          <w:rFonts w:ascii="Times New Roman" w:cs="Times New Roman" w:eastAsia="Times New Roman" w:hAnsi="Times New Roman"/>
          <w:i w:val="1"/>
          <w:iCs w:val="1"/>
          <w:sz w:val="24"/>
          <w:szCs w:val="24"/>
          <w:highlight w:val="white"/>
          <w:rtl w:val="0"/>
        </w:rPr>
        <w:t xml:space="preserve">per capita </w:t>
      </w:r>
      <w:r w:rsidDel="00000000" w:rsidR="00000000" w:rsidRPr="00000000">
        <w:rPr>
          <w:rFonts w:ascii="Times New Roman" w:cs="Times New Roman" w:eastAsia="Times New Roman" w:hAnsi="Times New Roman"/>
          <w:sz w:val="24"/>
          <w:szCs w:val="24"/>
          <w:highlight w:val="white"/>
          <w:rtl w:val="0"/>
        </w:rPr>
        <w:t xml:space="preserve">menor que os casos americano e europeu parecem ter seus processos situados a partir dos anos 1980, com intensificação ao longo dos anos 1990 e 2000, dialogando com o diagnóstico de Rodrik </w:t>
      </w:r>
      <w:hyperlink r:id="rId127">
        <w:r w:rsidDel="00000000" w:rsidR="00000000" w:rsidRPr="00000000">
          <w:rPr>
            <w:rFonts w:ascii="Times New Roman" w:cs="Times New Roman" w:eastAsia="Times New Roman" w:hAnsi="Times New Roman"/>
            <w:sz w:val="24"/>
            <w:szCs w:val="24"/>
            <w:highlight w:val="white"/>
            <w:rtl w:val="0"/>
          </w:rPr>
          <w:t xml:space="preserve">(2016)</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mesma forma, algumas categorias de indústria são privilegiadas no debate, particularmente em função de sua relevância para os territórios enfatizados. O exemplo alemão, como já apresentado, mostra um processo de desindustrialização iniciado na indústria extrativa, de carvão,</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que posteriormente se estende para a indústria de transformação pesada, a siderurgia </w:t>
      </w:r>
      <w:hyperlink r:id="rId128">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rtl w:val="0"/>
        </w:rPr>
        <w:t xml:space="preserve">. A indústria de carvão também é a indústria central examinada no exemplo Britânico </w:t>
      </w:r>
      <w:hyperlink r:id="rId129">
        <w:r w:rsidDel="00000000" w:rsidR="00000000" w:rsidRPr="00000000">
          <w:rPr>
            <w:rFonts w:ascii="Times New Roman" w:cs="Times New Roman" w:eastAsia="Times New Roman" w:hAnsi="Times New Roman"/>
            <w:sz w:val="24"/>
            <w:szCs w:val="24"/>
            <w:rtl w:val="0"/>
          </w:rPr>
          <w:t xml:space="preserve">(Tomlinson, 2016)</w:t>
        </w:r>
      </w:hyperlink>
      <w:r w:rsidDel="00000000" w:rsidR="00000000" w:rsidRPr="00000000">
        <w:rPr>
          <w:rFonts w:ascii="Times New Roman" w:cs="Times New Roman" w:eastAsia="Times New Roman" w:hAnsi="Times New Roman"/>
          <w:sz w:val="24"/>
          <w:szCs w:val="24"/>
          <w:rtl w:val="0"/>
        </w:rPr>
        <w:t xml:space="preserve">. Há uma lacuna nos estudos a respeito da composição típica da indústria em cada território e seus impactos. Assim, não pode ser excluída a possibilidade de fatores de caráter subsetorial influenciarem as trajetórias observadas.</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nos EUA e no leste asiático predominam estudos sobre o fechamento de fábricas e unidades produtivas ligadas à manufatura. No </w:t>
      </w:r>
      <w:r w:rsidDel="00000000" w:rsidR="00000000" w:rsidRPr="00000000">
        <w:rPr>
          <w:rFonts w:ascii="Times New Roman" w:cs="Times New Roman" w:eastAsia="Times New Roman" w:hAnsi="Times New Roman"/>
          <w:i w:val="1"/>
          <w:iCs w:val="1"/>
          <w:sz w:val="24"/>
          <w:szCs w:val="24"/>
          <w:rtl w:val="0"/>
        </w:rPr>
        <w:t xml:space="preserve">rust belt</w:t>
      </w:r>
      <w:r w:rsidDel="00000000" w:rsidR="00000000" w:rsidRPr="00000000">
        <w:rPr>
          <w:rFonts w:ascii="Times New Roman" w:cs="Times New Roman" w:eastAsia="Times New Roman" w:hAnsi="Times New Roman"/>
          <w:sz w:val="24"/>
          <w:szCs w:val="24"/>
          <w:rtl w:val="0"/>
        </w:rPr>
        <w:t xml:space="preserve"> americano há um aspecto emblemático do fechamento de fábricas ligadas à indústria automotiva, mas também de serralherias, fábricas de eletrodomésticos e outros </w:t>
      </w:r>
      <w:hyperlink r:id="rId130">
        <w:r w:rsidDel="00000000" w:rsidR="00000000" w:rsidRPr="00000000">
          <w:rPr>
            <w:rFonts w:ascii="Times New Roman" w:cs="Times New Roman" w:eastAsia="Times New Roman" w:hAnsi="Times New Roman"/>
            <w:sz w:val="24"/>
            <w:szCs w:val="24"/>
            <w:rtl w:val="0"/>
          </w:rPr>
          <w:t xml:space="preserve">(Cowie e Heathcott, 2003; High, 2003)</w:t>
        </w:r>
      </w:hyperlink>
      <w:r w:rsidDel="00000000" w:rsidR="00000000" w:rsidRPr="00000000">
        <w:rPr>
          <w:rFonts w:ascii="Times New Roman" w:cs="Times New Roman" w:eastAsia="Times New Roman" w:hAnsi="Times New Roman"/>
          <w:sz w:val="24"/>
          <w:szCs w:val="24"/>
          <w:rtl w:val="0"/>
        </w:rPr>
        <w:t xml:space="preserve">. Há uma lacuna nos estudos a respeito da composição típica da indústria em cada território e seus impactos. Assim, não pode ser excluída a possibilidade de fatores de caráter setorial influenciarem as trajetórias observadas.</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há uma notada ausência de discussão a respeito do setor de construção e do setor ligado ao fornecimento de energia, água, gás e saneamento – em geral denominado </w:t>
      </w:r>
      <w:r w:rsidDel="00000000" w:rsidR="00000000" w:rsidRPr="00000000">
        <w:rPr>
          <w:rFonts w:ascii="Times New Roman" w:cs="Times New Roman" w:eastAsia="Times New Roman" w:hAnsi="Times New Roman"/>
          <w:i w:val="1"/>
          <w:iCs w:val="1"/>
          <w:sz w:val="24"/>
          <w:szCs w:val="24"/>
          <w:rtl w:val="0"/>
        </w:rPr>
        <w:t xml:space="preserve">utilities</w:t>
      </w:r>
      <w:r w:rsidDel="00000000" w:rsidR="00000000" w:rsidRPr="00000000">
        <w:rPr>
          <w:rFonts w:ascii="Times New Roman" w:cs="Times New Roman" w:eastAsia="Times New Roman" w:hAnsi="Times New Roman"/>
          <w:sz w:val="24"/>
          <w:szCs w:val="24"/>
          <w:rtl w:val="0"/>
        </w:rPr>
        <w:t xml:space="preserve">. Um dos problemas dessa ausência é justamente dificultar comparações setoriais e também invisibilizar parte significativa da produção industrial.</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12: resumo dos casos de desindustrialização na literatura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815"/>
        <w:gridCol w:w="5340"/>
        <w:tblGridChange w:id="0">
          <w:tblGrid>
            <w:gridCol w:w="2205"/>
            <w:gridCol w:w="1815"/>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Periodização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Características gerais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América do 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Centrado na redução do emprego na manufatura, atenção à indústria automotiva. Intensificação nos anos 1970 em diante com crise e mudanças no cenário político nos anos 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Grã-Bretanha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Centrado na redução do emprego na indústria extrativa, especialmente carvão e também na indústria pesada. Distinção dos impactos e aceleração do processo na ascensão de discursos neoliberais do fim dos anos 1970 em 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Europa Continental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Redução do emprego no setor extrativo, especialmente carvão, e siderurgia. Associado a mudanças tecnológicas e realocação de investimentos. Maior gradualidade, especialmente no exemplo alemão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Leste Europeu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Redução do emprego industrial no setor de manufatura no contexto de transição para economia de mercado nos anos 1990. Processo rápido e mais intenso comparado a casos anteriores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Leste Asiático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1990-2010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Redução de emprego industrial no setor de manufatura no contexto de mudanças organizacionais e no mercado de trabalho. Menos intenso e mais mediado que no Leste Europeu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1980-2020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Redução do emprego no setor de manufatura associado a crises econômicas e abertura comercial. Crescimento econômico mais rápido do setor de serviços nos anos 2000 em diante.</w:t>
            </w:r>
          </w:p>
        </w:tc>
      </w:tr>
    </w:tbl>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autoria própria</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Pode-se, ainda, recortar a literatura a partir de seus enfoques quanto à classe, a raça e o gênero. Uma clara conclusão é que os estudos são majoritariamente baseados na perspectiva de trabalhadores e suas comunidades, em parte pela formação do campo inicialmente calcada no ativismo contra o fechamento de fábricas </w:t>
      </w:r>
      <w:hyperlink r:id="rId131">
        <w:r w:rsidDel="00000000" w:rsidR="00000000" w:rsidRPr="00000000">
          <w:rPr>
            <w:rFonts w:ascii="Times New Roman" w:cs="Times New Roman" w:eastAsia="Times New Roman" w:hAnsi="Times New Roman"/>
            <w:sz w:val="24"/>
            <w:szCs w:val="24"/>
            <w:rtl w:val="0"/>
          </w:rPr>
          <w:t xml:space="preserve">(High, 2013, p. 995–996; Lawson, 2020, p. 2)</w:t>
        </w:r>
      </w:hyperlink>
      <w:r w:rsidDel="00000000" w:rsidR="00000000" w:rsidRPr="00000000">
        <w:rPr>
          <w:rFonts w:ascii="Times New Roman" w:cs="Times New Roman" w:eastAsia="Times New Roman" w:hAnsi="Times New Roman"/>
          <w:sz w:val="24"/>
          <w:szCs w:val="24"/>
          <w:rtl w:val="0"/>
        </w:rPr>
        <w:t xml:space="preserve">. Em particular, são enfatizados os trabalhadores industriais afetados diretamente pelo fechamento de fábricas ou minas, mas em alguns trabalhos grupos sociais urbanos com interesses antagônicos as comunidades de trabalhadores, como classes médias urbanas, podem aparecer, em geral nas discussões sobre projetos relativos à memória ou reestruturação econômica de comunidades </w:t>
      </w:r>
      <w:hyperlink r:id="rId132">
        <w:r w:rsidDel="00000000" w:rsidR="00000000" w:rsidRPr="00000000">
          <w:rPr>
            <w:rFonts w:ascii="Times New Roman" w:cs="Times New Roman" w:eastAsia="Times New Roman" w:hAnsi="Times New Roman"/>
            <w:sz w:val="24"/>
            <w:szCs w:val="24"/>
            <w:rtl w:val="0"/>
          </w:rPr>
          <w:t xml:space="preserve">(Hodson, 2019; Hoekstra, 2020; Lewis, 2016)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Trabalhos voltados à dimensão racial parecem concentrados no exemplo americano. Particularmente, preocupam-se com impactos maiores da desindustrialização sobre as oportunidades futuras e qualidade de vida da população negra </w:t>
      </w:r>
      <w:hyperlink r:id="rId133">
        <w:r w:rsidDel="00000000" w:rsidR="00000000" w:rsidRPr="00000000">
          <w:rPr>
            <w:rFonts w:ascii="Times New Roman" w:cs="Times New Roman" w:eastAsia="Times New Roman" w:hAnsi="Times New Roman"/>
            <w:sz w:val="24"/>
            <w:szCs w:val="24"/>
            <w:rtl w:val="0"/>
          </w:rPr>
          <w:t xml:space="preserve">(Berger e Engzell, 2022)</w:t>
        </w:r>
      </w:hyperlink>
      <w:r w:rsidDel="00000000" w:rsidR="00000000" w:rsidRPr="00000000">
        <w:rPr>
          <w:rFonts w:ascii="Times New Roman" w:cs="Times New Roman" w:eastAsia="Times New Roman" w:hAnsi="Times New Roman"/>
          <w:sz w:val="24"/>
          <w:szCs w:val="24"/>
          <w:rtl w:val="0"/>
        </w:rPr>
        <w:t xml:space="preserve">. Nas metrópoles americanas a desindustrialização tem também ligação com uma gradual gentrificação, especialmente dos subúrbios, onde frequentemente o fenômeno está associado à composição racial dos territórios </w:t>
      </w:r>
      <w:hyperlink r:id="rId134">
        <w:r w:rsidDel="00000000" w:rsidR="00000000" w:rsidRPr="00000000">
          <w:rPr>
            <w:rFonts w:ascii="Times New Roman" w:cs="Times New Roman" w:eastAsia="Times New Roman" w:hAnsi="Times New Roman"/>
            <w:sz w:val="24"/>
            <w:szCs w:val="24"/>
            <w:rtl w:val="0"/>
          </w:rPr>
          <w:t xml:space="preserve">(Highsmith, 2014; Winant, 2019)</w:t>
        </w:r>
      </w:hyperlink>
      <w:r w:rsidDel="00000000" w:rsidR="00000000" w:rsidRPr="00000000">
        <w:rPr>
          <w:rFonts w:ascii="Times New Roman" w:cs="Times New Roman" w:eastAsia="Times New Roman" w:hAnsi="Times New Roman"/>
          <w:sz w:val="24"/>
          <w:szCs w:val="24"/>
          <w:rtl w:val="0"/>
        </w:rPr>
        <w:t xml:space="preserve">. Nas discussões centradas na Europa foi identificada pouca discussão sobre como a questão racial modifica os impactos da desindustrialização nos grupos sociais. Isso a despeito da importância da população imigrante para reestruturação econômica das regiões como o Ruhr </w:t>
      </w:r>
      <w:hyperlink r:id="rId135">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Já na questão de gênero, alguns trabalhos abordam esta do ponto de vista dos impactos da desindustrialização a respeito da masculinidade e dos papéis de gênero </w:t>
      </w:r>
      <w:hyperlink r:id="rId136">
        <w:r w:rsidDel="00000000" w:rsidR="00000000" w:rsidRPr="00000000">
          <w:rPr>
            <w:rFonts w:ascii="Times New Roman" w:cs="Times New Roman" w:eastAsia="Times New Roman" w:hAnsi="Times New Roman"/>
            <w:sz w:val="24"/>
            <w:szCs w:val="24"/>
            <w:rtl w:val="0"/>
          </w:rPr>
          <w:t xml:space="preserve">(Nayak, 2006)</w:t>
        </w:r>
      </w:hyperlink>
      <w:r w:rsidDel="00000000" w:rsidR="00000000" w:rsidRPr="00000000">
        <w:rPr>
          <w:rFonts w:ascii="Times New Roman" w:cs="Times New Roman" w:eastAsia="Times New Roman" w:hAnsi="Times New Roman"/>
          <w:sz w:val="24"/>
          <w:szCs w:val="24"/>
          <w:rtl w:val="0"/>
        </w:rPr>
        <w:t xml:space="preserve">. Um dos pontos centrais é como as mudanças nos processos de trabalho são vistas como mudanças de formas de trabalho mais “masculinas” para trabalhos mais “femininos” – particularmente no setor de serviços. Estes se refletem em requisitos profissionais distintos, frequentemente estereotipados em termos de gênero, por exemplo a ideia de que </w:t>
      </w:r>
      <w:r w:rsidDel="00000000" w:rsidR="00000000" w:rsidRPr="00000000">
        <w:rPr>
          <w:rFonts w:ascii="Times New Roman" w:cs="Times New Roman" w:eastAsia="Times New Roman" w:hAnsi="Times New Roman"/>
          <w:i w:val="1"/>
          <w:iCs w:val="1"/>
          <w:sz w:val="24"/>
          <w:szCs w:val="24"/>
          <w:rtl w:val="0"/>
        </w:rPr>
        <w:t xml:space="preserve">soft skills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seriam mais tipicamente femininas. Há discussões sobre os impactos sobre as mulheres de trabalhadores e, mesmo que em menor número, sobre fechamento de fábricas onde a população empregada era majoritariamente feminina </w:t>
      </w:r>
      <w:hyperlink r:id="rId137">
        <w:r w:rsidDel="00000000" w:rsidR="00000000" w:rsidRPr="00000000">
          <w:rPr>
            <w:rFonts w:ascii="Times New Roman" w:cs="Times New Roman" w:eastAsia="Times New Roman" w:hAnsi="Times New Roman"/>
            <w:sz w:val="24"/>
            <w:szCs w:val="24"/>
            <w:rtl w:val="0"/>
          </w:rPr>
          <w:t xml:space="preserve">(Clarke, 2011)</w:t>
        </w:r>
      </w:hyperlink>
      <w:r w:rsidDel="00000000" w:rsidR="00000000" w:rsidRPr="00000000">
        <w:rPr>
          <w:rFonts w:ascii="Times New Roman" w:cs="Times New Roman" w:eastAsia="Times New Roman" w:hAnsi="Times New Roman"/>
          <w:sz w:val="24"/>
          <w:szCs w:val="24"/>
          <w:rtl w:val="0"/>
        </w:rPr>
        <w:t xml:space="preserve">. Há pouca discussão sobre as relações entre desindustrialização e o aumento da participação feminina na força de trabalho.</w:t>
      </w:r>
      <w:r w:rsidDel="00000000" w:rsidR="00000000" w:rsidRPr="00000000">
        <w:rPr>
          <w:rtl w:val="0"/>
        </w:rPr>
      </w:r>
    </w:p>
    <w:p w:rsidR="00000000" w:rsidDel="00000000" w:rsidP="00000000" w:rsidRDefault="00000000" w:rsidRPr="00000000" w14:paraId="00000083">
      <w:pPr>
        <w:spacing w:before="400" w:lineRule="auto"/>
        <w:rPr/>
      </w:pPr>
      <w:r w:rsidDel="00000000" w:rsidR="00000000" w:rsidRPr="00000000">
        <w:rPr>
          <w:rtl w:val="0"/>
        </w:rPr>
        <w:t xml:space="preserve">4. Causas, impactos e instituições mediadoras</w:t>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literatura examinada aponta como os processos de desindustrialização estão ligados tanto às mudanças no modo de produção industrial que produzem ganhos de produtividade, como às decisões de desinvestimento e realocação produtiva das empresas </w:t>
      </w:r>
      <w:hyperlink r:id="rId138">
        <w:r w:rsidDel="00000000" w:rsidR="00000000" w:rsidRPr="00000000">
          <w:rPr>
            <w:rFonts w:ascii="Times New Roman" w:cs="Times New Roman" w:eastAsia="Times New Roman" w:hAnsi="Times New Roman"/>
            <w:sz w:val="24"/>
            <w:szCs w:val="24"/>
            <w:rtl w:val="0"/>
          </w:rPr>
          <w:t xml:space="preserve">(Kollmeyer, 2009, 2018)</w:t>
        </w:r>
      </w:hyperlink>
      <w:r w:rsidDel="00000000" w:rsidR="00000000" w:rsidRPr="00000000">
        <w:rPr>
          <w:rFonts w:ascii="Times New Roman" w:cs="Times New Roman" w:eastAsia="Times New Roman" w:hAnsi="Times New Roman"/>
          <w:sz w:val="24"/>
          <w:szCs w:val="24"/>
          <w:rtl w:val="0"/>
        </w:rPr>
        <w:t xml:space="preserve">. Entre os elementos chave, globalização </w:t>
      </w:r>
      <w:hyperlink r:id="rId139">
        <w:r w:rsidDel="00000000" w:rsidR="00000000" w:rsidRPr="00000000">
          <w:rPr>
            <w:rFonts w:ascii="Times New Roman" w:cs="Times New Roman" w:eastAsia="Times New Roman" w:hAnsi="Times New Roman"/>
            <w:sz w:val="24"/>
            <w:szCs w:val="24"/>
            <w:rtl w:val="0"/>
          </w:rPr>
          <w:t xml:space="preserve">(Alderson, 1999; Alderson e Nielsen, 2002)</w:t>
        </w:r>
      </w:hyperlink>
      <w:r w:rsidDel="00000000" w:rsidR="00000000" w:rsidRPr="00000000">
        <w:rPr>
          <w:rFonts w:ascii="Times New Roman" w:cs="Times New Roman" w:eastAsia="Times New Roman" w:hAnsi="Times New Roman"/>
          <w:sz w:val="24"/>
          <w:szCs w:val="24"/>
          <w:rtl w:val="0"/>
        </w:rPr>
        <w:t xml:space="preserve"> e automação </w:t>
      </w:r>
      <w:hyperlink r:id="rId140">
        <w:r w:rsidDel="00000000" w:rsidR="00000000" w:rsidRPr="00000000">
          <w:rPr>
            <w:rFonts w:ascii="Times New Roman" w:cs="Times New Roman" w:eastAsia="Times New Roman" w:hAnsi="Times New Roman"/>
            <w:sz w:val="24"/>
            <w:szCs w:val="24"/>
            <w:rtl w:val="0"/>
          </w:rPr>
          <w:t xml:space="preserve">(Berger e Engzell, 2022)</w:t>
        </w:r>
      </w:hyperlink>
      <w:r w:rsidDel="00000000" w:rsidR="00000000" w:rsidRPr="00000000">
        <w:rPr>
          <w:rFonts w:ascii="Times New Roman" w:cs="Times New Roman" w:eastAsia="Times New Roman" w:hAnsi="Times New Roman"/>
          <w:sz w:val="24"/>
          <w:szCs w:val="24"/>
          <w:rtl w:val="0"/>
        </w:rPr>
        <w:t xml:space="preserve"> são mobilizados como causas parciais do fenômeno. No quesito produtividade, em particular, há uma ênfase sobre como seu crescimento acima da demanda reduziu a participação da indústria no PIB e estoque de empregos </w:t>
      </w:r>
      <w:hyperlink r:id="rId141">
        <w:r w:rsidDel="00000000" w:rsidR="00000000" w:rsidRPr="00000000">
          <w:rPr>
            <w:rFonts w:ascii="Times New Roman" w:cs="Times New Roman" w:eastAsia="Times New Roman" w:hAnsi="Times New Roman"/>
            <w:sz w:val="24"/>
            <w:szCs w:val="24"/>
            <w:rtl w:val="0"/>
          </w:rPr>
          <w:t xml:space="preserve">(Rodrik, 2016)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visto desse ângulo, a desindustrialização parece intimamente ligada à viabilidade econômica da atividade industrial em um dado território </w:t>
      </w:r>
      <w:hyperlink r:id="rId142">
        <w:r w:rsidDel="00000000" w:rsidR="00000000" w:rsidRPr="00000000">
          <w:rPr>
            <w:rFonts w:ascii="Times New Roman" w:cs="Times New Roman" w:eastAsia="Times New Roman" w:hAnsi="Times New Roman"/>
            <w:sz w:val="24"/>
            <w:szCs w:val="24"/>
            <w:rtl w:val="0"/>
          </w:rPr>
          <w:t xml:space="preserve">(Hoekstra, 2020, p. 697; Phillips, 2015, p. 558)</w:t>
        </w:r>
      </w:hyperlink>
      <w:r w:rsidDel="00000000" w:rsidR="00000000" w:rsidRPr="00000000">
        <w:rPr>
          <w:rFonts w:ascii="Times New Roman" w:cs="Times New Roman" w:eastAsia="Times New Roman" w:hAnsi="Times New Roman"/>
          <w:sz w:val="24"/>
          <w:szCs w:val="24"/>
          <w:rtl w:val="0"/>
        </w:rPr>
        <w:t xml:space="preserve">. Relaciona-se, assim, tanto à possibilidade de realizar aquele trabalho com menor número de pessoas como à facilidade em deslocar a atividade produtiva para territórios de custos mais baixos, especialmente países mais pobres que observaram ganhos de produtividade consideráveis </w:t>
      </w:r>
      <w:hyperlink r:id="rId143">
        <w:r w:rsidDel="00000000" w:rsidR="00000000" w:rsidRPr="00000000">
          <w:rPr>
            <w:rFonts w:ascii="Times New Roman" w:cs="Times New Roman" w:eastAsia="Times New Roman" w:hAnsi="Times New Roman"/>
            <w:sz w:val="24"/>
            <w:szCs w:val="24"/>
            <w:rtl w:val="0"/>
          </w:rPr>
          <w:t xml:space="preserve">(Tomlinson, 2016)</w:t>
        </w:r>
      </w:hyperlink>
      <w:r w:rsidDel="00000000" w:rsidR="00000000" w:rsidRPr="00000000">
        <w:rPr>
          <w:rFonts w:ascii="Times New Roman" w:cs="Times New Roman" w:eastAsia="Times New Roman" w:hAnsi="Times New Roman"/>
          <w:sz w:val="24"/>
          <w:szCs w:val="24"/>
          <w:rtl w:val="0"/>
        </w:rPr>
        <w:t xml:space="preserve">. Isso implica numa relação com mudanças tecnológicas relativas à produção e ao controle, inclusive financeiro. Essas mudanças têm base em avanços em automação </w:t>
      </w:r>
      <w:hyperlink r:id="rId144">
        <w:r w:rsidDel="00000000" w:rsidR="00000000" w:rsidRPr="00000000">
          <w:rPr>
            <w:rFonts w:ascii="Times New Roman" w:cs="Times New Roman" w:eastAsia="Times New Roman" w:hAnsi="Times New Roman"/>
            <w:sz w:val="24"/>
            <w:szCs w:val="24"/>
            <w:rtl w:val="0"/>
          </w:rPr>
          <w:t xml:space="preserve">(Berger e Engzell, 2022)</w:t>
        </w:r>
      </w:hyperlink>
      <w:r w:rsidDel="00000000" w:rsidR="00000000" w:rsidRPr="00000000">
        <w:rPr>
          <w:rFonts w:ascii="Times New Roman" w:cs="Times New Roman" w:eastAsia="Times New Roman" w:hAnsi="Times New Roman"/>
          <w:sz w:val="24"/>
          <w:szCs w:val="24"/>
          <w:rtl w:val="0"/>
        </w:rPr>
        <w:t xml:space="preserve"> e em tecnologias de comunicação.</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 de um determinismo tecnológico, entretanto, essas mudanças estão ancoradas em decisões conscientes. O uso particular dado a essas tecnologias está associado a um conjunto de estratégias gerenciais voltadas à redução de custos, obtenção de benefícios fiscais e ambientes regulatórios mais flexíveis, crescente financeirização e redução do poder de barganha coletiva dos trabalhadores. Essas mudanças gerenciais se configuram em estratégias de realocação produtiva, terceirização de atividades e adoção de modelos de trabalho novos</w:t>
      </w:r>
      <w:r w:rsidDel="00000000" w:rsidR="00000000" w:rsidRPr="00000000">
        <w:rPr>
          <w:rFonts w:ascii="Times New Roman" w:cs="Times New Roman" w:eastAsia="Times New Roman" w:hAnsi="Times New Roman"/>
          <w:color w:val="ff0000"/>
          <w:sz w:val="24"/>
          <w:szCs w:val="24"/>
          <w:rtl w:val="0"/>
        </w:rPr>
        <w:t xml:space="preserve"> </w:t>
      </w:r>
      <w:hyperlink r:id="rId145">
        <w:r w:rsidDel="00000000" w:rsidR="00000000" w:rsidRPr="00000000">
          <w:rPr>
            <w:rFonts w:ascii="Times New Roman" w:cs="Times New Roman" w:eastAsia="Times New Roman" w:hAnsi="Times New Roman"/>
            <w:sz w:val="24"/>
            <w:szCs w:val="24"/>
            <w:rtl w:val="0"/>
          </w:rPr>
          <w:t xml:space="preserve">(Kollmeyer, 2009, 2018)</w:t>
        </w:r>
      </w:hyperlink>
      <w:r w:rsidDel="00000000" w:rsidR="00000000" w:rsidRPr="00000000">
        <w:rPr>
          <w:rFonts w:ascii="Times New Roman" w:cs="Times New Roman" w:eastAsia="Times New Roman" w:hAnsi="Times New Roman"/>
          <w:sz w:val="24"/>
          <w:szCs w:val="24"/>
          <w:rtl w:val="0"/>
        </w:rPr>
        <w:t xml:space="preserve">, como métodos </w:t>
      </w:r>
      <w:r w:rsidDel="00000000" w:rsidR="00000000" w:rsidRPr="00000000">
        <w:rPr>
          <w:rFonts w:ascii="Times New Roman" w:cs="Times New Roman" w:eastAsia="Times New Roman" w:hAnsi="Times New Roman"/>
          <w:i w:val="1"/>
          <w:iCs w:val="1"/>
          <w:sz w:val="24"/>
          <w:szCs w:val="24"/>
          <w:rtl w:val="0"/>
        </w:rPr>
        <w:t xml:space="preserve">lean</w:t>
      </w:r>
      <w:r w:rsidDel="00000000" w:rsidR="00000000" w:rsidRPr="00000000">
        <w:rPr>
          <w:rFonts w:ascii="Times New Roman" w:cs="Times New Roman" w:eastAsia="Times New Roman" w:hAnsi="Times New Roman"/>
          <w:sz w:val="24"/>
          <w:szCs w:val="24"/>
          <w:rtl w:val="0"/>
        </w:rPr>
        <w:t xml:space="preserve">, produção </w:t>
      </w:r>
      <w:r w:rsidDel="00000000" w:rsidR="00000000" w:rsidRPr="00000000">
        <w:rPr>
          <w:rFonts w:ascii="Times New Roman" w:cs="Times New Roman" w:eastAsia="Times New Roman" w:hAnsi="Times New Roman"/>
          <w:i w:val="1"/>
          <w:iCs w:val="1"/>
          <w:sz w:val="24"/>
          <w:szCs w:val="24"/>
          <w:rtl w:val="0"/>
        </w:rPr>
        <w:t xml:space="preserve">just in time</w:t>
      </w:r>
      <w:r w:rsidDel="00000000" w:rsidR="00000000" w:rsidRPr="00000000">
        <w:rPr>
          <w:rFonts w:ascii="Times New Roman" w:cs="Times New Roman" w:eastAsia="Times New Roman" w:hAnsi="Times New Roman"/>
          <w:sz w:val="24"/>
          <w:szCs w:val="24"/>
          <w:rtl w:val="0"/>
        </w:rPr>
        <w:t xml:space="preserve"> e outras formas de incrementar flexibilização do trabalho e produção.</w:t>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para além de uma discussão sobre redução de custos ou produtividade, há uma discussão sobre a disputa pela captura de valor</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produzido advindo desses ganhos de produtividade. Bluestone e Harrison </w:t>
      </w:r>
      <w:hyperlink r:id="rId146">
        <w:r w:rsidDel="00000000" w:rsidR="00000000" w:rsidRPr="00000000">
          <w:rPr>
            <w:rFonts w:ascii="Times New Roman" w:cs="Times New Roman" w:eastAsia="Times New Roman" w:hAnsi="Times New Roman"/>
            <w:sz w:val="24"/>
            <w:szCs w:val="24"/>
            <w:rtl w:val="0"/>
          </w:rPr>
          <w:t xml:space="preserve">(1982)</w:t>
        </w:r>
      </w:hyperlink>
      <w:r w:rsidDel="00000000" w:rsidR="00000000" w:rsidRPr="00000000">
        <w:rPr>
          <w:rFonts w:ascii="Times New Roman" w:cs="Times New Roman" w:eastAsia="Times New Roman" w:hAnsi="Times New Roman"/>
          <w:sz w:val="24"/>
          <w:szCs w:val="24"/>
          <w:rtl w:val="0"/>
        </w:rPr>
        <w:t xml:space="preserve"> associam esse movimento a uma resposta corporativa à redução de suas taxas de lucro, mas seria mais claro colocá-lo como uma resposta corporativa à captura de valor por parte do trabalho</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Os efeitos dessa disputa sobre o Estado seriam sentidos futuramente com a aplicação de políticas neoliberais </w:t>
      </w:r>
      <w:hyperlink r:id="rId147">
        <w:r w:rsidDel="00000000" w:rsidR="00000000" w:rsidRPr="00000000">
          <w:rPr>
            <w:rFonts w:ascii="Times New Roman" w:cs="Times New Roman" w:eastAsia="Times New Roman" w:hAnsi="Times New Roman"/>
            <w:sz w:val="24"/>
            <w:szCs w:val="24"/>
            <w:rtl w:val="0"/>
          </w:rPr>
          <w:t xml:space="preserve">(Lawson, 2020; Scheiring e King, 2023)</w:t>
        </w:r>
      </w:hyperlink>
      <w:r w:rsidDel="00000000" w:rsidR="00000000" w:rsidRPr="00000000">
        <w:rPr>
          <w:rFonts w:ascii="Times New Roman" w:cs="Times New Roman" w:eastAsia="Times New Roman" w:hAnsi="Times New Roman"/>
          <w:sz w:val="24"/>
          <w:szCs w:val="24"/>
          <w:rtl w:val="0"/>
        </w:rPr>
        <w:t xml:space="preserve">, mas a etapa inicial da disputa pela apropriação do crescente valor produzido se deu na esfera institucional dos mercados de trabalho.</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em função dessa dimensão política que o processo não pode ser visto deslocado da trajetória histórica de cada território. Como enfatizado em Bluestone e Harrison </w:t>
      </w:r>
      <w:hyperlink r:id="rId148">
        <w:r w:rsidDel="00000000" w:rsidR="00000000" w:rsidRPr="00000000">
          <w:rPr>
            <w:rFonts w:ascii="Times New Roman" w:cs="Times New Roman" w:eastAsia="Times New Roman" w:hAnsi="Times New Roman"/>
            <w:sz w:val="24"/>
            <w:szCs w:val="24"/>
            <w:rtl w:val="0"/>
          </w:rPr>
          <w:t xml:space="preserve">(1982)</w:t>
        </w:r>
      </w:hyperlink>
      <w:r w:rsidDel="00000000" w:rsidR="00000000" w:rsidRPr="00000000">
        <w:rPr>
          <w:rFonts w:ascii="Times New Roman" w:cs="Times New Roman" w:eastAsia="Times New Roman" w:hAnsi="Times New Roman"/>
          <w:sz w:val="24"/>
          <w:szCs w:val="24"/>
          <w:rtl w:val="0"/>
        </w:rPr>
        <w:t xml:space="preserve">, mas também presente em </w:t>
      </w:r>
      <w:r w:rsidDel="00000000" w:rsidR="00000000" w:rsidRPr="00000000">
        <w:rPr>
          <w:rFonts w:ascii="Times New Roman" w:cs="Times New Roman" w:eastAsia="Times New Roman" w:hAnsi="Times New Roman"/>
          <w:sz w:val="24"/>
          <w:szCs w:val="24"/>
          <w:rtl w:val="0"/>
        </w:rPr>
        <w:t xml:space="preserve">Nettleingham</w:t>
      </w:r>
      <w:r w:rsidDel="00000000" w:rsidR="00000000" w:rsidRPr="00000000">
        <w:rPr>
          <w:rFonts w:ascii="Times New Roman" w:cs="Times New Roman" w:eastAsia="Times New Roman" w:hAnsi="Times New Roman"/>
          <w:sz w:val="24"/>
          <w:szCs w:val="24"/>
          <w:rtl w:val="0"/>
        </w:rPr>
        <w:t xml:space="preserve"> </w:t>
      </w:r>
      <w:hyperlink r:id="rId149">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rtl w:val="0"/>
        </w:rPr>
        <w:t xml:space="preserve">, Hodson </w:t>
      </w:r>
      <w:hyperlink r:id="rId150">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rtl w:val="0"/>
        </w:rPr>
        <w:t xml:space="preserve"> e Clarke </w:t>
      </w:r>
      <w:hyperlink r:id="rId151">
        <w:r w:rsidDel="00000000" w:rsidR="00000000" w:rsidRPr="00000000">
          <w:rPr>
            <w:rFonts w:ascii="Times New Roman" w:cs="Times New Roman" w:eastAsia="Times New Roman" w:hAnsi="Times New Roman"/>
            <w:sz w:val="24"/>
            <w:szCs w:val="24"/>
            <w:rtl w:val="0"/>
          </w:rPr>
          <w:t xml:space="preserve">(2015)</w:t>
        </w:r>
      </w:hyperlink>
      <w:r w:rsidDel="00000000" w:rsidR="00000000" w:rsidRPr="00000000">
        <w:rPr>
          <w:rFonts w:ascii="Times New Roman" w:cs="Times New Roman" w:eastAsia="Times New Roman" w:hAnsi="Times New Roman"/>
          <w:sz w:val="24"/>
          <w:szCs w:val="24"/>
          <w:rtl w:val="0"/>
        </w:rPr>
        <w:t xml:space="preserve">, decisões conscientes de desinvestimento e desregulação foram gradativamente responsáveis pela perda de competitividade das indústrias nos territórios desindustrializados. Portanto, para além de mera racionalidade econômica, há uma necessidade de compreender essas mudanças como uma transformação desejada advinda da disputa política.</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resumo, para além da transformação tecnológica e da oportunidade de negócios, houve intensa articulação política de forma a tornar a desindustrialização viável e vantajosa. Isso permitiu uma crescente captura do valor produzido nos territórios por uma elite econômica, em detrimento da perda de poder econômico e político do trabalho organizado, assim como de seus efeitos sobre as comunidades locais.</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highlight w:val="white"/>
          <w:rtl w:val="0"/>
        </w:rPr>
        <w:t xml:space="preserve">Essa análise afasta a possibilidade de uma leitura excessivamente determinista do fenômeno, atribuindo-o como quase consequência natural do crescimento da renda </w:t>
      </w:r>
      <w:r w:rsidDel="00000000" w:rsidR="00000000" w:rsidRPr="00000000">
        <w:rPr>
          <w:rFonts w:ascii="Times New Roman" w:cs="Times New Roman" w:eastAsia="Times New Roman" w:hAnsi="Times New Roman"/>
          <w:i w:val="1"/>
          <w:iCs w:val="1"/>
          <w:sz w:val="24"/>
          <w:szCs w:val="24"/>
          <w:highlight w:val="white"/>
          <w:rtl w:val="0"/>
        </w:rPr>
        <w:t xml:space="preserve">per capita</w:t>
      </w:r>
      <w:r w:rsidDel="00000000" w:rsidR="00000000" w:rsidRPr="00000000">
        <w:rPr>
          <w:rFonts w:ascii="Times New Roman" w:cs="Times New Roman" w:eastAsia="Times New Roman" w:hAnsi="Times New Roman"/>
          <w:sz w:val="24"/>
          <w:szCs w:val="24"/>
          <w:highlight w:val="white"/>
          <w:rtl w:val="0"/>
        </w:rPr>
        <w:t xml:space="preserve">. Essa perspectiva foi típica da economia neoclássica por muito tempo e inicialmente foi importada para o repertório sociológico </w:t>
      </w:r>
      <w:hyperlink r:id="rId152">
        <w:r w:rsidDel="00000000" w:rsidR="00000000" w:rsidRPr="00000000">
          <w:rPr>
            <w:rFonts w:ascii="Times New Roman" w:cs="Times New Roman" w:eastAsia="Times New Roman" w:hAnsi="Times New Roman"/>
            <w:sz w:val="24"/>
            <w:szCs w:val="24"/>
            <w:rtl w:val="0"/>
          </w:rPr>
          <w:t xml:space="preserve">(Clark, 1957 e Bell, 1973, apud Kollmeyer, 2009, p. 1655–1645)</w:t>
        </w:r>
      </w:hyperlink>
      <w:r w:rsidDel="00000000" w:rsidR="00000000" w:rsidRPr="00000000">
        <w:rPr>
          <w:rFonts w:ascii="Times New Roman" w:cs="Times New Roman" w:eastAsia="Times New Roman" w:hAnsi="Times New Roman"/>
          <w:sz w:val="24"/>
          <w:szCs w:val="24"/>
          <w:highlight w:val="white"/>
          <w:rtl w:val="0"/>
        </w:rPr>
        <w:t xml:space="preserve">. A própria identificação da ocorrência do fenômeno em graus de renda per capita muito distintos ao longo do tempo </w:t>
      </w:r>
      <w:hyperlink r:id="rId153">
        <w:r w:rsidDel="00000000" w:rsidR="00000000" w:rsidRPr="00000000">
          <w:rPr>
            <w:rFonts w:ascii="Times New Roman" w:cs="Times New Roman" w:eastAsia="Times New Roman" w:hAnsi="Times New Roman"/>
            <w:sz w:val="24"/>
            <w:szCs w:val="24"/>
            <w:rtl w:val="0"/>
          </w:rPr>
          <w:t xml:space="preserve">(Rodrik, 2016)</w:t>
        </w:r>
      </w:hyperlink>
      <w:r w:rsidDel="00000000" w:rsidR="00000000" w:rsidRPr="00000000">
        <w:rPr>
          <w:rFonts w:ascii="Times New Roman" w:cs="Times New Roman" w:eastAsia="Times New Roman" w:hAnsi="Times New Roman"/>
          <w:sz w:val="24"/>
          <w:szCs w:val="24"/>
          <w:highlight w:val="white"/>
          <w:rtl w:val="0"/>
        </w:rPr>
        <w:t xml:space="preserve"> aponta a existência de determinantes tecnológicos, organizacionais e políticos para além da mera “racionalidade econômica”. Prefere-se, então, ler a correlação dos processos de desindustrialização com níveis de renda </w:t>
      </w:r>
      <w:r w:rsidDel="00000000" w:rsidR="00000000" w:rsidRPr="00000000">
        <w:rPr>
          <w:rFonts w:ascii="Times New Roman" w:cs="Times New Roman" w:eastAsia="Times New Roman" w:hAnsi="Times New Roman"/>
          <w:i w:val="1"/>
          <w:iCs w:val="1"/>
          <w:sz w:val="24"/>
          <w:szCs w:val="24"/>
          <w:highlight w:val="white"/>
          <w:rtl w:val="0"/>
        </w:rPr>
        <w:t xml:space="preserve">per capita </w:t>
      </w:r>
      <w:r w:rsidDel="00000000" w:rsidR="00000000" w:rsidRPr="00000000">
        <w:rPr>
          <w:rFonts w:ascii="Times New Roman" w:cs="Times New Roman" w:eastAsia="Times New Roman" w:hAnsi="Times New Roman"/>
          <w:sz w:val="24"/>
          <w:szCs w:val="24"/>
          <w:highlight w:val="white"/>
          <w:rtl w:val="0"/>
        </w:rPr>
        <w:t xml:space="preserve">como uma contingência histórica naquele conjunto de economias nas quais essa mudança social se deu primeiro.</w:t>
      </w: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Além de uma diversidade de causas, há uma diversidade de impactos. Como já dito, o ritmo e temporalidade do processo parecem importar na dimensão e característica de suas consequências sociais. Pode-se destacar os impactos da desindustrialização no volume de empregos e, por consequência, na renda e grau de proteção social desses empregos </w:t>
      </w:r>
      <w:hyperlink r:id="rId154">
        <w:r w:rsidDel="00000000" w:rsidR="00000000" w:rsidRPr="00000000">
          <w:rPr>
            <w:rFonts w:ascii="Times New Roman" w:cs="Times New Roman" w:eastAsia="Times New Roman" w:hAnsi="Times New Roman"/>
            <w:sz w:val="24"/>
            <w:szCs w:val="24"/>
            <w:rtl w:val="0"/>
          </w:rPr>
          <w:t xml:space="preserve">(Beatty e Fothergill, 2020)</w:t>
        </w:r>
      </w:hyperlink>
      <w:r w:rsidDel="00000000" w:rsidR="00000000" w:rsidRPr="00000000">
        <w:rPr>
          <w:rFonts w:ascii="Times New Roman" w:cs="Times New Roman" w:eastAsia="Times New Roman" w:hAnsi="Times New Roman"/>
          <w:sz w:val="24"/>
          <w:szCs w:val="24"/>
          <w:rtl w:val="0"/>
        </w:rPr>
        <w:t xml:space="preserve">, particularmente na medida em que postos de trabalho criados no setor de serviço tendem a enfatizar uma dualização do mercado de trabalho </w:t>
      </w:r>
      <w:hyperlink r:id="rId155">
        <w:r w:rsidDel="00000000" w:rsidR="00000000" w:rsidRPr="00000000">
          <w:rPr>
            <w:rFonts w:ascii="Times New Roman" w:cs="Times New Roman" w:eastAsia="Times New Roman" w:hAnsi="Times New Roman"/>
            <w:sz w:val="24"/>
            <w:szCs w:val="24"/>
            <w:rtl w:val="0"/>
          </w:rPr>
          <w:t xml:space="preserve">(Lee, 2016, p. 84–86)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é central o impacto da desindustrialização no crescimento da desigualdade, especialmente em conjunto com o enfraquecimento de sindicatos e outras organizações de trabalhadores </w:t>
      </w:r>
      <w:hyperlink r:id="rId156">
        <w:r w:rsidDel="00000000" w:rsidR="00000000" w:rsidRPr="00000000">
          <w:rPr>
            <w:rFonts w:ascii="Times New Roman" w:cs="Times New Roman" w:eastAsia="Times New Roman" w:hAnsi="Times New Roman"/>
            <w:sz w:val="24"/>
            <w:szCs w:val="24"/>
            <w:rtl w:val="0"/>
          </w:rPr>
          <w:t xml:space="preserve">(Kollmeyer, 2018)</w:t>
        </w:r>
      </w:hyperlink>
      <w:r w:rsidDel="00000000" w:rsidR="00000000" w:rsidRPr="00000000">
        <w:rPr>
          <w:rFonts w:ascii="Times New Roman" w:cs="Times New Roman" w:eastAsia="Times New Roman" w:hAnsi="Times New Roman"/>
          <w:sz w:val="24"/>
          <w:szCs w:val="24"/>
          <w:rtl w:val="0"/>
        </w:rPr>
        <w:t xml:space="preserve"> e na piora de diversos indicadores relativos ao bem-estar da população, a exemplo da ocorrência de depressão, do suicídio, do uso de drogas e mesmo do aumento de doenças cardíacas </w:t>
      </w:r>
      <w:hyperlink r:id="rId157">
        <w:r w:rsidDel="00000000" w:rsidR="00000000" w:rsidRPr="00000000">
          <w:rPr>
            <w:rFonts w:ascii="Times New Roman" w:cs="Times New Roman" w:eastAsia="Times New Roman" w:hAnsi="Times New Roman"/>
            <w:sz w:val="24"/>
            <w:szCs w:val="24"/>
            <w:rtl w:val="0"/>
          </w:rPr>
          <w:t xml:space="preserve">(Scheiring e King, 2023; Winant, 2019)</w:t>
        </w:r>
      </w:hyperlink>
      <w:r w:rsidDel="00000000" w:rsidR="00000000" w:rsidRPr="00000000">
        <w:rPr>
          <w:rFonts w:ascii="Times New Roman" w:cs="Times New Roman" w:eastAsia="Times New Roman" w:hAnsi="Times New Roman"/>
          <w:sz w:val="24"/>
          <w:szCs w:val="24"/>
          <w:rtl w:val="0"/>
        </w:rPr>
        <w:t xml:space="preserve">. Ademais, a perda de empregos tende a afetar permanentemente a renda e a chance de ocupação de melhores postos de trabalho pelas populações impactadas </w:t>
      </w:r>
      <w:hyperlink r:id="rId158">
        <w:r w:rsidDel="00000000" w:rsidR="00000000" w:rsidRPr="00000000">
          <w:rPr>
            <w:rFonts w:ascii="Times New Roman" w:cs="Times New Roman" w:eastAsia="Times New Roman" w:hAnsi="Times New Roman"/>
            <w:sz w:val="24"/>
            <w:szCs w:val="24"/>
            <w:rtl w:val="0"/>
          </w:rPr>
          <w:t xml:space="preserve">(Berger e Engzell, 2022)</w:t>
        </w:r>
      </w:hyperlink>
      <w:r w:rsidDel="00000000" w:rsidR="00000000" w:rsidRPr="00000000">
        <w:rPr>
          <w:rFonts w:ascii="Times New Roman" w:cs="Times New Roman" w:eastAsia="Times New Roman" w:hAnsi="Times New Roman"/>
          <w:sz w:val="24"/>
          <w:szCs w:val="24"/>
          <w:rtl w:val="0"/>
        </w:rPr>
        <w:t xml:space="preserve">, sendo os efeitos na renda mais fortes quando se observa a troca de ocupação em indústrias tipicamente mais bem remuneradas para outras de remuneração média inferior </w:t>
      </w:r>
      <w:hyperlink r:id="rId159">
        <w:r w:rsidDel="00000000" w:rsidR="00000000" w:rsidRPr="00000000">
          <w:rPr>
            <w:rFonts w:ascii="Times New Roman" w:cs="Times New Roman" w:eastAsia="Times New Roman" w:hAnsi="Times New Roman"/>
            <w:sz w:val="24"/>
            <w:szCs w:val="24"/>
            <w:rtl w:val="0"/>
          </w:rPr>
          <w:t xml:space="preserve">(Bluestone e Harrison, 1982; Clark e Gibbs,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Há, ainda, já citadas consequências relativas à perda de identidades e modos de vida </w:t>
      </w:r>
      <w:hyperlink r:id="rId160">
        <w:r w:rsidDel="00000000" w:rsidR="00000000" w:rsidRPr="00000000">
          <w:rPr>
            <w:rFonts w:ascii="Times New Roman" w:cs="Times New Roman" w:eastAsia="Times New Roman" w:hAnsi="Times New Roman"/>
            <w:sz w:val="24"/>
            <w:szCs w:val="24"/>
            <w:rtl w:val="0"/>
          </w:rPr>
          <w:t xml:space="preserve">(Beatty e Fothergill, 2020; Linkon, 2018; Mah, 2012)</w:t>
        </w:r>
      </w:hyperlink>
      <w:r w:rsidDel="00000000" w:rsidR="00000000" w:rsidRPr="00000000">
        <w:rPr>
          <w:rFonts w:ascii="Times New Roman" w:cs="Times New Roman" w:eastAsia="Times New Roman" w:hAnsi="Times New Roman"/>
          <w:sz w:val="24"/>
          <w:szCs w:val="24"/>
          <w:rtl w:val="0"/>
        </w:rPr>
        <w:t xml:space="preserve">. Outro resultado é a gentrificação e o  apagamento da memória social, relacionados aos projetos de reorientação dos territórios desindustrializados </w:t>
      </w:r>
      <w:hyperlink r:id="rId161">
        <w:r w:rsidDel="00000000" w:rsidR="00000000" w:rsidRPr="00000000">
          <w:rPr>
            <w:rFonts w:ascii="Times New Roman" w:cs="Times New Roman" w:eastAsia="Times New Roman" w:hAnsi="Times New Roman"/>
            <w:sz w:val="24"/>
            <w:szCs w:val="24"/>
            <w:rtl w:val="0"/>
          </w:rPr>
          <w:t xml:space="preserve">(Lewis, 2016)</w:t>
        </w:r>
      </w:hyperlink>
      <w:r w:rsidDel="00000000" w:rsidR="00000000" w:rsidRPr="00000000">
        <w:rPr>
          <w:rFonts w:ascii="Times New Roman" w:cs="Times New Roman" w:eastAsia="Times New Roman" w:hAnsi="Times New Roman"/>
          <w:sz w:val="24"/>
          <w:szCs w:val="24"/>
          <w:rtl w:val="0"/>
        </w:rPr>
        <w:t xml:space="preserve">. Muitos trabalhadores sentem a perda de conexão com suas comunidades e senso de pertencimento aos espaços públicos dos quais historicamente eles foram parte </w:t>
      </w:r>
      <w:hyperlink r:id="rId162">
        <w:r w:rsidDel="00000000" w:rsidR="00000000" w:rsidRPr="00000000">
          <w:rPr>
            <w:rFonts w:ascii="Times New Roman" w:cs="Times New Roman" w:eastAsia="Times New Roman" w:hAnsi="Times New Roman"/>
            <w:sz w:val="24"/>
            <w:szCs w:val="24"/>
            <w:rtl w:val="0"/>
          </w:rPr>
          <w:t xml:space="preserve">(Clarke, 2015; Phillips, 2015)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Quanto ao Estado, são significativos os efeitos da desindustrialização sobre a sua capacidade de arrecadação </w:t>
      </w:r>
      <w:hyperlink r:id="rId163">
        <w:r w:rsidDel="00000000" w:rsidR="00000000" w:rsidRPr="00000000">
          <w:rPr>
            <w:rFonts w:ascii="Times New Roman" w:cs="Times New Roman" w:eastAsia="Times New Roman" w:hAnsi="Times New Roman"/>
            <w:sz w:val="24"/>
            <w:szCs w:val="24"/>
            <w:rtl w:val="0"/>
          </w:rPr>
          <w:t xml:space="preserve">(Highsmith, 2014)</w:t>
        </w:r>
      </w:hyperlink>
      <w:r w:rsidDel="00000000" w:rsidR="00000000" w:rsidRPr="00000000">
        <w:rPr>
          <w:rFonts w:ascii="Times New Roman" w:cs="Times New Roman" w:eastAsia="Times New Roman" w:hAnsi="Times New Roman"/>
          <w:sz w:val="24"/>
          <w:szCs w:val="24"/>
          <w:rtl w:val="0"/>
        </w:rPr>
        <w:t xml:space="preserve"> e no incremento de gastos </w:t>
      </w:r>
      <w:hyperlink r:id="rId164">
        <w:r w:rsidDel="00000000" w:rsidR="00000000" w:rsidRPr="00000000">
          <w:rPr>
            <w:rFonts w:ascii="Times New Roman" w:cs="Times New Roman" w:eastAsia="Times New Roman" w:hAnsi="Times New Roman"/>
            <w:sz w:val="24"/>
            <w:szCs w:val="24"/>
            <w:rtl w:val="0"/>
          </w:rPr>
          <w:t xml:space="preserve">(Beatty e Fothergill, 2020)</w:t>
        </w:r>
      </w:hyperlink>
      <w:r w:rsidDel="00000000" w:rsidR="00000000" w:rsidRPr="00000000">
        <w:rPr>
          <w:rFonts w:ascii="Times New Roman" w:cs="Times New Roman" w:eastAsia="Times New Roman" w:hAnsi="Times New Roman"/>
          <w:sz w:val="24"/>
          <w:szCs w:val="24"/>
          <w:rtl w:val="0"/>
        </w:rPr>
        <w:t xml:space="preserve">. Em particular, projetos de austeridade fiscal são comuns como resposta à pressão econômica e social criada pela desindustrialização </w:t>
      </w:r>
      <w:hyperlink r:id="rId165">
        <w:r w:rsidDel="00000000" w:rsidR="00000000" w:rsidRPr="00000000">
          <w:rPr>
            <w:rFonts w:ascii="Times New Roman" w:cs="Times New Roman" w:eastAsia="Times New Roman" w:hAnsi="Times New Roman"/>
            <w:sz w:val="24"/>
            <w:szCs w:val="24"/>
            <w:rtl w:val="0"/>
          </w:rPr>
          <w:t xml:space="preserve">(Lawson, 2020)</w:t>
        </w:r>
      </w:hyperlink>
      <w:r w:rsidDel="00000000" w:rsidR="00000000" w:rsidRPr="00000000">
        <w:rPr>
          <w:rFonts w:ascii="Times New Roman" w:cs="Times New Roman" w:eastAsia="Times New Roman" w:hAnsi="Times New Roman"/>
          <w:sz w:val="24"/>
          <w:szCs w:val="24"/>
          <w:rtl w:val="0"/>
        </w:rPr>
        <w:t xml:space="preserve">. Para além, há impactos sobre a percepção de populações sobre grupos políticos que podem ser duradouras, em geral sendo enfatizada a capacidade do grupo político no poder de responder ao fenômeno </w:t>
      </w:r>
      <w:hyperlink r:id="rId166">
        <w:r w:rsidDel="00000000" w:rsidR="00000000" w:rsidRPr="00000000">
          <w:rPr>
            <w:rFonts w:ascii="Times New Roman" w:cs="Times New Roman" w:eastAsia="Times New Roman" w:hAnsi="Times New Roman"/>
            <w:sz w:val="24"/>
            <w:szCs w:val="24"/>
            <w:rtl w:val="0"/>
          </w:rPr>
          <w:t xml:space="preserve">(Phillips, Wright e Tomlinson, 2019; Scheiring, 2020)</w:t>
        </w:r>
      </w:hyperlink>
      <w:r w:rsidDel="00000000" w:rsidR="00000000" w:rsidRPr="00000000">
        <w:rPr>
          <w:rFonts w:ascii="Times New Roman" w:cs="Times New Roman" w:eastAsia="Times New Roman" w:hAnsi="Times New Roman"/>
          <w:sz w:val="24"/>
          <w:szCs w:val="24"/>
          <w:rtl w:val="0"/>
        </w:rPr>
        <w:t xml:space="preserve">. Assim, estes processos parecem interagir fortemente com transições políticas, seja como causa ou consequência, e afetam por décadas as forças políticas organizadas em torno dos territórios desindustrializados.</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É possível, ainda, observar como a literatura trabalha a dimensão relacional, que assume duas grandes ênfases: enquanto alguns trabalhos destacam o processo como uma relação direcionada da atividade econômica do setor secundário para o terciário </w:t>
      </w:r>
      <w:hyperlink r:id="rId167">
        <w:r w:rsidDel="00000000" w:rsidR="00000000" w:rsidRPr="00000000">
          <w:rPr>
            <w:rFonts w:ascii="Times New Roman" w:cs="Times New Roman" w:eastAsia="Times New Roman" w:hAnsi="Times New Roman"/>
            <w:sz w:val="24"/>
            <w:szCs w:val="24"/>
            <w:rtl w:val="0"/>
          </w:rPr>
          <w:t xml:space="preserve">(Beatty e Fothergill, 2020; Clark e Gibbs, 2020; Clarke, 2015; Kollmeyer, 2018; Phillips, Wright e Tomlinson, 2019; Tomlinson, 2016, 2020; Winant, 2019)</w:t>
        </w:r>
      </w:hyperlink>
      <w:r w:rsidDel="00000000" w:rsidR="00000000" w:rsidRPr="00000000">
        <w:rPr>
          <w:rFonts w:ascii="Times New Roman" w:cs="Times New Roman" w:eastAsia="Times New Roman" w:hAnsi="Times New Roman"/>
          <w:sz w:val="24"/>
          <w:szCs w:val="24"/>
          <w:rtl w:val="0"/>
        </w:rPr>
        <w:t xml:space="preserve">; outros a enfatizam como uma relação direcionada entre um território dito “desindustrializado” e novos territórios que passam por industrialização </w:t>
      </w:r>
      <w:hyperlink r:id="rId168">
        <w:r w:rsidDel="00000000" w:rsidR="00000000" w:rsidRPr="00000000">
          <w:rPr>
            <w:rFonts w:ascii="Times New Roman" w:cs="Times New Roman" w:eastAsia="Times New Roman" w:hAnsi="Times New Roman"/>
            <w:sz w:val="24"/>
            <w:szCs w:val="24"/>
            <w:rtl w:val="0"/>
          </w:rPr>
          <w:t xml:space="preserve">(Clarke, 2015; Hodson, 2019; Kollmeyer, 2018; Strangleman, 2017; Tomlinson, 2020)</w:t>
        </w:r>
      </w:hyperlink>
      <w:r w:rsidDel="00000000" w:rsidR="00000000" w:rsidRPr="00000000">
        <w:rPr>
          <w:rFonts w:ascii="Times New Roman" w:cs="Times New Roman" w:eastAsia="Times New Roman" w:hAnsi="Times New Roman"/>
          <w:sz w:val="24"/>
          <w:szCs w:val="24"/>
          <w:rtl w:val="0"/>
        </w:rPr>
        <w:t xml:space="preserve">. Nesse cenário é comum um influxo de imigrantes dos antigos territórios aos novos </w:t>
      </w:r>
      <w:hyperlink r:id="rId169">
        <w:r w:rsidDel="00000000" w:rsidR="00000000" w:rsidRPr="00000000">
          <w:rPr>
            <w:rFonts w:ascii="Times New Roman" w:cs="Times New Roman" w:eastAsia="Times New Roman" w:hAnsi="Times New Roman"/>
            <w:sz w:val="24"/>
            <w:szCs w:val="24"/>
            <w:rtl w:val="0"/>
          </w:rPr>
          <w:t xml:space="preserve">(Scheiring e King, 2023; Winant, 2019)</w:t>
        </w:r>
      </w:hyperlink>
      <w:r w:rsidDel="00000000" w:rsidR="00000000" w:rsidRPr="00000000">
        <w:rPr>
          <w:rFonts w:ascii="Times New Roman" w:cs="Times New Roman" w:eastAsia="Times New Roman" w:hAnsi="Times New Roman"/>
          <w:sz w:val="24"/>
          <w:szCs w:val="24"/>
          <w:rtl w:val="0"/>
        </w:rPr>
        <w:t xml:space="preserve">, por vezes em modo pendular </w:t>
      </w:r>
      <w:hyperlink r:id="rId170">
        <w:r w:rsidDel="00000000" w:rsidR="00000000" w:rsidRPr="00000000">
          <w:rPr>
            <w:rFonts w:ascii="Times New Roman" w:cs="Times New Roman" w:eastAsia="Times New Roman" w:hAnsi="Times New Roman"/>
            <w:sz w:val="24"/>
            <w:szCs w:val="24"/>
            <w:rtl w:val="0"/>
          </w:rPr>
          <w:t xml:space="preserve">(Clark e Gibbs, 2020, p. 43)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 na literatura pouco debate sobre as decisões e estratégias dos territórios para onde se deslocam as atividades industriais, em geral tendo sua atuação estratégica reduzida à ideia de oferecer mercados de trabalho com salários mais baixos ou incentivos de ordem fiscal e regulatória </w:t>
      </w:r>
      <w:hyperlink r:id="rId171">
        <w:r w:rsidDel="00000000" w:rsidR="00000000" w:rsidRPr="00000000">
          <w:rPr>
            <w:rFonts w:ascii="Times New Roman" w:cs="Times New Roman" w:eastAsia="Times New Roman" w:hAnsi="Times New Roman"/>
            <w:sz w:val="24"/>
            <w:szCs w:val="24"/>
            <w:rtl w:val="0"/>
          </w:rPr>
          <w:t xml:space="preserve">(Strangleman, 2017, p. 474)</w:t>
        </w:r>
      </w:hyperlink>
      <w:r w:rsidDel="00000000" w:rsidR="00000000" w:rsidRPr="00000000">
        <w:rPr>
          <w:rFonts w:ascii="Times New Roman" w:cs="Times New Roman" w:eastAsia="Times New Roman" w:hAnsi="Times New Roman"/>
          <w:sz w:val="24"/>
          <w:szCs w:val="24"/>
          <w:rtl w:val="0"/>
        </w:rPr>
        <w:t xml:space="preserve">. Isso destoa de achados da sociologia econômica sobre como a construção social de novos territórios é mais complexa e planejada do que aparenta, exigindo arranjos sociopolíticos particulares </w:t>
      </w:r>
      <w:hyperlink r:id="rId172">
        <w:r w:rsidDel="00000000" w:rsidR="00000000" w:rsidRPr="00000000">
          <w:rPr>
            <w:rFonts w:ascii="Times New Roman" w:cs="Times New Roman" w:eastAsia="Times New Roman" w:hAnsi="Times New Roman"/>
            <w:sz w:val="24"/>
            <w:szCs w:val="24"/>
            <w:rtl w:val="0"/>
          </w:rPr>
          <w:t xml:space="preserve">(Santos, 2007)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baixa complexidade parece se refletir numa leitura relativamente rasa da relação entre instituições e desindustrialização. Estados nacionais são considerados importantes agentes, impactando ritmo e efeitos sociais, especialmente via uso de mecanismos de seguridade social </w:t>
      </w:r>
      <w:hyperlink r:id="rId173">
        <w:r w:rsidDel="00000000" w:rsidR="00000000" w:rsidRPr="00000000">
          <w:rPr>
            <w:rFonts w:ascii="Times New Roman" w:cs="Times New Roman" w:eastAsia="Times New Roman" w:hAnsi="Times New Roman"/>
            <w:sz w:val="24"/>
            <w:szCs w:val="24"/>
            <w:rtl w:val="0"/>
          </w:rPr>
          <w:t xml:space="preserve">(Tomlinson, 2016)</w:t>
        </w:r>
      </w:hyperlink>
      <w:r w:rsidDel="00000000" w:rsidR="00000000" w:rsidRPr="00000000">
        <w:rPr>
          <w:rFonts w:ascii="Times New Roman" w:cs="Times New Roman" w:eastAsia="Times New Roman" w:hAnsi="Times New Roman"/>
          <w:sz w:val="24"/>
          <w:szCs w:val="24"/>
          <w:rtl w:val="0"/>
        </w:rPr>
        <w:t xml:space="preserve">, proteção do emprego </w:t>
      </w:r>
      <w:hyperlink r:id="rId174">
        <w:r w:rsidDel="00000000" w:rsidR="00000000" w:rsidRPr="00000000">
          <w:rPr>
            <w:rFonts w:ascii="Times New Roman" w:cs="Times New Roman" w:eastAsia="Times New Roman" w:hAnsi="Times New Roman"/>
            <w:sz w:val="24"/>
            <w:szCs w:val="24"/>
            <w:rtl w:val="0"/>
          </w:rPr>
          <w:t xml:space="preserve">(Phillips, 2015; Phillips, Wright e Tomlinson, 2019)</w:t>
        </w:r>
      </w:hyperlink>
      <w:r w:rsidDel="00000000" w:rsidR="00000000" w:rsidRPr="00000000">
        <w:rPr>
          <w:rFonts w:ascii="Times New Roman" w:cs="Times New Roman" w:eastAsia="Times New Roman" w:hAnsi="Times New Roman"/>
          <w:sz w:val="24"/>
          <w:szCs w:val="24"/>
          <w:rtl w:val="0"/>
        </w:rPr>
        <w:t xml:space="preserve"> e via liderança em projetos de reestruturação econômica </w:t>
      </w:r>
      <w:hyperlink r:id="rId175">
        <w:r w:rsidDel="00000000" w:rsidR="00000000" w:rsidRPr="00000000">
          <w:rPr>
            <w:rFonts w:ascii="Times New Roman" w:cs="Times New Roman" w:eastAsia="Times New Roman" w:hAnsi="Times New Roman"/>
            <w:sz w:val="24"/>
            <w:szCs w:val="24"/>
            <w:rtl w:val="0"/>
          </w:rPr>
          <w:t xml:space="preserve">(Berger, Wicke e Golombek, 2017)</w:t>
        </w:r>
      </w:hyperlink>
      <w:r w:rsidDel="00000000" w:rsidR="00000000" w:rsidRPr="00000000">
        <w:rPr>
          <w:rFonts w:ascii="Times New Roman" w:cs="Times New Roman" w:eastAsia="Times New Roman" w:hAnsi="Times New Roman"/>
          <w:sz w:val="24"/>
          <w:szCs w:val="24"/>
          <w:rtl w:val="0"/>
        </w:rPr>
        <w:t xml:space="preserve">. Entretanto, na maior parte dos trabalhos são considerados monolíticos e não como conjunto de organizações ou instituições com conflitos internos. Atores ligados ao Estado aparecem apenas enquanto governos alternantes no nível do executivo federal ou governos locais enquanto articuladores dos projetos de reestruturação econômica, mas com pouca atenção ao papel das burocracias estatais, empresas estatais, legislativo ou judiciário.</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a sociedade civil destaca-se a participação e influência de organizações ligadas à ação coletiva de trabalhadores, particularmente sindicatos </w:t>
      </w:r>
      <w:hyperlink r:id="rId176">
        <w:r w:rsidDel="00000000" w:rsidR="00000000" w:rsidRPr="00000000">
          <w:rPr>
            <w:rFonts w:ascii="Times New Roman" w:cs="Times New Roman" w:eastAsia="Times New Roman" w:hAnsi="Times New Roman"/>
            <w:sz w:val="24"/>
            <w:szCs w:val="24"/>
            <w:rtl w:val="0"/>
          </w:rPr>
          <w:t xml:space="preserve">(Hodson, 2019; Kollmeyer, 2018; Phillips, 2015; Phillips, Wright e Tomlinson, 2019)</w:t>
        </w:r>
      </w:hyperlink>
      <w:r w:rsidDel="00000000" w:rsidR="00000000" w:rsidRPr="00000000">
        <w:rPr>
          <w:rFonts w:ascii="Times New Roman" w:cs="Times New Roman" w:eastAsia="Times New Roman" w:hAnsi="Times New Roman"/>
          <w:sz w:val="24"/>
          <w:szCs w:val="24"/>
          <w:rtl w:val="0"/>
        </w:rPr>
        <w:t xml:space="preserve">, vistos como capazes de, em parte, frear, estabelecer condições melhores ou reduzir os impactos sobre as populações locais da perda de empregos industriais. Outro conjunto de instituições relevantes são organizações de moradores de certos territórios </w:t>
      </w:r>
      <w:hyperlink r:id="rId177">
        <w:r w:rsidDel="00000000" w:rsidR="00000000" w:rsidRPr="00000000">
          <w:rPr>
            <w:rFonts w:ascii="Times New Roman" w:cs="Times New Roman" w:eastAsia="Times New Roman" w:hAnsi="Times New Roman"/>
            <w:sz w:val="24"/>
            <w:szCs w:val="24"/>
            <w:rtl w:val="0"/>
          </w:rPr>
          <w:t xml:space="preserve">(Nettleingham, 2019)</w:t>
        </w:r>
      </w:hyperlink>
      <w:r w:rsidDel="00000000" w:rsidR="00000000" w:rsidRPr="00000000">
        <w:rPr>
          <w:rFonts w:ascii="Times New Roman" w:cs="Times New Roman" w:eastAsia="Times New Roman" w:hAnsi="Times New Roman"/>
          <w:sz w:val="24"/>
          <w:szCs w:val="24"/>
          <w:rtl w:val="0"/>
        </w:rPr>
        <w:t xml:space="preserve">, que são particularmente atuantes na gestão do território desindustrializado e que buscam influenciar as estratégias voltadas a reorientar o papel econômico dos territórios </w:t>
      </w:r>
      <w:hyperlink r:id="rId178">
        <w:r w:rsidDel="00000000" w:rsidR="00000000" w:rsidRPr="00000000">
          <w:rPr>
            <w:rFonts w:ascii="Times New Roman" w:cs="Times New Roman" w:eastAsia="Times New Roman" w:hAnsi="Times New Roman"/>
            <w:sz w:val="24"/>
            <w:szCs w:val="24"/>
            <w:rtl w:val="0"/>
          </w:rPr>
          <w:t xml:space="preserve">(Hodson, 2019; Lewis,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instituições de caráter econômico, em especial as empresas, são colocadas como os elementos mais relevantes para o processo de desindustrialização, sendo ele resultante primariamente de suas decisões </w:t>
      </w:r>
      <w:hyperlink r:id="rId179">
        <w:r w:rsidDel="00000000" w:rsidR="00000000" w:rsidRPr="00000000">
          <w:rPr>
            <w:rFonts w:ascii="Times New Roman" w:cs="Times New Roman" w:eastAsia="Times New Roman" w:hAnsi="Times New Roman"/>
            <w:sz w:val="24"/>
            <w:szCs w:val="24"/>
            <w:rtl w:val="0"/>
          </w:rPr>
          <w:t xml:space="preserve">(Clarke, 2015; Kollmeyer, 2018)</w:t>
        </w:r>
      </w:hyperlink>
      <w:r w:rsidDel="00000000" w:rsidR="00000000" w:rsidRPr="00000000">
        <w:rPr>
          <w:rFonts w:ascii="Times New Roman" w:cs="Times New Roman" w:eastAsia="Times New Roman" w:hAnsi="Times New Roman"/>
          <w:sz w:val="24"/>
          <w:szCs w:val="24"/>
          <w:rtl w:val="0"/>
        </w:rPr>
        <w:t xml:space="preserve">. Entretanto, apesar do enorme peso associado às suas decisões, análises compreensivas sobre elas são quase ausentes na literatura. Toma-se como premissa a ação racional e orientada a interesses de acumulação por parte de empresas cujas decisões seriam quase “inevitáveis” nessa perspectiva. Entretanto, algumas evidências sugerem que essa relação não é tão simples. Alguns artigos apontam como a relação entre empresas e territórios é mais complexa </w:t>
      </w:r>
      <w:hyperlink r:id="rId180">
        <w:r w:rsidDel="00000000" w:rsidR="00000000" w:rsidRPr="00000000">
          <w:rPr>
            <w:rFonts w:ascii="Times New Roman" w:cs="Times New Roman" w:eastAsia="Times New Roman" w:hAnsi="Times New Roman"/>
            <w:sz w:val="24"/>
            <w:szCs w:val="24"/>
            <w:rtl w:val="0"/>
          </w:rPr>
          <w:t xml:space="preserve">(Highsmith, 2014)</w:t>
        </w:r>
      </w:hyperlink>
      <w:r w:rsidDel="00000000" w:rsidR="00000000" w:rsidRPr="00000000">
        <w:rPr>
          <w:rFonts w:ascii="Times New Roman" w:cs="Times New Roman" w:eastAsia="Times New Roman" w:hAnsi="Times New Roman"/>
          <w:sz w:val="24"/>
          <w:szCs w:val="24"/>
          <w:rtl w:val="0"/>
        </w:rPr>
        <w:t xml:space="preserve"> e que a decisão de desinvestimento está também ligada a disputas nas economias políticas dos países </w:t>
      </w:r>
      <w:hyperlink r:id="rId181">
        <w:r w:rsidDel="00000000" w:rsidR="00000000" w:rsidRPr="00000000">
          <w:rPr>
            <w:rFonts w:ascii="Times New Roman" w:cs="Times New Roman" w:eastAsia="Times New Roman" w:hAnsi="Times New Roman"/>
            <w:sz w:val="24"/>
            <w:szCs w:val="24"/>
            <w:rtl w:val="0"/>
          </w:rPr>
          <w:t xml:space="preserve">(Bluestone e Harrison, 1982)</w:t>
        </w:r>
      </w:hyperlink>
      <w:r w:rsidDel="00000000" w:rsidR="00000000" w:rsidRPr="00000000">
        <w:rPr>
          <w:rFonts w:ascii="Times New Roman" w:cs="Times New Roman" w:eastAsia="Times New Roman" w:hAnsi="Times New Roman"/>
          <w:sz w:val="24"/>
          <w:szCs w:val="24"/>
          <w:rtl w:val="0"/>
        </w:rPr>
        <w:t xml:space="preserve">. Assim, parece precoce naturalizar as decisões de desinvestimento e realocação produtiva como a única resposta racional ao contexto apresentado. Assim, outra lacuna diz respeito à escassez de análises acerca das perspectivas de empresas, elites econômicas ou trabalhadores em atividade gerencial.</w:t>
      </w:r>
    </w:p>
    <w:p w:rsidR="00000000" w:rsidDel="00000000" w:rsidP="00000000" w:rsidRDefault="00000000" w:rsidRPr="00000000" w14:paraId="00000094">
      <w:pPr>
        <w:spacing w:before="400" w:line="360" w:lineRule="auto"/>
        <w:jc w:val="both"/>
        <w:rPr/>
      </w:pPr>
      <w:r w:rsidDel="00000000" w:rsidR="00000000" w:rsidRPr="00000000">
        <w:rPr>
          <w:rtl w:val="0"/>
        </w:rPr>
        <w:t xml:space="preserve">5. Discussão e conclusões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discussões acima exemplificam como a desindustrialização não possui uma definição consensual. Antes, possui características gerais associadas às suas manifestações empíricas, mas estas não necessariamente são amarradas em uma definição teórica coerente. Isso torna possível autores divergirem até mesmo sobre a existência do fenômeno em um dado caso.</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não há consenso claro sobre o conceito, a maior parte da literatura examinada compartilha de uma preocupação com a discussão dessa mudança social do ponto de vista dos atores que o vivenciam mais diretamente, particularmente daqueles entendidos como membros da classe trabalhadora industrial, suas famílias e comunidades. São, portanto, tratados como observadores privilegiados.</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discussões de nível analítico macro são deixadas em segundo plano, talvez com exceção dos trabalhos utilizando análise documental ou estatística. Isso gera uma lacuna da compreensão sociológica a respeito do envolvimento de Estado e empresas nas transformações. Assume-se muito facilmente uma perspectiva baseada na escolha racional para os atores econômicos, a qual Highsmith </w:t>
      </w:r>
      <w:hyperlink r:id="rId182">
        <w:r w:rsidDel="00000000" w:rsidR="00000000" w:rsidRPr="00000000">
          <w:rPr>
            <w:rFonts w:ascii="Times New Roman" w:cs="Times New Roman" w:eastAsia="Times New Roman" w:hAnsi="Times New Roman"/>
            <w:sz w:val="24"/>
            <w:szCs w:val="24"/>
            <w:rtl w:val="0"/>
          </w:rPr>
          <w:t xml:space="preserve">(2014)</w:t>
        </w:r>
      </w:hyperlink>
      <w:r w:rsidDel="00000000" w:rsidR="00000000" w:rsidRPr="00000000">
        <w:rPr>
          <w:rFonts w:ascii="Times New Roman" w:cs="Times New Roman" w:eastAsia="Times New Roman" w:hAnsi="Times New Roman"/>
          <w:sz w:val="24"/>
          <w:szCs w:val="24"/>
          <w:rtl w:val="0"/>
        </w:rPr>
        <w:t xml:space="preserve"> mostra não ser suficiente para compreender a formação das decisões de relocação produtiva ou fechamento de fábricas.</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acaba relegada ao segundo plano a discussão do poder e seu papel na conformação do processo de desindustrialização, sendo as formas de resistência dos trabalhadores quase sempre entendidas como insuficientes para alterar significativamente o curso dessa transformação </w:t>
      </w:r>
      <w:hyperlink r:id="rId183">
        <w:r w:rsidDel="00000000" w:rsidR="00000000" w:rsidRPr="00000000">
          <w:rPr>
            <w:rFonts w:ascii="Times New Roman" w:cs="Times New Roman" w:eastAsia="Times New Roman" w:hAnsi="Times New Roman"/>
            <w:sz w:val="24"/>
            <w:szCs w:val="24"/>
            <w:rtl w:val="0"/>
          </w:rPr>
          <w:t xml:space="preserve">(High, 2022)</w:t>
        </w:r>
      </w:hyperlink>
      <w:r w:rsidDel="00000000" w:rsidR="00000000" w:rsidRPr="00000000">
        <w:rPr>
          <w:rFonts w:ascii="Times New Roman" w:cs="Times New Roman" w:eastAsia="Times New Roman" w:hAnsi="Times New Roman"/>
          <w:sz w:val="24"/>
          <w:szCs w:val="24"/>
          <w:rtl w:val="0"/>
        </w:rPr>
        <w:t xml:space="preserve">. Com poucas exceções, como Berger, Wicke e Golombek </w:t>
      </w:r>
      <w:hyperlink r:id="rId184">
        <w:r w:rsidDel="00000000" w:rsidR="00000000" w:rsidRPr="00000000">
          <w:rPr>
            <w:rFonts w:ascii="Times New Roman" w:cs="Times New Roman" w:eastAsia="Times New Roman" w:hAnsi="Times New Roman"/>
            <w:sz w:val="24"/>
            <w:szCs w:val="24"/>
            <w:rtl w:val="0"/>
          </w:rPr>
          <w:t xml:space="preserve">(2017)</w:t>
        </w:r>
      </w:hyperlink>
      <w:r w:rsidDel="00000000" w:rsidR="00000000" w:rsidRPr="00000000">
        <w:rPr>
          <w:rFonts w:ascii="Times New Roman" w:cs="Times New Roman" w:eastAsia="Times New Roman" w:hAnsi="Times New Roman"/>
          <w:sz w:val="24"/>
          <w:szCs w:val="24"/>
          <w:rtl w:val="0"/>
        </w:rPr>
        <w:t xml:space="preserve">, há pouca preocupação sobre a inter-relação entre movimentos de trabalhadores e comunidades e sua capacidade efetiva de influenciar os destinos dos territórios. Dada, também, a pouca frequência de trabalhos centrados no Estado ou empresas, o poder acaba sendo uma categoria pouco problematizada. As transformações impõem-se sobre as comunidades as quais apenas reagem a elas, sem discussão dos interesses e estratégias orientadores das decisões dos atores organizacionais envolvidos.</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Apontar esse viés não implica defender uma perspectiva elitista ou um foco excessivo em instituições formais. Antes disso, é justamente a compreensão tanto do Estado quanto das elites econômicas enquanto grupos de atores complexos, contraditórios e socialmente enraizados que permite tornar estes acessíveis à ação coletiva da sociedade civil. Se Estado e empresas não forem vistas em sua realidade, compreendidos em suas formas de articulação e uso do poder, nunca será claro as maneiras como as populações afetadas são capazes de reagir.</w:t>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quadro dialoga com análises como a de High </w:t>
      </w:r>
      <w:hyperlink r:id="rId185">
        <w:r w:rsidDel="00000000" w:rsidR="00000000" w:rsidRPr="00000000">
          <w:rPr>
            <w:rFonts w:ascii="Times New Roman" w:cs="Times New Roman" w:eastAsia="Times New Roman" w:hAnsi="Times New Roman"/>
            <w:sz w:val="24"/>
            <w:szCs w:val="24"/>
            <w:rtl w:val="0"/>
          </w:rPr>
          <w:t xml:space="preserve">(2022)</w:t>
        </w:r>
      </w:hyperlink>
      <w:r w:rsidDel="00000000" w:rsidR="00000000" w:rsidRPr="00000000">
        <w:rPr>
          <w:rFonts w:ascii="Times New Roman" w:cs="Times New Roman" w:eastAsia="Times New Roman" w:hAnsi="Times New Roman"/>
          <w:sz w:val="24"/>
          <w:szCs w:val="24"/>
          <w:rtl w:val="0"/>
        </w:rPr>
        <w:t xml:space="preserve">, que reflete sobre a ação de trabalhadores ser muitas vezes “infrutífera”. Especialmente diante de uma perspectiva que deseja enfatizar as contradições dessa transformação com esforços de neo ou re-industrialização, como no caso brasileiro, é preciso tornar Estado e empresas analiticamente “vulneráveis” aos contextos sociais. Isso permite, por exemplo, ver como mudanças econômicas se refletem em novos arranjos e aprendizados institucionais operando nos territórios </w:t>
      </w:r>
      <w:hyperlink r:id="rId186">
        <w:r w:rsidDel="00000000" w:rsidR="00000000" w:rsidRPr="00000000">
          <w:rPr>
            <w:rFonts w:ascii="Times New Roman" w:cs="Times New Roman" w:eastAsia="Times New Roman" w:hAnsi="Times New Roman"/>
            <w:sz w:val="24"/>
            <w:szCs w:val="24"/>
            <w:rtl w:val="0"/>
          </w:rPr>
          <w:t xml:space="preserve">(Ramalho,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Carece, portanto, de uma discussão mais aprofundada sobre como a ação social desses atores coletivos dotados de uma dimensão de poder, Estado e empresas em particular, é afetada pelas instituições nacionais e regionais. A ausência dessa discussão é não compreender parte importante do argumento de Bluestone e Harrison </w:t>
      </w:r>
      <w:hyperlink r:id="rId187">
        <w:r w:rsidDel="00000000" w:rsidR="00000000" w:rsidRPr="00000000">
          <w:rPr>
            <w:rFonts w:ascii="Times New Roman" w:cs="Times New Roman" w:eastAsia="Times New Roman" w:hAnsi="Times New Roman"/>
            <w:sz w:val="24"/>
            <w:szCs w:val="24"/>
            <w:rtl w:val="0"/>
          </w:rPr>
          <w:t xml:space="preserve">(1982, p. 15)</w:t>
        </w:r>
      </w:hyperlink>
      <w:r w:rsidDel="00000000" w:rsidR="00000000" w:rsidRPr="00000000">
        <w:rPr>
          <w:rFonts w:ascii="Times New Roman" w:cs="Times New Roman" w:eastAsia="Times New Roman" w:hAnsi="Times New Roman"/>
          <w:sz w:val="24"/>
          <w:szCs w:val="24"/>
          <w:rtl w:val="0"/>
        </w:rPr>
        <w:t xml:space="preserve"> de que “desindustrialização não apenas acontece”</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Isso implica discutir as estratégias de acumulação das organizações econômicas e a ação do Estado na forma de suas políticas públicas e organização burocrática.</w:t>
      </w:r>
    </w:p>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a bibliografia analisada permite uma boa leitura para os casos das nações do Norte Atlântico, não é tão capaz de lidar por completo com a realidade do fenômeno em territórios com trajetórias históricas distintas, como o Brasil. Quando o processo de desindustrialização ocorre simultaneamente com industrialização tardia, </w:t>
      </w:r>
      <w:r w:rsidDel="00000000" w:rsidR="00000000" w:rsidRPr="00000000">
        <w:rPr>
          <w:rFonts w:ascii="Times New Roman" w:cs="Times New Roman" w:eastAsia="Times New Roman" w:hAnsi="Times New Roman"/>
          <w:i w:val="1"/>
          <w:iCs w:val="1"/>
          <w:sz w:val="24"/>
          <w:szCs w:val="24"/>
          <w:rtl w:val="0"/>
        </w:rPr>
        <w:t xml:space="preserve">neo</w:t>
      </w:r>
      <w:r w:rsidDel="00000000" w:rsidR="00000000" w:rsidRPr="00000000">
        <w:rPr>
          <w:rFonts w:ascii="Times New Roman" w:cs="Times New Roman" w:eastAsia="Times New Roman" w:hAnsi="Times New Roman"/>
          <w:sz w:val="24"/>
          <w:szCs w:val="24"/>
          <w:rtl w:val="0"/>
        </w:rPr>
        <w:t xml:space="preserve"> ou re-industrialização ou em comunidades nas quais nunca a era industrial não teve o mesmo impacto, as perspectivas teóricas oriundas de como esse processo é vivido nas nações onde ele primeiro se evidenciou não apresentam o mesmo potencial explicativo. Dito de outra maneira, a realidade é mais heterogênea do que uma leitura situada na Europa Ocidental e América do Norte é capaz de dar conta.</w:t>
      </w:r>
    </w:p>
    <w:p w:rsidR="00000000" w:rsidDel="00000000" w:rsidP="00000000" w:rsidRDefault="00000000" w:rsidRPr="00000000" w14:paraId="0000009D">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É importante também salientar as lacunas e limitações desse próprio texto. Primeiramente, é necessário ampliar de maneira sistemática o escopo da análise para abarcar melhor trabalhos recentes das áreas de economia, geografia e ciência política. Em segundo lugar, é preciso utilizar critérios não sistemáticos para incluir na discussão mais trabalhos a respeito dos casos fora do eixo Norte Atlântico – com ênfase no Brasil. Por fim, a falta de discussões mais aprofundadas sobre o impacto da desindustrialização nas relações de gênero e raça, além de maior reflexão sobre sua dimensão ambiental, são limitações deste balanço. Essas lacunas apontam a necessidade de continuar, aprofundar e complementar as discussões aqui presentes em trabalhos futuros.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spacing w:line="360" w:lineRule="auto"/>
        <w:jc w:val="both"/>
        <w:rPr/>
      </w:pPr>
      <w:bookmarkStart w:colFirst="0" w:colLast="0" w:name="_xy8cw0zbugd7" w:id="3"/>
      <w:bookmarkEnd w:id="3"/>
      <w:r w:rsidDel="00000000" w:rsidR="00000000" w:rsidRPr="00000000">
        <w:rPr>
          <w:rtl w:val="0"/>
        </w:rPr>
        <w:t xml:space="preserve">Desindustrialização no Brasil</w:t>
      </w:r>
    </w:p>
    <w:p w:rsidR="00000000" w:rsidDel="00000000" w:rsidP="00000000" w:rsidRDefault="00000000" w:rsidRPr="00000000" w14:paraId="000000A0">
      <w:pPr>
        <w:spacing w:line="240" w:lineRule="auto"/>
        <w:jc w:val="both"/>
        <w:rPr/>
      </w:pPr>
      <w:r w:rsidDel="00000000" w:rsidR="00000000" w:rsidRPr="00000000">
        <w:rPr>
          <w:rtl w:val="0"/>
        </w:rPr>
        <w:t xml:space="preserve">Desafios da reindustrialização brasileira</w:t>
      </w:r>
    </w:p>
    <w:p w:rsidR="00000000" w:rsidDel="00000000" w:rsidP="00000000" w:rsidRDefault="00000000" w:rsidRPr="00000000" w14:paraId="000000A1">
      <w:pPr>
        <w:rPr/>
      </w:pPr>
      <w:r w:rsidDel="00000000" w:rsidR="00000000" w:rsidRPr="00000000">
        <w:rPr>
          <w:rtl w:val="0"/>
        </w:rPr>
        <w:t xml:space="preserve">Leonardo Nogueira Aucar - doutorando em Sociologia no PPGSA/UFRJ</w:t>
      </w:r>
    </w:p>
    <w:p w:rsidR="00000000" w:rsidDel="00000000" w:rsidP="00000000" w:rsidRDefault="00000000" w:rsidRPr="00000000" w14:paraId="000000A2">
      <w:pPr>
        <w:rPr/>
      </w:pPr>
      <w:r w:rsidDel="00000000" w:rsidR="00000000" w:rsidRPr="00000000">
        <w:rPr>
          <w:highlight w:val="white"/>
          <w:rtl w:val="0"/>
        </w:rPr>
        <w:t xml:space="preserve">Currículo reduzido: Doutorando em sociologia pelo programa de pós-graduação em sociologia e antropologia (PPGSA) da UFRJ e pesquisador do grupo Desenvolvimento, Ambiente e Trabalho (DTA). Estuda processos de desindustrialização em perspectiva histórica-comparada. Suas principais áreas de atuação são a sociologia histórica e a sociologia econômica. Possui graduação em Comunicação Social pela PUC-Rio (2015) e mestrado em sociologia pela UFRJ (2022).</w:t>
      </w: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b w:val="1"/>
          <w:bCs w:val="1"/>
          <w:rtl w:val="0"/>
        </w:rPr>
        <w:t xml:space="preserve">Resumo:</w:t>
      </w:r>
      <w:r w:rsidDel="00000000" w:rsidR="00000000" w:rsidRPr="00000000">
        <w:rPr>
          <w:rtl w:val="0"/>
        </w:rPr>
        <w:t xml:space="preserve"> esse texto discute os desafios às tentativas de reindustrialização no Brasil atual, como a crescente intensidade de capital da atividade industrial e a subsequente redução de sua capacidade de geração de empregos. Discute o processo histórico de desindustrialização pelo qual o país passa desde os anos 1980 e como tais transformações afetam à articulação de políticas para o desenvolvimento econômico  centradas na indústria. Debate também novos argumentos em favor de projetos de reindustrialização, elaborados no contexto institucional da nova política industrial brasileira, como: a questão do emprego “de qualidade”, do incremento da capacidade de crescimento econômico, de sua sustentabilidade ambiental e da autonomia nacional em setores estratégicos. Por fim, é discutida a afinidade do projeto de reindustrialização com novas demandas sociais, em especial aquelas ligadas à redução da jornada de trabalho.</w:t>
      </w:r>
    </w:p>
    <w:p w:rsidR="00000000" w:rsidDel="00000000" w:rsidP="00000000" w:rsidRDefault="00000000" w:rsidRPr="00000000" w14:paraId="000000A5">
      <w:pPr>
        <w:spacing w:line="240" w:lineRule="auto"/>
        <w:jc w:val="both"/>
        <w:rPr/>
      </w:pPr>
      <w:r w:rsidDel="00000000" w:rsidR="00000000" w:rsidRPr="00000000">
        <w:rPr>
          <w:rtl w:val="0"/>
        </w:rPr>
      </w:r>
    </w:p>
    <w:p w:rsidR="00000000" w:rsidDel="00000000" w:rsidP="00000000" w:rsidRDefault="00000000" w:rsidRPr="00000000" w14:paraId="000000A6">
      <w:pPr>
        <w:spacing w:line="240" w:lineRule="auto"/>
        <w:jc w:val="both"/>
        <w:rPr/>
      </w:pPr>
      <w:r w:rsidDel="00000000" w:rsidR="00000000" w:rsidRPr="00000000">
        <w:rPr>
          <w:b w:val="1"/>
          <w:bCs w:val="1"/>
          <w:rtl w:val="0"/>
        </w:rPr>
        <w:t xml:space="preserve">Palavras-chave:</w:t>
      </w:r>
      <w:r w:rsidDel="00000000" w:rsidR="00000000" w:rsidRPr="00000000">
        <w:rPr>
          <w:rtl w:val="0"/>
        </w:rPr>
        <w:t xml:space="preserve"> industrialização, desindustrialização, nova indústria brasil, política industrial, desenvolvimento econômico</w:t>
      </w:r>
    </w:p>
    <w:p w:rsidR="00000000" w:rsidDel="00000000" w:rsidP="00000000" w:rsidRDefault="00000000" w:rsidRPr="00000000" w14:paraId="000000A7">
      <w:pPr>
        <w:spacing w:line="240" w:lineRule="auto"/>
        <w:jc w:val="both"/>
        <w:rPr/>
      </w:pPr>
      <w:r w:rsidDel="00000000" w:rsidR="00000000" w:rsidRPr="00000000">
        <w:rPr>
          <w:rtl w:val="0"/>
        </w:rPr>
        <w:t xml:space="preserve">Introdução: breve contexto da desindustrialização brasileira</w:t>
      </w:r>
    </w:p>
    <w:p w:rsidR="00000000" w:rsidDel="00000000" w:rsidP="00000000" w:rsidRDefault="00000000" w:rsidRPr="00000000" w14:paraId="000000A8">
      <w:pPr>
        <w:spacing w:line="240" w:lineRule="auto"/>
        <w:ind w:firstLine="720"/>
        <w:jc w:val="both"/>
        <w:rPr/>
      </w:pPr>
      <w:r w:rsidDel="00000000" w:rsidR="00000000" w:rsidRPr="00000000">
        <w:rPr>
          <w:rtl w:val="0"/>
        </w:rPr>
        <w:t xml:space="preserve">Os processos de desindustrialização se tornaram frequentes a partir da segunda metade do século XX </w:t>
      </w:r>
      <w:r w:rsidDel="00000000" w:rsidR="00000000" w:rsidRPr="00000000">
        <w:rPr>
          <w:rtl w:val="0"/>
        </w:rPr>
        <w:t xml:space="preserve">(Emery, 2019; High, 2013; Lawson, 2020; Strangleman, Rhodes e Linkon, 2013)</w:t>
      </w:r>
      <w:r w:rsidDel="00000000" w:rsidR="00000000" w:rsidRPr="00000000">
        <w:rPr>
          <w:rtl w:val="0"/>
        </w:rPr>
        <w:t xml:space="preserve">. Estes podem ser mensurados pela redução da participação do setor industrial, em especial da manufatura, nos Produtos Internos Brutos (PIBs) dos países e em seu estoque de empregos </w:t>
      </w:r>
      <w:r w:rsidDel="00000000" w:rsidR="00000000" w:rsidRPr="00000000">
        <w:rPr>
          <w:rtl w:val="0"/>
        </w:rPr>
        <w:t xml:space="preserve">(Tregenna, 2009)</w:t>
      </w:r>
      <w:r w:rsidDel="00000000" w:rsidR="00000000" w:rsidRPr="00000000">
        <w:rPr>
          <w:rtl w:val="0"/>
        </w:rPr>
        <w:t xml:space="preserve">. Apesar dessa queda ter sido particularmente intensa nas economias da Europa Ocidental e dos EUA, ela se manifestou também em economias menos diversificadas e de menor PIB </w:t>
      </w:r>
      <w:r w:rsidDel="00000000" w:rsidR="00000000" w:rsidRPr="00000000">
        <w:rPr>
          <w:i w:val="1"/>
          <w:iCs w:val="1"/>
          <w:rtl w:val="0"/>
        </w:rPr>
        <w:t xml:space="preserve">per capita</w:t>
      </w:r>
      <w:r w:rsidDel="00000000" w:rsidR="00000000" w:rsidRPr="00000000">
        <w:rPr>
          <w:rtl w:val="0"/>
        </w:rPr>
        <w:t xml:space="preserve">, em especial na América Latina e Leste europeu </w:t>
      </w:r>
      <w:r w:rsidDel="00000000" w:rsidR="00000000" w:rsidRPr="00000000">
        <w:rPr>
          <w:rtl w:val="0"/>
        </w:rPr>
        <w:t xml:space="preserve">(Rodrik, 2016)</w:t>
      </w:r>
      <w:r w:rsidDel="00000000" w:rsidR="00000000" w:rsidRPr="00000000">
        <w:rPr>
          <w:rtl w:val="0"/>
        </w:rPr>
        <w:t xml:space="preserve">.</w:t>
      </w:r>
    </w:p>
    <w:p w:rsidR="00000000" w:rsidDel="00000000" w:rsidP="00000000" w:rsidRDefault="00000000" w:rsidRPr="00000000" w14:paraId="000000A9">
      <w:pPr>
        <w:spacing w:line="240" w:lineRule="auto"/>
        <w:ind w:firstLine="720"/>
        <w:jc w:val="both"/>
        <w:rPr/>
      </w:pPr>
      <w:r w:rsidDel="00000000" w:rsidR="00000000" w:rsidRPr="00000000">
        <w:rPr>
          <w:rtl w:val="0"/>
        </w:rPr>
        <w:t xml:space="preserve">Dentre todos esses casos, o brasileiro se destaca como um dos mais intensos e duradouros. Com breves interrupções nessa trajetória, o Brasil viu a participação da atividade industrial em seu produto bruto se reduzir desde o início dos anos 1980 até o presente momento </w:t>
      </w:r>
      <w:r w:rsidDel="00000000" w:rsidR="00000000" w:rsidRPr="00000000">
        <w:rPr>
          <w:rtl w:val="0"/>
        </w:rPr>
        <w:t xml:space="preserve">(Feijó e Araujo, 2023; Morceiro, 2021; Oreiro e Feijó, 2010)</w:t>
      </w:r>
      <w:r w:rsidDel="00000000" w:rsidR="00000000" w:rsidRPr="00000000">
        <w:rPr>
          <w:rtl w:val="0"/>
        </w:rPr>
        <w:t xml:space="preserve">. Apenas o setor de manufatura regrediu de 27% em 1985 para 17% nos dados de 1996 e para 11% em 2019, quando considerada a série temporal corrigida por Morceiro (2021).</w:t>
      </w:r>
    </w:p>
    <w:p w:rsidR="00000000" w:rsidDel="00000000" w:rsidP="00000000" w:rsidRDefault="00000000" w:rsidRPr="00000000" w14:paraId="000000AA">
      <w:pPr>
        <w:spacing w:line="240" w:lineRule="auto"/>
        <w:ind w:firstLine="720"/>
        <w:jc w:val="both"/>
        <w:rPr/>
      </w:pPr>
      <w:r w:rsidDel="00000000" w:rsidR="00000000" w:rsidRPr="00000000">
        <w:rPr>
          <w:rtl w:val="0"/>
        </w:rPr>
        <w:t xml:space="preserve">Entre as causas do fenômeno a nível mundial a principal parece ser o significativo incremento da produtividade do trabalho industrial, que reduziu fortemente a demanda de trabalhadores </w:t>
      </w:r>
      <w:r w:rsidDel="00000000" w:rsidR="00000000" w:rsidRPr="00000000">
        <w:rPr>
          <w:rtl w:val="0"/>
        </w:rPr>
        <w:t xml:space="preserve">(Rowthorn e Ramaswamy, 1999)</w:t>
      </w:r>
      <w:r w:rsidDel="00000000" w:rsidR="00000000" w:rsidRPr="00000000">
        <w:rPr>
          <w:rtl w:val="0"/>
        </w:rPr>
        <w:t xml:space="preserve">. Ao mesmo tempo, uma dinâmica de realocação produtiva, especialmente em direção ao Leste Asiático e parte do Sul Global, intensificou o fenômeno nas economias de industrialização mais antiga </w:t>
      </w:r>
      <w:r w:rsidDel="00000000" w:rsidR="00000000" w:rsidRPr="00000000">
        <w:rPr>
          <w:rtl w:val="0"/>
        </w:rPr>
        <w:t xml:space="preserve">(Kollmeyer, 2009)</w:t>
      </w:r>
      <w:r w:rsidDel="00000000" w:rsidR="00000000" w:rsidRPr="00000000">
        <w:rPr>
          <w:rtl w:val="0"/>
        </w:rPr>
        <w:t xml:space="preserve">.</w:t>
      </w:r>
    </w:p>
    <w:p w:rsidR="00000000" w:rsidDel="00000000" w:rsidP="00000000" w:rsidRDefault="00000000" w:rsidRPr="00000000" w14:paraId="000000AB">
      <w:pPr>
        <w:spacing w:line="240" w:lineRule="auto"/>
        <w:ind w:firstLine="720"/>
        <w:jc w:val="both"/>
        <w:rPr/>
      </w:pPr>
      <w:r w:rsidDel="00000000" w:rsidR="00000000" w:rsidRPr="00000000">
        <w:rPr>
          <w:rtl w:val="0"/>
        </w:rPr>
        <w:t xml:space="preserve">Entretanto, tais fenômenos não podem ser compreendidos fora de seu contexto histórico. Se nos países supracitados o início desse processo ocorreu nos anos 1950, tal período para o Brasil ainda era de industrialização e de predomínio de políticas desenvolvimentistas ancoradas no papel do Estado </w:t>
      </w:r>
      <w:r w:rsidDel="00000000" w:rsidR="00000000" w:rsidRPr="00000000">
        <w:rPr>
          <w:rtl w:val="0"/>
        </w:rPr>
        <w:t xml:space="preserve">(Perissinotto, 2023)</w:t>
      </w:r>
      <w:r w:rsidDel="00000000" w:rsidR="00000000" w:rsidRPr="00000000">
        <w:rPr>
          <w:rtl w:val="0"/>
        </w:rPr>
        <w:t xml:space="preserve"> e no capital estrangeiro </w:t>
      </w:r>
      <w:r w:rsidDel="00000000" w:rsidR="00000000" w:rsidRPr="00000000">
        <w:rPr>
          <w:rtl w:val="0"/>
        </w:rPr>
        <w:t xml:space="preserve">(Evans, 1979)</w:t>
      </w:r>
      <w:r w:rsidDel="00000000" w:rsidR="00000000" w:rsidRPr="00000000">
        <w:rPr>
          <w:rtl w:val="0"/>
        </w:rPr>
        <w:t xml:space="preserve">. Apenas em meados da década de 1970 a estagnação do crescimento industrial brasileiro começa a exibir seus sinais. Esta se dá no contexto da crise da dívida externa brasileira e do crescimento da inflação </w:t>
      </w:r>
      <w:r w:rsidDel="00000000" w:rsidR="00000000" w:rsidRPr="00000000">
        <w:rPr>
          <w:rtl w:val="0"/>
        </w:rPr>
        <w:t xml:space="preserve">(Hermann, 2015)</w:t>
      </w:r>
      <w:r w:rsidDel="00000000" w:rsidR="00000000" w:rsidRPr="00000000">
        <w:rPr>
          <w:rtl w:val="0"/>
        </w:rPr>
        <w:t xml:space="preserve">. Na medida em que o controle inflacionário se torna a principal preocupação da política fiscal nacional, a política industrial passa ao segundo plano </w:t>
      </w:r>
      <w:r w:rsidDel="00000000" w:rsidR="00000000" w:rsidRPr="00000000">
        <w:rPr>
          <w:rtl w:val="0"/>
        </w:rPr>
        <w:t xml:space="preserve">(Cano, 2017)</w:t>
      </w:r>
      <w:r w:rsidDel="00000000" w:rsidR="00000000" w:rsidRPr="00000000">
        <w:rPr>
          <w:rtl w:val="0"/>
        </w:rPr>
        <w:t xml:space="preserve">, fato evidenciado pelo abandono do terceiro Programa Nacional de Desenvolvimento em fins da ditadura militar </w:t>
      </w:r>
      <w:r w:rsidDel="00000000" w:rsidR="00000000" w:rsidRPr="00000000">
        <w:rPr>
          <w:rtl w:val="0"/>
        </w:rPr>
        <w:t xml:space="preserve">(Faria, 2016, p. 184–186)</w:t>
      </w:r>
      <w:r w:rsidDel="00000000" w:rsidR="00000000" w:rsidRPr="00000000">
        <w:rPr>
          <w:rtl w:val="0"/>
        </w:rPr>
        <w:t xml:space="preserve">.</w:t>
      </w:r>
    </w:p>
    <w:p w:rsidR="00000000" w:rsidDel="00000000" w:rsidP="00000000" w:rsidRDefault="00000000" w:rsidRPr="00000000" w14:paraId="000000AC">
      <w:pPr>
        <w:spacing w:line="240" w:lineRule="auto"/>
        <w:jc w:val="both"/>
        <w:rPr/>
      </w:pPr>
      <w:r w:rsidDel="00000000" w:rsidR="00000000" w:rsidRPr="00000000">
        <w:rPr>
          <w:rtl w:val="0"/>
        </w:rPr>
        <w:tab/>
        <w:t xml:space="preserve">A partir dos anos 1980 o país começa a passar por uma efetiva desindustrialização, ao mesmo tempo que transaciona do regime militar para a democracia. Em tal contexto de transformação das instituições políticas, foi contínua a ênfase no combate à inflação como política fiscal, especialmente após a eleição de Collor[1989-1992] em 1989, quando se acelerou um processo de liberalização da economia e abertura comercial </w:t>
      </w:r>
      <w:r w:rsidDel="00000000" w:rsidR="00000000" w:rsidRPr="00000000">
        <w:rPr>
          <w:rtl w:val="0"/>
        </w:rPr>
        <w:t xml:space="preserve">(de Paula, 2022)</w:t>
      </w:r>
      <w:r w:rsidDel="00000000" w:rsidR="00000000" w:rsidRPr="00000000">
        <w:rPr>
          <w:rtl w:val="0"/>
        </w:rPr>
        <w:t xml:space="preserve">. Após sucessivos planos econômicos mal sucedidos, o Plano Real consolidou em 1993 as bases de um novo modelo de crescimento econômico baseado, entre outros pontos, no </w:t>
      </w:r>
      <w:r w:rsidDel="00000000" w:rsidR="00000000" w:rsidRPr="00000000">
        <w:rPr>
          <w:i w:val="1"/>
          <w:iCs w:val="1"/>
          <w:rtl w:val="0"/>
        </w:rPr>
        <w:t xml:space="preserve">superavit</w:t>
      </w:r>
      <w:r w:rsidDel="00000000" w:rsidR="00000000" w:rsidRPr="00000000">
        <w:rPr>
          <w:rtl w:val="0"/>
        </w:rPr>
        <w:t xml:space="preserve"> fiscal, privatizações, juros altos e na paridade real-dólar, até a flexibilização do câmbio em 1998 </w:t>
      </w:r>
      <w:r w:rsidDel="00000000" w:rsidR="00000000" w:rsidRPr="00000000">
        <w:rPr>
          <w:rtl w:val="0"/>
        </w:rPr>
        <w:t xml:space="preserve">(Giambiagi, 2015; Pires, 2022)</w:t>
      </w:r>
      <w:r w:rsidDel="00000000" w:rsidR="00000000" w:rsidRPr="00000000">
        <w:rPr>
          <w:rtl w:val="0"/>
        </w:rPr>
        <w:t xml:space="preserve">. Modelo esse que, se por um lado logrou o controle hiperinflacionário, não conseguiu evitar a contínua desindustrialização. Em concomitância de tal cenário com as reestruturações no modelo produtivo, a ascensão do chamado Toyotismo </w:t>
      </w:r>
      <w:r w:rsidDel="00000000" w:rsidR="00000000" w:rsidRPr="00000000">
        <w:rPr>
          <w:rtl w:val="0"/>
        </w:rPr>
        <w:t xml:space="preserve">(Ramalho, 2010)</w:t>
      </w:r>
      <w:r w:rsidDel="00000000" w:rsidR="00000000" w:rsidRPr="00000000">
        <w:rPr>
          <w:rtl w:val="0"/>
        </w:rPr>
        <w:t xml:space="preserve">, os anos 1990 marcaram significativa queda no emprego industrial no Brasil </w:t>
      </w:r>
      <w:r w:rsidDel="00000000" w:rsidR="00000000" w:rsidRPr="00000000">
        <w:rPr>
          <w:rtl w:val="0"/>
        </w:rPr>
        <w:t xml:space="preserve">(Ramalho e Rodrigues, 2013)</w:t>
      </w:r>
      <w:r w:rsidDel="00000000" w:rsidR="00000000" w:rsidRPr="00000000">
        <w:rPr>
          <w:rtl w:val="0"/>
        </w:rPr>
        <w:t xml:space="preserve">.</w:t>
      </w:r>
    </w:p>
    <w:p w:rsidR="00000000" w:rsidDel="00000000" w:rsidP="00000000" w:rsidRDefault="00000000" w:rsidRPr="00000000" w14:paraId="000000AD">
      <w:pPr>
        <w:spacing w:line="240" w:lineRule="auto"/>
        <w:ind w:firstLine="720"/>
        <w:jc w:val="both"/>
        <w:rPr/>
      </w:pPr>
      <w:r w:rsidDel="00000000" w:rsidR="00000000" w:rsidRPr="00000000">
        <w:rPr>
          <w:rtl w:val="0"/>
        </w:rPr>
        <w:t xml:space="preserve">Aqui enfatiza-se, portanto, que não se trata de mero “problema econômico”. A desindustrialização brasileira precisa ser vista também, para sua apropriada análise sociológica, como consequência do direcionamento do capital político brasileiro desde os anos 1970 para a estabilização inflacionária. Assim, enfatiza-se a capacidade de articulação política para projetos de desenvolvimento como variável importante para entendimento da trajetória da economia brasileira e para análise de seus desdobramentos futuros.</w:t>
      </w:r>
    </w:p>
    <w:p w:rsidR="00000000" w:rsidDel="00000000" w:rsidP="00000000" w:rsidRDefault="00000000" w:rsidRPr="00000000" w14:paraId="000000AE">
      <w:pPr>
        <w:spacing w:line="240" w:lineRule="auto"/>
        <w:ind w:firstLine="720"/>
        <w:jc w:val="both"/>
        <w:rPr/>
      </w:pPr>
      <w:r w:rsidDel="00000000" w:rsidR="00000000" w:rsidRPr="00000000">
        <w:rPr>
          <w:rtl w:val="0"/>
        </w:rPr>
        <w:t xml:space="preserve">Essa dinâmica acompanhou dois outros fenômenos agravantes. Primeiramente, desde ao menos os anos 1990 o Brasil vive uma desconcentração industrial, exibindo uma saída da atividade industrial da região sudeste, em especial de São Paulo, para outras regiões brasileiras </w:t>
      </w:r>
      <w:r w:rsidDel="00000000" w:rsidR="00000000" w:rsidRPr="00000000">
        <w:rPr>
          <w:rtl w:val="0"/>
        </w:rPr>
        <w:t xml:space="preserve">(CNI, 2021)</w:t>
      </w:r>
      <w:r w:rsidDel="00000000" w:rsidR="00000000" w:rsidRPr="00000000">
        <w:rPr>
          <w:rtl w:val="0"/>
        </w:rPr>
        <w:t xml:space="preserve">. Tal fenômeno intensifica o impacto do processo de desindustrialização em antigos territórios industriais, além de frequentemente estar relacionado às disputas fiscais entre estados </w:t>
      </w:r>
      <w:r w:rsidDel="00000000" w:rsidR="00000000" w:rsidRPr="00000000">
        <w:rPr>
          <w:rtl w:val="0"/>
        </w:rPr>
        <w:t xml:space="preserve">(Arbix, 2000)</w:t>
      </w:r>
      <w:r w:rsidDel="00000000" w:rsidR="00000000" w:rsidRPr="00000000">
        <w:rPr>
          <w:rtl w:val="0"/>
        </w:rPr>
        <w:t xml:space="preserve">, via redução de impostos e oferta de subsídios, e ao incremento da demanda por infraestrutura urbana </w:t>
      </w:r>
      <w:r w:rsidDel="00000000" w:rsidR="00000000" w:rsidRPr="00000000">
        <w:rPr>
          <w:rtl w:val="0"/>
        </w:rPr>
        <w:t xml:space="preserve">(Bluestone e Harrison, 1982)</w:t>
      </w:r>
      <w:r w:rsidDel="00000000" w:rsidR="00000000" w:rsidRPr="00000000">
        <w:rPr>
          <w:rtl w:val="0"/>
        </w:rPr>
        <w:t xml:space="preserve">, reduzindo a capacidade de resposta fiscal (i.e. a oferta de recursos financeiros disponíveis) do Estado ao fenômeno.</w:t>
      </w:r>
    </w:p>
    <w:p w:rsidR="00000000" w:rsidDel="00000000" w:rsidP="00000000" w:rsidRDefault="00000000" w:rsidRPr="00000000" w14:paraId="000000AF">
      <w:pPr>
        <w:spacing w:line="240" w:lineRule="auto"/>
        <w:ind w:firstLine="720"/>
        <w:jc w:val="both"/>
        <w:rPr>
          <w:color w:val="ff0000"/>
        </w:rPr>
      </w:pPr>
      <w:r w:rsidDel="00000000" w:rsidR="00000000" w:rsidRPr="00000000">
        <w:rPr>
          <w:rtl w:val="0"/>
        </w:rPr>
        <w:t xml:space="preserve">Em segundo lugar, o incremento do volume de empregos no chamado “setor de serviços”, que acompanhou a desindustrialização nos países de industrialização avançada </w:t>
      </w:r>
      <w:r w:rsidDel="00000000" w:rsidR="00000000" w:rsidRPr="00000000">
        <w:rPr>
          <w:rtl w:val="0"/>
        </w:rPr>
        <w:t xml:space="preserve">(Amsden, 2001)</w:t>
      </w:r>
      <w:r w:rsidDel="00000000" w:rsidR="00000000" w:rsidRPr="00000000">
        <w:rPr>
          <w:rtl w:val="0"/>
        </w:rPr>
        <w:t xml:space="preserve">, exibe características particulares no Brasil. Isso devido, no caso nacional, a baixa formalização, baixa remuneração, pouca qualificação e pouca perspectiva de crescimento de carreiras nos principais “novos” setores empregadores </w:t>
      </w:r>
      <w:r w:rsidDel="00000000" w:rsidR="00000000" w:rsidRPr="00000000">
        <w:rPr>
          <w:rtl w:val="0"/>
        </w:rPr>
        <w:t xml:space="preserve">(Bridi, Oliveira e Salas, 2024)</w:t>
      </w:r>
      <w:r w:rsidDel="00000000" w:rsidR="00000000" w:rsidRPr="00000000">
        <w:rPr>
          <w:rtl w:val="0"/>
        </w:rPr>
        <w:t xml:space="preserve">. Com particularidades da atividade econômica emergente em cada período, dos setores de telemarketing dos anos 1990 até os entregadores de aplicativo nos dias atuais , o incremento do uso de tecnologia e as inovações gerenciais não se refletem num incremento na qualificação do trabalho, tornando o Brasil espécie de paradigma </w:t>
      </w:r>
      <w:r w:rsidDel="00000000" w:rsidR="00000000" w:rsidRPr="00000000">
        <w:rPr>
          <w:i w:val="1"/>
          <w:iCs w:val="1"/>
          <w:rtl w:val="0"/>
        </w:rPr>
        <w:t xml:space="preserve">“bravermaniano” </w:t>
      </w:r>
      <w:r w:rsidDel="00000000" w:rsidR="00000000" w:rsidRPr="00000000">
        <w:rPr>
          <w:rtl w:val="0"/>
        </w:rPr>
        <w:t xml:space="preserve">(Braverman, 1998)</w:t>
      </w:r>
      <w:r w:rsidDel="00000000" w:rsidR="00000000" w:rsidRPr="00000000">
        <w:rPr>
          <w:rtl w:val="0"/>
        </w:rPr>
        <w:t xml:space="preserve"> da desqualificação do trabalho nos tempos contemporâneos.</w:t>
      </w:r>
      <w:r w:rsidDel="00000000" w:rsidR="00000000" w:rsidRPr="00000000">
        <w:rPr>
          <w:rtl w:val="0"/>
        </w:rPr>
      </w:r>
    </w:p>
    <w:p w:rsidR="00000000" w:rsidDel="00000000" w:rsidP="00000000" w:rsidRDefault="00000000" w:rsidRPr="00000000" w14:paraId="000000B0">
      <w:pPr>
        <w:spacing w:line="240" w:lineRule="auto"/>
        <w:ind w:firstLine="720"/>
        <w:jc w:val="both"/>
        <w:rPr/>
      </w:pPr>
      <w:r w:rsidDel="00000000" w:rsidR="00000000" w:rsidRPr="00000000">
        <w:rPr>
          <w:rtl w:val="0"/>
        </w:rPr>
        <w:t xml:space="preserve">Para além disso, o movimento acompanha uma tendência de precarização do trabalho e dissolução das relações de trabalho formais </w:t>
      </w:r>
      <w:r w:rsidDel="00000000" w:rsidR="00000000" w:rsidRPr="00000000">
        <w:rPr>
          <w:rtl w:val="0"/>
        </w:rPr>
        <w:t xml:space="preserve">(Ramalho, 2010)</w:t>
      </w:r>
      <w:r w:rsidDel="00000000" w:rsidR="00000000" w:rsidRPr="00000000">
        <w:rPr>
          <w:rtl w:val="0"/>
        </w:rPr>
        <w:t xml:space="preserve">. No caso brasileiro esse fenômeno encontra evidência nas sucessivas transformações institucionais </w:t>
      </w:r>
      <w:r w:rsidDel="00000000" w:rsidR="00000000" w:rsidRPr="00000000">
        <w:rPr>
          <w:rtl w:val="0"/>
        </w:rPr>
        <w:t xml:space="preserve">(Thelen, 2003)</w:t>
      </w:r>
      <w:r w:rsidDel="00000000" w:rsidR="00000000" w:rsidRPr="00000000">
        <w:rPr>
          <w:rtl w:val="0"/>
        </w:rPr>
        <w:t xml:space="preserve"> que a legislação trabalhista vem sofrendo </w:t>
      </w:r>
      <w:r w:rsidDel="00000000" w:rsidR="00000000" w:rsidRPr="00000000">
        <w:rPr>
          <w:rtl w:val="0"/>
        </w:rPr>
        <w:t xml:space="preserve">(Ramalho, Salles Pereira Dos Santos e Jácome Rodrigues, 2019)</w:t>
      </w:r>
      <w:r w:rsidDel="00000000" w:rsidR="00000000" w:rsidRPr="00000000">
        <w:rPr>
          <w:rtl w:val="0"/>
        </w:rPr>
        <w:t xml:space="preserve">. Tais processos de mudanças institucionais, assim como as disputas fiscais mencionadas anteriormente, pressionam fiscalmente o Estado brasileiro ao reduzir a sua capacidade de arrecadação.</w:t>
      </w:r>
    </w:p>
    <w:p w:rsidR="00000000" w:rsidDel="00000000" w:rsidP="00000000" w:rsidRDefault="00000000" w:rsidRPr="00000000" w14:paraId="000000B1">
      <w:pPr>
        <w:spacing w:line="240" w:lineRule="auto"/>
        <w:jc w:val="both"/>
        <w:rPr/>
      </w:pPr>
      <w:r w:rsidDel="00000000" w:rsidR="00000000" w:rsidRPr="00000000">
        <w:rPr>
          <w:rtl w:val="0"/>
        </w:rPr>
        <w:t xml:space="preserve">Desafios da reindustrialização brasileira</w:t>
      </w:r>
    </w:p>
    <w:p w:rsidR="00000000" w:rsidDel="00000000" w:rsidP="00000000" w:rsidRDefault="00000000" w:rsidRPr="00000000" w14:paraId="000000B2">
      <w:pPr>
        <w:spacing w:line="240" w:lineRule="auto"/>
        <w:ind w:firstLine="720"/>
        <w:jc w:val="both"/>
        <w:rPr/>
      </w:pPr>
      <w:r w:rsidDel="00000000" w:rsidR="00000000" w:rsidRPr="00000000">
        <w:rPr>
          <w:rtl w:val="0"/>
        </w:rPr>
        <w:t xml:space="preserve">Os dilemas fiscais, seja via aumentos dos gastos com seguridade social ou seja via redução da arrecadação estatal pela redução do emprego formal, impostos pelos processos de desindustrialização são um elemento chave para compreender alguns dos principais desafios aos projetos de reindustrialização. Como Winant </w:t>
      </w:r>
      <w:r w:rsidDel="00000000" w:rsidR="00000000" w:rsidRPr="00000000">
        <w:rPr>
          <w:rtl w:val="0"/>
        </w:rPr>
        <w:t xml:space="preserve">(2019)</w:t>
      </w:r>
      <w:r w:rsidDel="00000000" w:rsidR="00000000" w:rsidRPr="00000000">
        <w:rPr>
          <w:rtl w:val="0"/>
        </w:rPr>
        <w:t xml:space="preserve"> aponta, essas pressões fiscais tendem a ser refletidas em projetos de austeridade fiscal que, ao menos parcialmente, buscam mitigar seu impacto. Assim, políticas de austeridade não podem ser vistas apenas como resultado de uma concepção ideológica arbitrariamente restritiva de projetos de desenvolvimento. Elas precisam ser entendidas também como respostas a transformações estruturais. Por sua vez, essas respostas são enviesadas pelos interesses das frações de classe dominantes, obscurecendo respostas alternativas de longo prazo. Isso não implica, entretanto, que restrições fiscais a projetos de desenvolvimento, e em especial de reindustrialização, não se imponham.</w:t>
      </w:r>
    </w:p>
    <w:p w:rsidR="00000000" w:rsidDel="00000000" w:rsidP="00000000" w:rsidRDefault="00000000" w:rsidRPr="00000000" w14:paraId="000000B3">
      <w:pPr>
        <w:spacing w:line="240" w:lineRule="auto"/>
        <w:ind w:firstLine="720"/>
        <w:jc w:val="both"/>
        <w:rPr/>
      </w:pPr>
      <w:r w:rsidDel="00000000" w:rsidR="00000000" w:rsidRPr="00000000">
        <w:rPr>
          <w:rtl w:val="0"/>
        </w:rPr>
        <w:t xml:space="preserve">Dadas essas constrições, tanto as estruturais quanto as institucionais relativas aos interesses da classe dominante, fica claro que a capacidade de ação estatal possui limitações. Tais limitações são relevantes na medida em que a ação do Estado é elemento necessário para o desenvolvimento econômico, especialmente em economias de desenvolvimento ou industrialização tardia e que se inserem numa economia global diante de competidores já “avançados” </w:t>
      </w:r>
      <w:r w:rsidDel="00000000" w:rsidR="00000000" w:rsidRPr="00000000">
        <w:rPr>
          <w:rtl w:val="0"/>
        </w:rPr>
        <w:t xml:space="preserve">(Amsden, 2001; Gerschenkron, 1962)</w:t>
      </w:r>
      <w:r w:rsidDel="00000000" w:rsidR="00000000" w:rsidRPr="00000000">
        <w:rPr>
          <w:rtl w:val="0"/>
        </w:rPr>
        <w:t xml:space="preserve">. Especialmente quando se busca reorientar o perfil das atividades econômicas de um país para além do que seriam suas “vantagens competitivas” presentes </w:t>
      </w:r>
      <w:r w:rsidDel="00000000" w:rsidR="00000000" w:rsidRPr="00000000">
        <w:rPr>
          <w:rtl w:val="0"/>
        </w:rPr>
        <w:t xml:space="preserve">(Evans, 1995)</w:t>
      </w:r>
      <w:r w:rsidDel="00000000" w:rsidR="00000000" w:rsidRPr="00000000">
        <w:rPr>
          <w:rtl w:val="0"/>
        </w:rPr>
        <w:t xml:space="preserve">. Significativa evidência dessa relação entre Estado e desenvolvimento já foi apresentada para diversas nações </w:t>
      </w:r>
      <w:r w:rsidDel="00000000" w:rsidR="00000000" w:rsidRPr="00000000">
        <w:rPr>
          <w:rtl w:val="0"/>
        </w:rPr>
        <w:t xml:space="preserve">(Evans, Rueschemeyer e Skocpol, 1985; Rueschemeyer e Evans, 1985)</w:t>
      </w:r>
      <w:r w:rsidDel="00000000" w:rsidR="00000000" w:rsidRPr="00000000">
        <w:rPr>
          <w:rtl w:val="0"/>
        </w:rPr>
        <w:t xml:space="preserve">, inclusive o Brasil </w:t>
      </w:r>
      <w:r w:rsidDel="00000000" w:rsidR="00000000" w:rsidRPr="00000000">
        <w:rPr>
          <w:rtl w:val="0"/>
        </w:rPr>
        <w:t xml:space="preserve">(Evans, 1979; Perissinotto, 2023)</w:t>
      </w:r>
      <w:r w:rsidDel="00000000" w:rsidR="00000000" w:rsidRPr="00000000">
        <w:rPr>
          <w:rtl w:val="0"/>
        </w:rPr>
        <w:t xml:space="preserve">.</w:t>
      </w:r>
    </w:p>
    <w:p w:rsidR="00000000" w:rsidDel="00000000" w:rsidP="00000000" w:rsidRDefault="00000000" w:rsidRPr="00000000" w14:paraId="000000B4">
      <w:pPr>
        <w:spacing w:line="240" w:lineRule="auto"/>
        <w:ind w:firstLine="720"/>
        <w:jc w:val="both"/>
        <w:rPr/>
      </w:pPr>
      <w:r w:rsidDel="00000000" w:rsidR="00000000" w:rsidRPr="00000000">
        <w:rPr>
          <w:rtl w:val="0"/>
        </w:rPr>
        <w:t xml:space="preserve">Para analisar tal dinâmica, primeiro pode-se analiticamente separar a ação do estado na economia em dois eixos: ações voltadas a acrescer o ritmo de acumulação e ações de caráter redistributivo </w:t>
      </w:r>
      <w:r w:rsidDel="00000000" w:rsidR="00000000" w:rsidRPr="00000000">
        <w:rPr>
          <w:rtl w:val="0"/>
        </w:rPr>
        <w:t xml:space="preserve">(Rueschemeyer e Evans, 1985)</w:t>
      </w:r>
      <w:r w:rsidDel="00000000" w:rsidR="00000000" w:rsidRPr="00000000">
        <w:rPr>
          <w:rtl w:val="0"/>
        </w:rPr>
        <w:t xml:space="preserve">. Dito de outra maneira, a ação do Estado precisa ser pensada em sua capacidade de: 1- acelerar o ritmo de crescimento econômico do país ou de setor econômico estratégico; 2- redistribuir os ganhos econômicos entre diversos grupos sociais. Tal perspectiva é vantajosa ao avançar de uma dicotomia de “menos-mais” Estado para efetivamente pensar as formas específicas de intervenção estatal </w:t>
      </w:r>
      <w:r w:rsidDel="00000000" w:rsidR="00000000" w:rsidRPr="00000000">
        <w:rPr>
          <w:rtl w:val="0"/>
        </w:rPr>
        <w:t xml:space="preserve">(Evans, 1995)</w:t>
      </w:r>
      <w:r w:rsidDel="00000000" w:rsidR="00000000" w:rsidRPr="00000000">
        <w:rPr>
          <w:rtl w:val="0"/>
        </w:rPr>
        <w:t xml:space="preserve">.</w:t>
      </w:r>
    </w:p>
    <w:p w:rsidR="00000000" w:rsidDel="00000000" w:rsidP="00000000" w:rsidRDefault="00000000" w:rsidRPr="00000000" w14:paraId="000000B5">
      <w:pPr>
        <w:spacing w:line="240" w:lineRule="auto"/>
        <w:ind w:firstLine="720"/>
        <w:jc w:val="both"/>
        <w:rPr/>
      </w:pPr>
      <w:r w:rsidDel="00000000" w:rsidR="00000000" w:rsidRPr="00000000">
        <w:rPr>
          <w:rtl w:val="0"/>
        </w:rPr>
        <w:t xml:space="preserve">No caso brasileiro, tal dinâmica parece se refletir num </w:t>
      </w:r>
      <w:r w:rsidDel="00000000" w:rsidR="00000000" w:rsidRPr="00000000">
        <w:rPr>
          <w:i w:val="1"/>
          <w:iCs w:val="1"/>
          <w:rtl w:val="0"/>
        </w:rPr>
        <w:t xml:space="preserve">trade-off</w:t>
      </w:r>
      <w:r w:rsidDel="00000000" w:rsidR="00000000" w:rsidRPr="00000000">
        <w:rPr>
          <w:rtl w:val="0"/>
        </w:rPr>
        <w:t xml:space="preserve"> entre esforços estatais para desenvolvimento, que podemos pensar como estímulo ao investimento, e para ampliação da capacidade de consumo de determinadas classes sociais. Não se trata aqui de uma oposição direta entre consumo e investimento, mas de uma limitação na capacidade de ação do Estado de promover ambos os objetivos </w:t>
      </w:r>
      <w:r w:rsidDel="00000000" w:rsidR="00000000" w:rsidRPr="00000000">
        <w:rPr>
          <w:i w:val="1"/>
          <w:iCs w:val="1"/>
          <w:rtl w:val="0"/>
        </w:rPr>
        <w:t xml:space="preserve">sem incorrer em déficit</w:t>
      </w:r>
      <w:r w:rsidDel="00000000" w:rsidR="00000000" w:rsidRPr="00000000">
        <w:rPr>
          <w:rtl w:val="0"/>
        </w:rPr>
        <w:t xml:space="preserve"> ou tentando reduzi-lo ao máximo, dadas as consequências do déficit público no modelo de desenvolvimento e ambiente institucional discutido anteriormente – pressão inflacionária e aumento de juros.</w:t>
      </w:r>
    </w:p>
    <w:p w:rsidR="00000000" w:rsidDel="00000000" w:rsidP="00000000" w:rsidRDefault="00000000" w:rsidRPr="00000000" w14:paraId="000000B6">
      <w:pPr>
        <w:spacing w:line="240" w:lineRule="auto"/>
        <w:ind w:firstLine="720"/>
        <w:jc w:val="both"/>
        <w:rPr/>
      </w:pPr>
      <w:r w:rsidDel="00000000" w:rsidR="00000000" w:rsidRPr="00000000">
        <w:rPr>
          <w:rtl w:val="0"/>
        </w:rPr>
        <w:t xml:space="preserve">Essa análise parte da constatação de que, ao menos para o caso brasileiro, a maior parte dos economistas de orientação ortodoxa como também de algumas perspectivas heterodoxas influentes, como a novo desenvolvimentista, consideram a existência de algum grau de equilíbrio fiscal necessário ao processo de desenvolvimento </w:t>
      </w:r>
      <w:r w:rsidDel="00000000" w:rsidR="00000000" w:rsidRPr="00000000">
        <w:rPr>
          <w:rtl w:val="0"/>
        </w:rPr>
        <w:t xml:space="preserve">(Bresser-Pereira, 2012)</w:t>
      </w:r>
      <w:r w:rsidDel="00000000" w:rsidR="00000000" w:rsidRPr="00000000">
        <w:rPr>
          <w:rtl w:val="0"/>
        </w:rPr>
        <w:t xml:space="preserve">. Assim, mesmo que essa política de superávit possa ser revertida temporariamente, no que se denominaria uma política “anticíclica”, a dimensão fiscal tende a ser um fator limitante na capacidade de ação do Estado no longo prazo.</w:t>
      </w:r>
    </w:p>
    <w:p w:rsidR="00000000" w:rsidDel="00000000" w:rsidP="00000000" w:rsidRDefault="00000000" w:rsidRPr="00000000" w14:paraId="000000B7">
      <w:pPr>
        <w:spacing w:line="240" w:lineRule="auto"/>
        <w:ind w:firstLine="720"/>
        <w:jc w:val="both"/>
        <w:rPr/>
      </w:pPr>
      <w:r w:rsidDel="00000000" w:rsidR="00000000" w:rsidRPr="00000000">
        <w:rPr>
          <w:rtl w:val="0"/>
        </w:rPr>
        <w:t xml:space="preserve">A discussão acima serve para estabelecer o ponto de que o Estado não é totalmente livre para livremente estimular investimento e consumo, sendo necessário balancear em algum grau os dois objetivos. Como resultado se encontra um problema político: qual consumo e em qual grau ele será restringido para viabilizar o aumento da poupança e do investimento produtivo? Como será direcionado o resultado do investimento da poupança? Não há espaço aqui para reconstituir como, historicamente, esse conflito se deu nos diversos modelos de desenvolvimento econômico da história nacional – por exemplo, o autoritarismo como forma de ultrapassar a disputa política e do uso de dívida  externa para contornar a limitação fiscal durante a ditadura militar –, mas ele é tomado como ponto de partida para expressar a complexidade do problema da desindustrialização e das tentativas de reindustrialização.</w:t>
      </w:r>
    </w:p>
    <w:p w:rsidR="00000000" w:rsidDel="00000000" w:rsidP="00000000" w:rsidRDefault="00000000" w:rsidRPr="00000000" w14:paraId="000000B8">
      <w:pPr>
        <w:spacing w:line="240" w:lineRule="auto"/>
        <w:ind w:firstLine="720"/>
        <w:jc w:val="both"/>
        <w:rPr/>
      </w:pPr>
      <w:r w:rsidDel="00000000" w:rsidR="00000000" w:rsidRPr="00000000">
        <w:rPr>
          <w:rtl w:val="0"/>
        </w:rPr>
        <w:t xml:space="preserve">Isso porque as mudanças associadas ao processo de desindustrialização dificultam a resolução do problema político e econômico, que pudesse  propiciar um processo de reindustrialização. Notadamente, desde a primeira revolução industrial e de forma acelerada a partir da metade do século XX, a atividade industrial se tornou significativamente mais complexa do ponto de vista tecnológico e mais intensa em capital </w:t>
      </w:r>
      <w:r w:rsidDel="00000000" w:rsidR="00000000" w:rsidRPr="00000000">
        <w:rPr>
          <w:rtl w:val="0"/>
        </w:rPr>
        <w:t xml:space="preserve">(Kollmeyer, 2009; Rowthorn e Ramaswamy, 1999)</w:t>
      </w:r>
      <w:r w:rsidDel="00000000" w:rsidR="00000000" w:rsidRPr="00000000">
        <w:rPr>
          <w:rtl w:val="0"/>
        </w:rPr>
        <w:t xml:space="preserve">, mesmo que com parcial exceção de alguns casos no Leste Asiático. Tal processo é coerente com a crescente dificuldade que economias têm de realizar o “catch-up” tecnológico ao longo do tempo </w:t>
      </w:r>
      <w:r w:rsidDel="00000000" w:rsidR="00000000" w:rsidRPr="00000000">
        <w:rPr>
          <w:rtl w:val="0"/>
        </w:rPr>
        <w:t xml:space="preserve">(Amsden, 2001)</w:t>
      </w:r>
      <w:r w:rsidDel="00000000" w:rsidR="00000000" w:rsidRPr="00000000">
        <w:rPr>
          <w:rtl w:val="0"/>
        </w:rPr>
        <w:t xml:space="preserve">. Como já apontava Gerschenkron </w:t>
      </w:r>
      <w:r w:rsidDel="00000000" w:rsidR="00000000" w:rsidRPr="00000000">
        <w:rPr>
          <w:rtl w:val="0"/>
        </w:rPr>
        <w:t xml:space="preserve">(1962)</w:t>
      </w:r>
      <w:r w:rsidDel="00000000" w:rsidR="00000000" w:rsidRPr="00000000">
        <w:rPr>
          <w:rtl w:val="0"/>
        </w:rPr>
        <w:t xml:space="preserve">, cada ciclo de industrialização de um conjunto de economias parece requerer maior capital e maior atuação do estado para sua viabilização. Esse maior custo de capital financeiro também implica maior necessidade de capital político a ser mobilizado, o que pode ser desafiador quando as elites possuem interesses diretamente associados a atividades econômicas dependentes do uso intensivo de trabalho, de caráter extrativista ou rentista.</w:t>
      </w:r>
    </w:p>
    <w:p w:rsidR="00000000" w:rsidDel="00000000" w:rsidP="00000000" w:rsidRDefault="00000000" w:rsidRPr="00000000" w14:paraId="000000B9">
      <w:pPr>
        <w:spacing w:line="240" w:lineRule="auto"/>
        <w:ind w:firstLine="720"/>
        <w:jc w:val="both"/>
        <w:rPr/>
      </w:pPr>
      <w:r w:rsidDel="00000000" w:rsidR="00000000" w:rsidRPr="00000000">
        <w:rPr>
          <w:rtl w:val="0"/>
        </w:rPr>
        <w:t xml:space="preserve">Ao mesmo tempo, essas características da atividade industrial propiciam ao trabalho um grau maior de produtividade, especialmente após a segunda metade do século XX, que implica menor demanda por trabalhadores </w:t>
      </w:r>
      <w:r w:rsidDel="00000000" w:rsidR="00000000" w:rsidRPr="00000000">
        <w:rPr>
          <w:rtl w:val="0"/>
        </w:rPr>
        <w:t xml:space="preserve">(Kollmeyer, 2009; Rowthorn e Ramaswamy, 1999)</w:t>
      </w:r>
      <w:r w:rsidDel="00000000" w:rsidR="00000000" w:rsidRPr="00000000">
        <w:rPr>
          <w:rtl w:val="0"/>
        </w:rPr>
        <w:t xml:space="preserve">. O resultado é que processos recentes de industrialização, especialmente em setores com alta perspectiva de crescimento, implicam na alocação de crescentes volumes de capitais para decrescente número de empregos. A aliança entre frações de classe que torna diversos projetos de industrialização possíveis é fragilizada, especialmente em contextos democráticos. Na ausência de uma elementos viáveis para mobilizar apoio popular e da classe trabalhadora para avançar com projetos de reestruturação econômica, o Estado tende a acomodar interesses mais conservadores de suas elites, ancorados em vantagens competitivas já existentes.</w:t>
      </w:r>
    </w:p>
    <w:p w:rsidR="00000000" w:rsidDel="00000000" w:rsidP="00000000" w:rsidRDefault="00000000" w:rsidRPr="00000000" w14:paraId="000000BA">
      <w:pPr>
        <w:spacing w:line="240" w:lineRule="auto"/>
        <w:ind w:firstLine="720"/>
        <w:jc w:val="both"/>
        <w:rPr/>
      </w:pPr>
      <w:r w:rsidDel="00000000" w:rsidR="00000000" w:rsidRPr="00000000">
        <w:rPr>
          <w:rtl w:val="0"/>
        </w:rPr>
        <w:t xml:space="preserve">Importante notar que, no passado nacional, essa “acomodação” envolveu muitas vezes autoritarismo significativo, inclusive perante frações da própria elite. Por exemplo, nos períodos Varguista e da Ditadura Militar viabilizaram projetos de industrialização baseados na conciliação dos interesses das elites </w:t>
      </w:r>
      <w:r w:rsidDel="00000000" w:rsidR="00000000" w:rsidRPr="00000000">
        <w:rPr>
          <w:rtl w:val="0"/>
        </w:rPr>
        <w:t xml:space="preserve">(Perissinotto, 2023)</w:t>
      </w:r>
      <w:r w:rsidDel="00000000" w:rsidR="00000000" w:rsidRPr="00000000">
        <w:rPr>
          <w:rtl w:val="0"/>
        </w:rPr>
        <w:t xml:space="preserve">, inclusive as elites internacionais no segundo caso </w:t>
      </w:r>
      <w:r w:rsidDel="00000000" w:rsidR="00000000" w:rsidRPr="00000000">
        <w:rPr>
          <w:rtl w:val="0"/>
        </w:rPr>
        <w:t xml:space="preserve">(Evans, 1979)</w:t>
      </w:r>
      <w:r w:rsidDel="00000000" w:rsidR="00000000" w:rsidRPr="00000000">
        <w:rPr>
          <w:rtl w:val="0"/>
        </w:rPr>
        <w:t xml:space="preserve">. Mesmo assim, é importante notar que em ambos os casos algum grau de apoio popular ou ao menos apaziguação de demandas urbanas era preenchido pela noção do emprego industrial. Na história brasileira talvez apenas o breve período dos anos 1950 até o golpe de 1964 tenha conjugado de forma significativa esse desenvolvimentismo com democracia </w:t>
      </w:r>
      <w:r w:rsidDel="00000000" w:rsidR="00000000" w:rsidRPr="00000000">
        <w:rPr>
          <w:rtl w:val="0"/>
        </w:rPr>
        <w:t xml:space="preserve">(Barbosa, 2020)</w:t>
      </w:r>
      <w:r w:rsidDel="00000000" w:rsidR="00000000" w:rsidRPr="00000000">
        <w:rPr>
          <w:rtl w:val="0"/>
        </w:rPr>
        <w:t xml:space="preserve">. Um projeto de reindustrialização por vias democráticas, se em parte possibilita maior grau de promoção do bem-estar social e igualdade, ao mesmo tempo exige maior presença e participação de trabalhadores, suas famílias e suas instituições de classe para ser viabilizado.</w:t>
      </w:r>
    </w:p>
    <w:p w:rsidR="00000000" w:rsidDel="00000000" w:rsidP="00000000" w:rsidRDefault="00000000" w:rsidRPr="00000000" w14:paraId="000000BB">
      <w:pPr>
        <w:spacing w:line="240" w:lineRule="auto"/>
        <w:ind w:firstLine="720"/>
        <w:jc w:val="both"/>
        <w:rPr/>
      </w:pPr>
      <w:r w:rsidDel="00000000" w:rsidR="00000000" w:rsidRPr="00000000">
        <w:rPr>
          <w:rtl w:val="0"/>
        </w:rPr>
        <w:t xml:space="preserve">A esse problema adiciona-se mais uma camada: a dificuldade de coordenação de projetos de reindustrialização entre as diferentes regiões do Brasil levando em conta suas particularidades. As já citadas disputas fiscais entre estados são apenas um exemplo. Para além de dificuldades de conciliar interesses, cabe ressaltar a dificuldade de promover projetos de integração. Casos bem sucedidos de políticas estatais para desenvolvimento econômico em geral contam também com a presença de uma burocracia estatal extremamente capacitada, em algum grau autônoma e bem integrada com a sociedade  </w:t>
      </w:r>
      <w:r w:rsidDel="00000000" w:rsidR="00000000" w:rsidRPr="00000000">
        <w:rPr>
          <w:rtl w:val="0"/>
        </w:rPr>
        <w:t xml:space="preserve">(Evans, 1995)</w:t>
      </w:r>
      <w:r w:rsidDel="00000000" w:rsidR="00000000" w:rsidRPr="00000000">
        <w:rPr>
          <w:rtl w:val="0"/>
        </w:rPr>
        <w:t xml:space="preserve">. Mesmo que em alguns casos tal capacidade burocrática exista de forma limitada, ela não aparenta ser  em número suficiente e nem contar com o necessário amparo político-financeiro e capilaridade para desenvolver e coordenar projetos de nível local e regional na escala exigida </w:t>
      </w:r>
      <w:r w:rsidDel="00000000" w:rsidR="00000000" w:rsidRPr="00000000">
        <w:rPr>
          <w:rtl w:val="0"/>
        </w:rPr>
        <w:t xml:space="preserve">(Evans, 1995)</w:t>
      </w:r>
      <w:r w:rsidDel="00000000" w:rsidR="00000000" w:rsidRPr="00000000">
        <w:rPr>
          <w:rtl w:val="0"/>
        </w:rPr>
        <w:t xml:space="preserve">.</w:t>
      </w:r>
    </w:p>
    <w:p w:rsidR="00000000" w:rsidDel="00000000" w:rsidP="00000000" w:rsidRDefault="00000000" w:rsidRPr="00000000" w14:paraId="000000BC">
      <w:pPr>
        <w:spacing w:line="240" w:lineRule="auto"/>
        <w:jc w:val="both"/>
        <w:rPr/>
      </w:pPr>
      <w:r w:rsidDel="00000000" w:rsidR="00000000" w:rsidRPr="00000000">
        <w:rPr>
          <w:rtl w:val="0"/>
        </w:rPr>
        <w:t xml:space="preserve">Os novos argumentos pró-indústria</w:t>
      </w:r>
    </w:p>
    <w:p w:rsidR="00000000" w:rsidDel="00000000" w:rsidP="00000000" w:rsidRDefault="00000000" w:rsidRPr="00000000" w14:paraId="000000BD">
      <w:pPr>
        <w:spacing w:line="240" w:lineRule="auto"/>
        <w:ind w:firstLine="720"/>
        <w:jc w:val="both"/>
        <w:rPr/>
      </w:pPr>
      <w:r w:rsidDel="00000000" w:rsidR="00000000" w:rsidRPr="00000000">
        <w:rPr>
          <w:rtl w:val="0"/>
        </w:rPr>
        <w:t xml:space="preserve">O cerne do argumento acima pode ser assim resumido: a reindustrialização brasileira não é mero problema técnico-econômico que seja superável com a correta combinação de taxa de juros, câmbio, subsídios públicos, privatização, estatização ou qualquer instrumento econômico. Antes, ela existe como um problema político de estabelecer um projeto nacional de desenvolvimento ancorado na atividade industrial, que enfrenta obstáculos por um lado devido às característica das elites nacionais e por outro pela redução da capacidade da atividade industrial de agregar apoio de fração significativa da classe trabalhadora devido a seu menor potencial de geração de empregos.</w:t>
      </w:r>
    </w:p>
    <w:p w:rsidR="00000000" w:rsidDel="00000000" w:rsidP="00000000" w:rsidRDefault="00000000" w:rsidRPr="00000000" w14:paraId="000000BE">
      <w:pPr>
        <w:spacing w:line="240" w:lineRule="auto"/>
        <w:ind w:firstLine="720"/>
        <w:jc w:val="both"/>
        <w:rPr/>
      </w:pPr>
      <w:r w:rsidDel="00000000" w:rsidR="00000000" w:rsidRPr="00000000">
        <w:rPr>
          <w:rtl w:val="0"/>
        </w:rPr>
        <w:t xml:space="preserve">Esse problema não passou ao largo das discussões sobre a reindustrialização brasileira, mesmo que por vezes tenha sido feito apenas de forma implícita. Como evidência, um conjunto de argumentos “pró-industrialização” tem se formado como resposta a esse fenômeno e como tentativa de estruturar um projeto coerente de reindustrialização. Alguns desses argumentos encontraram uma formalização institucional na nova política industrial, adotada a partir de 2024, denominada Nova Indústria Brasil </w:t>
      </w:r>
      <w:r w:rsidDel="00000000" w:rsidR="00000000" w:rsidRPr="00000000">
        <w:rPr>
          <w:rtl w:val="0"/>
        </w:rPr>
        <w:t xml:space="preserve">(CNDI e MDIC, 2024)</w:t>
      </w:r>
      <w:r w:rsidDel="00000000" w:rsidR="00000000" w:rsidRPr="00000000">
        <w:rPr>
          <w:rtl w:val="0"/>
        </w:rPr>
        <w:t xml:space="preserve">. É a partir desse referencial que discutirá-se em seguida alguns desses “argumentos”, apontando entretanto alguns de seus limites. Eles dizem respeito ao projeto de reindustrialização como base de um crescimento econômico sustentável gerador de empregos “de qualidade”, como resposta à crise climática, como ampliador da capacidade exportadora do país, como melhoria do acesso da população urbana à infraestrutura e serviços de saúde e como busca de soberania em setores estratégicos </w:t>
      </w:r>
      <w:r w:rsidDel="00000000" w:rsidR="00000000" w:rsidRPr="00000000">
        <w:rPr>
          <w:rtl w:val="0"/>
        </w:rPr>
        <w:t xml:space="preserve">(CNDI e MDIC, 2024)</w:t>
      </w:r>
      <w:r w:rsidDel="00000000" w:rsidR="00000000" w:rsidRPr="00000000">
        <w:rPr>
          <w:rtl w:val="0"/>
        </w:rPr>
        <w:t xml:space="preserve">. Essa análise fica clara quando observa-se o peso do “Plano Mais Produção” dentro do conjunto de instrumentos da nova política industrial, que “concentra em seus quatro eixos - Mais Inovação, Mais Verde, Mais  Exportação, Mais Produtividade – para o período de 2023 a 2026” [...] “R$ 300 bilhões” </w:t>
      </w:r>
      <w:r w:rsidDel="00000000" w:rsidR="00000000" w:rsidRPr="00000000">
        <w:rPr>
          <w:rtl w:val="0"/>
        </w:rPr>
        <w:t xml:space="preserve">(CNDI e MDIC, 2024, p. 14)</w:t>
      </w:r>
      <w:r w:rsidDel="00000000" w:rsidR="00000000" w:rsidRPr="00000000">
        <w:rPr>
          <w:rtl w:val="0"/>
        </w:rPr>
        <w:t xml:space="preserve">. Desde seu anúncio o valor total para o plano foi incrementado em outros 42,7 bilhões </w:t>
      </w:r>
      <w:r w:rsidDel="00000000" w:rsidR="00000000" w:rsidRPr="00000000">
        <w:rPr>
          <w:rtl w:val="0"/>
        </w:rPr>
        <w:t xml:space="preserve">(Taiar, 2024)</w:t>
      </w:r>
      <w:r w:rsidDel="00000000" w:rsidR="00000000" w:rsidRPr="00000000">
        <w:rPr>
          <w:rtl w:val="0"/>
        </w:rPr>
        <w:t xml:space="preserve">.</w:t>
      </w:r>
    </w:p>
    <w:p w:rsidR="00000000" w:rsidDel="00000000" w:rsidP="00000000" w:rsidRDefault="00000000" w:rsidRPr="00000000" w14:paraId="000000BF">
      <w:pPr>
        <w:spacing w:line="240" w:lineRule="auto"/>
        <w:ind w:firstLine="720"/>
        <w:jc w:val="both"/>
        <w:rPr/>
      </w:pPr>
      <w:r w:rsidDel="00000000" w:rsidR="00000000" w:rsidRPr="00000000">
        <w:rPr>
          <w:rtl w:val="0"/>
        </w:rPr>
        <w:t xml:space="preserve">Mas o que destaca-se aqui é menos o valor alocado ao plano, que ainda se mostra muito inferior a outras iniciativas de apoio ao crescimento, como os planos Safra </w:t>
      </w:r>
      <w:r w:rsidDel="00000000" w:rsidR="00000000" w:rsidRPr="00000000">
        <w:rPr>
          <w:rtl w:val="0"/>
        </w:rPr>
        <w:t xml:space="preserve">(Agência Brasil, 2024)</w:t>
      </w:r>
      <w:r w:rsidDel="00000000" w:rsidR="00000000" w:rsidRPr="00000000">
        <w:rPr>
          <w:rtl w:val="0"/>
        </w:rPr>
        <w:t xml:space="preserve">, e mais as lógicas expressados no que diz respeito aos retornos esperados à sociedade em função do desenvolvimento industrial. Dá-se atenção a tais justificativas, pois elas embasam a discussão sobre a necessidade de uma política pública sobre o tema e, portanto, são articuladoras entre a ação do Estado e os interesses dos diversos grupos sociais representados por este.</w:t>
      </w:r>
    </w:p>
    <w:p w:rsidR="00000000" w:rsidDel="00000000" w:rsidP="00000000" w:rsidRDefault="00000000" w:rsidRPr="00000000" w14:paraId="000000C0">
      <w:pPr>
        <w:spacing w:line="240" w:lineRule="auto"/>
        <w:ind w:firstLine="720"/>
        <w:jc w:val="both"/>
        <w:rPr/>
      </w:pPr>
      <w:r w:rsidDel="00000000" w:rsidR="00000000" w:rsidRPr="00000000">
        <w:rPr>
          <w:rtl w:val="0"/>
        </w:rPr>
        <w:t xml:space="preserve">É preciso esclarecer que o objetivo deste texto não é uma análise aprofundada da nova política industrial. Em que pese os limites dos argumentos apresentados acima, o Nova Indústria Brasil representa um importante esforço de institucionalização de uma política industrial ancorada simultaneamente em processos de aprendizado institucional e no impacto direto na vida da população. O que importa aqui, mais especificamente, é  como os objetivos e estratégias delineados no plano representam não apenas um diagnóstico dos obstáculos ao desenvolvimento industrial, mas associam a solução destes obstáculos diretamente com os benefícios que possam ser compartilhados por diferentes grupos sociais. É assim, um arranjo político que delineia certo conjunto de interesses como prioritários e suficientes para justificar o uso de recursos comuns.</w:t>
      </w:r>
    </w:p>
    <w:p w:rsidR="00000000" w:rsidDel="00000000" w:rsidP="00000000" w:rsidRDefault="00000000" w:rsidRPr="00000000" w14:paraId="000000C1">
      <w:pPr>
        <w:spacing w:line="240" w:lineRule="auto"/>
        <w:ind w:firstLine="720"/>
        <w:jc w:val="both"/>
        <w:rPr/>
      </w:pPr>
      <w:r w:rsidDel="00000000" w:rsidR="00000000" w:rsidRPr="00000000">
        <w:rPr>
          <w:rtl w:val="0"/>
        </w:rPr>
        <w:t xml:space="preserve">Passando diretamente aos argumentos citados, o primeiro diz respeito à necessidade de não apenas aumentar a produção e produtividade nacional, mas de um impacto para a população na forma de “empregos de qualidade” </w:t>
      </w:r>
      <w:r w:rsidDel="00000000" w:rsidR="00000000" w:rsidRPr="00000000">
        <w:rPr>
          <w:rtl w:val="0"/>
        </w:rPr>
        <w:t xml:space="preserve">(CNDI e MDIC, 2024)</w:t>
      </w:r>
      <w:r w:rsidDel="00000000" w:rsidR="00000000" w:rsidRPr="00000000">
        <w:rPr>
          <w:rtl w:val="0"/>
        </w:rPr>
        <w:t xml:space="preserve">. Em que pese a importância do incremento da produtividade, sofisticação tecnológica e capacidade exportadora para o crescimento do país, a articulação de um projeto em torno de “empregos de qualidade” apresenta limitações. A primeira é a já citada limitação na capacidade de produção de empregos em novas instalações industriais, dado o paradigma da produção flexível </w:t>
      </w:r>
      <w:r w:rsidDel="00000000" w:rsidR="00000000" w:rsidRPr="00000000">
        <w:rPr>
          <w:rtl w:val="0"/>
        </w:rPr>
        <w:t xml:space="preserve">(Ramalho, 2010)</w:t>
      </w:r>
      <w:r w:rsidDel="00000000" w:rsidR="00000000" w:rsidRPr="00000000">
        <w:rPr>
          <w:rtl w:val="0"/>
        </w:rPr>
        <w:t xml:space="preserve">. Uma segunda problemática é que, mesmo em atividades mais “sofisticadas”, a qualidade do emprego não pode ser entendida como resultado necessário ou mesmo esperado. Como mostra Ramalho </w:t>
      </w:r>
      <w:r w:rsidDel="00000000" w:rsidR="00000000" w:rsidRPr="00000000">
        <w:rPr>
          <w:rtl w:val="0"/>
        </w:rPr>
        <w:t xml:space="preserve">(2006)</w:t>
      </w:r>
      <w:r w:rsidDel="00000000" w:rsidR="00000000" w:rsidRPr="00000000">
        <w:rPr>
          <w:rtl w:val="0"/>
        </w:rPr>
        <w:t xml:space="preserve">, novas unidades produtivas, com práticas modernas e flexíveis, muitas vezes combinam essas práticas com modelos de gestão do trabalho tradicionais e frequentemente autoritários.</w:t>
      </w:r>
    </w:p>
    <w:p w:rsidR="00000000" w:rsidDel="00000000" w:rsidP="00000000" w:rsidRDefault="00000000" w:rsidRPr="00000000" w14:paraId="000000C2">
      <w:pPr>
        <w:spacing w:line="240" w:lineRule="auto"/>
        <w:ind w:firstLine="720"/>
        <w:jc w:val="both"/>
        <w:rPr/>
      </w:pPr>
      <w:r w:rsidDel="00000000" w:rsidR="00000000" w:rsidRPr="00000000">
        <w:rPr>
          <w:rtl w:val="0"/>
        </w:rPr>
        <w:t xml:space="preserve">Isso implica que, ao passo que produtividade e sofisticação tecnológicas são elementos necessários para existência de trabalhos de qualidade, não são causas suficientes para eles </w:t>
      </w:r>
      <w:r w:rsidDel="00000000" w:rsidR="00000000" w:rsidRPr="00000000">
        <w:rPr>
          <w:rtl w:val="0"/>
        </w:rPr>
        <w:t xml:space="preserve">(Mahoney, 2003)</w:t>
      </w:r>
      <w:r w:rsidDel="00000000" w:rsidR="00000000" w:rsidRPr="00000000">
        <w:rPr>
          <w:rtl w:val="0"/>
        </w:rPr>
        <w:t xml:space="preserve">. Exemplo recente, a implementação da unidade produtiva de veículos elétricos em Camaçari tem levantado embates diante das propostas salariais abaixo das expectativas de trabalhadores e sindicatos </w:t>
      </w:r>
      <w:r w:rsidDel="00000000" w:rsidR="00000000" w:rsidRPr="00000000">
        <w:rPr>
          <w:rtl w:val="0"/>
        </w:rPr>
        <w:t xml:space="preserve">(Gabriel, 2025)</w:t>
      </w:r>
      <w:r w:rsidDel="00000000" w:rsidR="00000000" w:rsidRPr="00000000">
        <w:rPr>
          <w:rtl w:val="0"/>
        </w:rPr>
        <w:t xml:space="preserve">. Tal discussão não é surpreendente quando tomada em conta a literatura existente sobre a relação entre processos de </w:t>
      </w:r>
      <w:r w:rsidDel="00000000" w:rsidR="00000000" w:rsidRPr="00000000">
        <w:rPr>
          <w:i w:val="1"/>
          <w:iCs w:val="1"/>
          <w:rtl w:val="0"/>
        </w:rPr>
        <w:t xml:space="preserve">upgrade</w:t>
      </w:r>
      <w:r w:rsidDel="00000000" w:rsidR="00000000" w:rsidRPr="00000000">
        <w:rPr>
          <w:rtl w:val="0"/>
        </w:rPr>
        <w:t xml:space="preserve"> econômico e </w:t>
      </w:r>
      <w:r w:rsidDel="00000000" w:rsidR="00000000" w:rsidRPr="00000000">
        <w:rPr>
          <w:i w:val="1"/>
          <w:iCs w:val="1"/>
          <w:rtl w:val="0"/>
        </w:rPr>
        <w:t xml:space="preserve">upgrade</w:t>
      </w:r>
      <w:r w:rsidDel="00000000" w:rsidR="00000000" w:rsidRPr="00000000">
        <w:rPr>
          <w:rtl w:val="0"/>
        </w:rPr>
        <w:t xml:space="preserve"> social </w:t>
      </w:r>
      <w:r w:rsidDel="00000000" w:rsidR="00000000" w:rsidRPr="00000000">
        <w:rPr>
          <w:rtl w:val="0"/>
        </w:rPr>
        <w:t xml:space="preserve">(Barrientos, Gereffi e Rossi, 2011)</w:t>
      </w:r>
      <w:r w:rsidDel="00000000" w:rsidR="00000000" w:rsidRPr="00000000">
        <w:rPr>
          <w:rtl w:val="0"/>
        </w:rPr>
        <w:t xml:space="preserve">. Na ausência de elementos institucionais que garantam a captura do valor produzido por territórios e comunidades – como leis trabalhistas, um papel ativo do Estado ou fortalecimento de organizações representativas dos trabalhadores – processos de melhoria da produtividade podem não se refletir em melhorias das condições sociais. No caso brasileiro parece inclusive existir um movimento na direção contrária com processos de precarização, através da flexibilização das leis trabalhistas, de redução da seguridade social e enfraquecimento das organizações trabalhistas. Assim, reduz a capacidade de mobilização política do emprego industrial formal.</w:t>
      </w:r>
    </w:p>
    <w:p w:rsidR="00000000" w:rsidDel="00000000" w:rsidP="00000000" w:rsidRDefault="00000000" w:rsidRPr="00000000" w14:paraId="000000C3">
      <w:pPr>
        <w:spacing w:line="240" w:lineRule="auto"/>
        <w:ind w:firstLine="720"/>
        <w:jc w:val="both"/>
        <w:rPr/>
      </w:pPr>
      <w:r w:rsidDel="00000000" w:rsidR="00000000" w:rsidRPr="00000000">
        <w:rPr>
          <w:rtl w:val="0"/>
        </w:rPr>
        <w:t xml:space="preserve">Tal discussão não significa apenas que projetos de reindustrialização podem não vir a oferecer retornos sociais e econômicos esperados, mas que a própria articulação do emprego industrial como base de apoio a esses projetos fica fragilizada. Como justificar o significativo emprego de capital econômico e político na manutenção de projetos de longo prazo que apresentam retornos em empregos quantitativamente inferiores às alternativas mais precárias e onde o retorno na qualidade desses empregos encontra-se cada vez mais incerto?</w:t>
      </w:r>
    </w:p>
    <w:p w:rsidR="00000000" w:rsidDel="00000000" w:rsidP="00000000" w:rsidRDefault="00000000" w:rsidRPr="00000000" w14:paraId="000000C4">
      <w:pPr>
        <w:spacing w:line="240" w:lineRule="auto"/>
        <w:ind w:firstLine="720"/>
        <w:jc w:val="both"/>
        <w:rPr/>
      </w:pPr>
      <w:r w:rsidDel="00000000" w:rsidR="00000000" w:rsidRPr="00000000">
        <w:rPr>
          <w:rtl w:val="0"/>
        </w:rPr>
        <w:t xml:space="preserve">Uma segunda é a questão ambiental e a proposta de posicionar a reindustrialização como componente de uma agenda de transição energética</w:t>
      </w:r>
      <w:r w:rsidDel="00000000" w:rsidR="00000000" w:rsidRPr="00000000">
        <w:rPr>
          <w:color w:val="ff0000"/>
          <w:rtl w:val="0"/>
        </w:rPr>
        <w:t xml:space="preserve">.</w:t>
      </w:r>
      <w:r w:rsidDel="00000000" w:rsidR="00000000" w:rsidRPr="00000000">
        <w:rPr>
          <w:rtl w:val="0"/>
        </w:rPr>
        <w:t xml:space="preserve"> Tal fator é enfatizado inclusive no lugar privilegiado que o agronegócio tem na pauta do Nova Indústria Brasil </w:t>
      </w:r>
      <w:r w:rsidDel="00000000" w:rsidR="00000000" w:rsidRPr="00000000">
        <w:rPr>
          <w:rtl w:val="0"/>
        </w:rPr>
        <w:t xml:space="preserve">(CNDI e MDIC, 2024)</w:t>
      </w:r>
      <w:r w:rsidDel="00000000" w:rsidR="00000000" w:rsidRPr="00000000">
        <w:rPr>
          <w:rtl w:val="0"/>
        </w:rPr>
        <w:t xml:space="preserve">. Entretanto, assim como no caso do trabalho de qualidade, o arcabouço institucional brasileiro parece direcionado de forma contra produtiva a esse objetivo, vide recentes flexibilizações de regulações ambientais </w:t>
      </w:r>
      <w:r w:rsidDel="00000000" w:rsidR="00000000" w:rsidRPr="00000000">
        <w:rPr>
          <w:rtl w:val="0"/>
        </w:rPr>
        <w:t xml:space="preserve">(León, 2025)</w:t>
      </w:r>
      <w:r w:rsidDel="00000000" w:rsidR="00000000" w:rsidRPr="00000000">
        <w:rPr>
          <w:rtl w:val="0"/>
        </w:rPr>
        <w:t xml:space="preserve">. Nesse sentido, os esforços de construção de uma economia sustentável e de longo prazo podem ser parcialmente anulados por uma regulação ambiental que privilegia modelos econômicos menos sustentáveis e de curto prazo.</w:t>
      </w:r>
    </w:p>
    <w:p w:rsidR="00000000" w:rsidDel="00000000" w:rsidP="00000000" w:rsidRDefault="00000000" w:rsidRPr="00000000" w14:paraId="000000C5">
      <w:pPr>
        <w:spacing w:line="240" w:lineRule="auto"/>
        <w:ind w:firstLine="720"/>
        <w:jc w:val="both"/>
        <w:rPr/>
      </w:pPr>
      <w:r w:rsidDel="00000000" w:rsidR="00000000" w:rsidRPr="00000000">
        <w:rPr>
          <w:rtl w:val="0"/>
        </w:rPr>
        <w:t xml:space="preserve">Tanto no caso da busca por ganhos de produtividade industrial como na incorporação do agronegócio via argumento de sustentabilidade, a ampliação da capacidade de exportação é dado como objetivo privilegiado </w:t>
      </w:r>
      <w:r w:rsidDel="00000000" w:rsidR="00000000" w:rsidRPr="00000000">
        <w:rPr>
          <w:rtl w:val="0"/>
        </w:rPr>
        <w:t xml:space="preserve">(CNDI e MDIC, 2024)</w:t>
      </w:r>
      <w:r w:rsidDel="00000000" w:rsidR="00000000" w:rsidRPr="00000000">
        <w:rPr>
          <w:rtl w:val="0"/>
        </w:rPr>
        <w:t xml:space="preserve">. Isso é coerente do ponto de vista econômico, já que a exportação foi importante ferramenta para desenvolvimento industrial de países de industrialização tardia </w:t>
      </w:r>
      <w:r w:rsidDel="00000000" w:rsidR="00000000" w:rsidRPr="00000000">
        <w:rPr>
          <w:rtl w:val="0"/>
        </w:rPr>
        <w:t xml:space="preserve">(Amsden, 2001)</w:t>
      </w:r>
      <w:r w:rsidDel="00000000" w:rsidR="00000000" w:rsidRPr="00000000">
        <w:rPr>
          <w:rtl w:val="0"/>
        </w:rPr>
        <w:t xml:space="preserve">, representando uma forma de incremento da capacidade de acumulação, via entrada de capitais, e também reposicionamento do país nas cadeias globais de valor </w:t>
      </w:r>
      <w:r w:rsidDel="00000000" w:rsidR="00000000" w:rsidRPr="00000000">
        <w:rPr>
          <w:rtl w:val="0"/>
        </w:rPr>
        <w:t xml:space="preserve">(Coe </w:t>
      </w:r>
      <w:r w:rsidDel="00000000" w:rsidR="00000000" w:rsidRPr="00000000">
        <w:rPr>
          <w:i w:val="1"/>
          <w:iCs w:val="1"/>
          <w:rtl w:val="0"/>
        </w:rPr>
        <w:t xml:space="preserve">et al.</w:t>
      </w:r>
      <w:r w:rsidDel="00000000" w:rsidR="00000000" w:rsidRPr="00000000">
        <w:rPr>
          <w:rtl w:val="0"/>
        </w:rPr>
        <w:t xml:space="preserve">, 2004; Henderson </w:t>
      </w:r>
      <w:r w:rsidDel="00000000" w:rsidR="00000000" w:rsidRPr="00000000">
        <w:rPr>
          <w:i w:val="1"/>
          <w:iCs w:val="1"/>
          <w:rtl w:val="0"/>
        </w:rPr>
        <w:t xml:space="preserve">et al.</w:t>
      </w:r>
      <w:r w:rsidDel="00000000" w:rsidR="00000000" w:rsidRPr="00000000">
        <w:rPr>
          <w:rtl w:val="0"/>
        </w:rPr>
        <w:t xml:space="preserve">, 2002)</w:t>
      </w:r>
      <w:r w:rsidDel="00000000" w:rsidR="00000000" w:rsidRPr="00000000">
        <w:rPr>
          <w:rtl w:val="0"/>
        </w:rPr>
        <w:t xml:space="preserve">. Entretanto, a exportação implica, do ponto de vista da economia política, algumas consequências.</w:t>
      </w:r>
    </w:p>
    <w:p w:rsidR="00000000" w:rsidDel="00000000" w:rsidP="00000000" w:rsidRDefault="00000000" w:rsidRPr="00000000" w14:paraId="000000C6">
      <w:pPr>
        <w:spacing w:line="240" w:lineRule="auto"/>
        <w:ind w:firstLine="720"/>
        <w:jc w:val="both"/>
        <w:rPr/>
      </w:pPr>
      <w:r w:rsidDel="00000000" w:rsidR="00000000" w:rsidRPr="00000000">
        <w:rPr>
          <w:rtl w:val="0"/>
        </w:rPr>
        <w:t xml:space="preserve">Primeiramente, a orientação da economia às exportações implica, ao menos no curto prazo, na contenção de consumo. Ao passo que o déficit em balança comercial implica um grau de consumo adicional, um financiamento de certo padrão de vida material, um superávit comercial tipicamente implica um menor consumo doméstico. Isso fica notável ao observar recentes impactos inflacionários da exportação de produtos alimentícios </w:t>
      </w:r>
      <w:r w:rsidDel="00000000" w:rsidR="00000000" w:rsidRPr="00000000">
        <w:rPr>
          <w:rtl w:val="0"/>
        </w:rPr>
        <w:t xml:space="preserve">(Moura, 2025)</w:t>
      </w:r>
      <w:r w:rsidDel="00000000" w:rsidR="00000000" w:rsidRPr="00000000">
        <w:rPr>
          <w:rtl w:val="0"/>
        </w:rPr>
        <w:t xml:space="preserve"> ou na perda de mercado de indústrias locais frente ao acesso a produtos externos de baixo custo </w:t>
      </w:r>
      <w:r w:rsidDel="00000000" w:rsidR="00000000" w:rsidRPr="00000000">
        <w:rPr>
          <w:rtl w:val="0"/>
        </w:rPr>
        <w:t xml:space="preserve">(Chmurzynski, 2024)</w:t>
      </w:r>
      <w:r w:rsidDel="00000000" w:rsidR="00000000" w:rsidRPr="00000000">
        <w:rPr>
          <w:rtl w:val="0"/>
        </w:rPr>
        <w:t xml:space="preserve">. Essa problemática implica que, ainda que no longo prazo possa haver ganhos com uma política de exportações, há no curto prazo uma disputa política a respeito de qual consumo será inibido e qual classe, ou fração de classe, arcará com tal custo.</w:t>
      </w:r>
    </w:p>
    <w:p w:rsidR="00000000" w:rsidDel="00000000" w:rsidP="00000000" w:rsidRDefault="00000000" w:rsidRPr="00000000" w14:paraId="000000C7">
      <w:pPr>
        <w:spacing w:line="240" w:lineRule="auto"/>
        <w:ind w:firstLine="720"/>
        <w:jc w:val="both"/>
        <w:rPr/>
      </w:pPr>
      <w:r w:rsidDel="00000000" w:rsidR="00000000" w:rsidRPr="00000000">
        <w:rPr>
          <w:rtl w:val="0"/>
        </w:rPr>
        <w:t xml:space="preserve">Além disso, a busca de uma política de exportações tende a priorizar a depreciação do câmbio, o que também é um elemento de restrição do consumo. Nesse sentido, ela opera num sentido oposto de uma sobrevalorização da taxa de câmbio, que permite manter padrões de consumo elevados em troca de perda de competitividade nacional </w:t>
      </w:r>
      <w:r w:rsidDel="00000000" w:rsidR="00000000" w:rsidRPr="00000000">
        <w:rPr>
          <w:rtl w:val="0"/>
        </w:rPr>
        <w:t xml:space="preserve">(Gala e Libânio, 2011)</w:t>
      </w:r>
      <w:r w:rsidDel="00000000" w:rsidR="00000000" w:rsidRPr="00000000">
        <w:rPr>
          <w:rtl w:val="0"/>
        </w:rPr>
        <w:t xml:space="preserve">. Novamente, a problemática é menos técnica/econômica, definir que um papel exportador é no longo prazo positivo a meta de desenvolvimento econômico, e mais política, definir como a restrição do consumo e seus supostos frutos futuros serão em cada caso repartidos pelos grupos sociais.</w:t>
      </w:r>
    </w:p>
    <w:p w:rsidR="00000000" w:rsidDel="00000000" w:rsidP="00000000" w:rsidRDefault="00000000" w:rsidRPr="00000000" w14:paraId="000000C8">
      <w:pPr>
        <w:spacing w:line="240" w:lineRule="auto"/>
        <w:jc w:val="both"/>
        <w:rPr/>
      </w:pPr>
      <w:r w:rsidDel="00000000" w:rsidR="00000000" w:rsidRPr="00000000">
        <w:rPr>
          <w:rtl w:val="0"/>
        </w:rPr>
        <w:tab/>
        <w:t xml:space="preserve">Por fim, há de se ponderar o conjunto de argumentos voltados ao desenvolvimento da infraestrutura urbana, além do estabelecimento de uma indústria de saúde e defesa mais autossuficientes </w:t>
      </w:r>
      <w:r w:rsidDel="00000000" w:rsidR="00000000" w:rsidRPr="00000000">
        <w:rPr>
          <w:rtl w:val="0"/>
        </w:rPr>
        <w:t xml:space="preserve">(CNDI e MDIC, 2024)</w:t>
      </w:r>
      <w:r w:rsidDel="00000000" w:rsidR="00000000" w:rsidRPr="00000000">
        <w:rPr>
          <w:rtl w:val="0"/>
        </w:rPr>
        <w:t xml:space="preserve">. Em que pese a importância e a capacidade da melhoria da infraestrutura urbana e da indústria de saúde em beneficiarem diretamente a qualidade de vida da população, além do valor estratégico do setor de defesa e da penetração do apelo “nacionalista” em parte da população, tais setores apresentam limitações dentro do atual quadro fiscal brasileiro. Isso pois investimentos em defesa e infraestrutura são altamente dependentes da capacidade de gasto do Estado, de políticas públicas de longo prazo e nem sempre resultam nos efeitos em cadeia desejados. Especialmente no setor de defesa, expectativas de que a adoção de políticas de desenvolvimento nacional resultem em ramificações e desenvolvimento de atividades econômicas “locais” – por exemplo via políticas de Arranjos Produtivos Locais – , tem tido resultados abaixo das expectativas, mesmo que positivos, e dificuldades de continuidade em cenários de mudança de governo </w:t>
      </w:r>
      <w:r w:rsidDel="00000000" w:rsidR="00000000" w:rsidRPr="00000000">
        <w:rPr>
          <w:rtl w:val="0"/>
        </w:rPr>
        <w:t xml:space="preserve">(Ramalho e Conceição, 2024)</w:t>
      </w:r>
      <w:r w:rsidDel="00000000" w:rsidR="00000000" w:rsidRPr="00000000">
        <w:rPr>
          <w:rtl w:val="0"/>
        </w:rPr>
        <w:t xml:space="preserve">. São assim, exemplo de como não basta o correto desenho de política pública, mas também a necessidade de construção de um projeto de desenvolvimento durável no tempo e resistente às alternâncias de poder democráticas.</w:t>
      </w:r>
    </w:p>
    <w:p w:rsidR="00000000" w:rsidDel="00000000" w:rsidP="00000000" w:rsidRDefault="00000000" w:rsidRPr="00000000" w14:paraId="000000C9">
      <w:pPr>
        <w:spacing w:line="240" w:lineRule="auto"/>
        <w:jc w:val="both"/>
        <w:rPr/>
      </w:pPr>
      <w:r w:rsidDel="00000000" w:rsidR="00000000" w:rsidRPr="00000000">
        <w:rPr>
          <w:rtl w:val="0"/>
        </w:rPr>
        <w:t xml:space="preserve">Oportunidades da reindustrialização: um novo pacto baseado na produtividade?</w:t>
      </w:r>
    </w:p>
    <w:p w:rsidR="00000000" w:rsidDel="00000000" w:rsidP="00000000" w:rsidRDefault="00000000" w:rsidRPr="00000000" w14:paraId="000000CA">
      <w:pPr>
        <w:spacing w:line="240" w:lineRule="auto"/>
        <w:jc w:val="both"/>
        <w:rPr/>
      </w:pPr>
      <w:r w:rsidDel="00000000" w:rsidR="00000000" w:rsidRPr="00000000">
        <w:rPr>
          <w:rtl w:val="0"/>
        </w:rPr>
        <w:tab/>
        <w:t xml:space="preserve">O cerne dos argumentos acima é a relação entre a existência de um projeto político definido e a característica do processo de desenvolvimento econômico. Isso implica o estabelecimento de uma relação entre classes, ou frações de classes, que seja funcional a manutenção de tal projeto político. As formas históricas que esse pacto assume variam no tempo em acordo com os interesses e o poder – a capacidade de implementar seus interesses como interesses comuns </w:t>
      </w:r>
      <w:r w:rsidDel="00000000" w:rsidR="00000000" w:rsidRPr="00000000">
        <w:rPr>
          <w:rtl w:val="0"/>
        </w:rPr>
        <w:t xml:space="preserve">(Dobbin, 2005)</w:t>
      </w:r>
      <w:r w:rsidDel="00000000" w:rsidR="00000000" w:rsidRPr="00000000">
        <w:rPr>
          <w:rtl w:val="0"/>
        </w:rPr>
        <w:t xml:space="preserve"> – dos diversos grupos sociais envolvidos.</w:t>
      </w:r>
    </w:p>
    <w:p w:rsidR="00000000" w:rsidDel="00000000" w:rsidP="00000000" w:rsidRDefault="00000000" w:rsidRPr="00000000" w14:paraId="000000CB">
      <w:pPr>
        <w:spacing w:line="240" w:lineRule="auto"/>
        <w:jc w:val="both"/>
        <w:rPr/>
      </w:pPr>
      <w:r w:rsidDel="00000000" w:rsidR="00000000" w:rsidRPr="00000000">
        <w:rPr>
          <w:rtl w:val="0"/>
        </w:rPr>
        <w:tab/>
        <w:t xml:space="preserve">No caso brasileiro o período de forte industrialização de 1967 até 1973 foi exemplo de um desses pactos. Como forma de sumarizar tal projeto, poderia-se recorrer à frase do antigo ministro da economia Delfim Neto de que é necessário “</w:t>
      </w:r>
      <w:r w:rsidDel="00000000" w:rsidR="00000000" w:rsidRPr="00000000">
        <w:rPr>
          <w:highlight w:val="white"/>
          <w:rtl w:val="0"/>
        </w:rPr>
        <w:t xml:space="preserve">fazer o bolo crescer, para depois dividi-lo</w:t>
      </w:r>
      <w:r w:rsidDel="00000000" w:rsidR="00000000" w:rsidRPr="00000000">
        <w:rPr>
          <w:rtl w:val="0"/>
        </w:rPr>
        <w:t xml:space="preserve">” </w:t>
      </w:r>
      <w:r w:rsidDel="00000000" w:rsidR="00000000" w:rsidRPr="00000000">
        <w:rPr>
          <w:rtl w:val="0"/>
        </w:rPr>
        <w:t xml:space="preserve">(Folha de São Paulo, [s.d.])</w:t>
      </w:r>
      <w:r w:rsidDel="00000000" w:rsidR="00000000" w:rsidRPr="00000000">
        <w:rPr>
          <w:rtl w:val="0"/>
        </w:rPr>
        <w:t xml:space="preserve">. Essa visão expressada é a de um desenvolvimento econômico acelerado, ancorado em dívida externa e papel ativo do Estado, mas que requer significativo aumento da desigualdade</w:t>
      </w:r>
      <w:r w:rsidDel="00000000" w:rsidR="00000000" w:rsidRPr="00000000">
        <w:rPr>
          <w:rtl w:val="0"/>
        </w:rPr>
        <w:t xml:space="preserve">(Barbosa, 2022; Hermann, 2015)</w:t>
      </w:r>
      <w:r w:rsidDel="00000000" w:rsidR="00000000" w:rsidRPr="00000000">
        <w:rPr>
          <w:rtl w:val="0"/>
        </w:rPr>
        <w:t xml:space="preserve">. É uma ótima demonstração da característica de um pacto firmado em ambiente de autoritarismo e onde predominava a conciliação dos interesses de elites econômicas nacionais, internacionais e da burocracia estatal </w:t>
      </w:r>
      <w:r w:rsidDel="00000000" w:rsidR="00000000" w:rsidRPr="00000000">
        <w:rPr>
          <w:rtl w:val="0"/>
        </w:rPr>
        <w:t xml:space="preserve">(Evans, 1979)</w:t>
      </w:r>
      <w:r w:rsidDel="00000000" w:rsidR="00000000" w:rsidRPr="00000000">
        <w:rPr>
          <w:rtl w:val="0"/>
        </w:rPr>
        <w:t xml:space="preserve">. A consequência da desarticulação desse projeto, em meio a crise da dívida externa e inflação, foi a articulação de um projeto de desenvolvimento alternativo, baseado em abertura comercial, privatização e, acima de tudo, estabilidade inflacionária</w:t>
      </w:r>
      <w:r w:rsidDel="00000000" w:rsidR="00000000" w:rsidRPr="00000000">
        <w:rPr>
          <w:rtl w:val="0"/>
        </w:rPr>
        <w:t xml:space="preserve">(Giambiagi, 2015; Paula, de, 2022)</w:t>
      </w:r>
      <w:r w:rsidDel="00000000" w:rsidR="00000000" w:rsidRPr="00000000">
        <w:rPr>
          <w:rtl w:val="0"/>
        </w:rPr>
        <w:t xml:space="preserve">.</w:t>
      </w:r>
    </w:p>
    <w:p w:rsidR="00000000" w:rsidDel="00000000" w:rsidP="00000000" w:rsidRDefault="00000000" w:rsidRPr="00000000" w14:paraId="000000CC">
      <w:pPr>
        <w:spacing w:line="240" w:lineRule="auto"/>
        <w:jc w:val="both"/>
        <w:rPr/>
      </w:pPr>
      <w:r w:rsidDel="00000000" w:rsidR="00000000" w:rsidRPr="00000000">
        <w:rPr>
          <w:rtl w:val="0"/>
        </w:rPr>
        <w:tab/>
        <w:t xml:space="preserve">Entretanto, se bem sucedido no combate inflacionário, tal projeto não evitou a continuidade da desindustrialização nacional. Se os governos Lula [2003-2010] e Dilma [2011-2015] em parte conseguiram uma parcial repactuação desse modelo, com a inclusão da expansão da capacidade de consumo das classes populares entre os interesses privilegiados, especialmente via valorização salarial </w:t>
      </w:r>
      <w:r w:rsidDel="00000000" w:rsidR="00000000" w:rsidRPr="00000000">
        <w:rPr>
          <w:rtl w:val="0"/>
        </w:rPr>
        <w:t xml:space="preserve">(Cosenza, 2022; Fonseca, Arend e Guerrero, 2020)</w:t>
      </w:r>
      <w:r w:rsidDel="00000000" w:rsidR="00000000" w:rsidRPr="00000000">
        <w:rPr>
          <w:rtl w:val="0"/>
        </w:rPr>
        <w:t xml:space="preserve">, tão pouco conseguiu reverter uma tendência à desindustrialização relativa – crescimento menor da indústria que outros setores – que se prolongou nas últimas duas décadas.</w:t>
      </w:r>
    </w:p>
    <w:p w:rsidR="00000000" w:rsidDel="00000000" w:rsidP="00000000" w:rsidRDefault="00000000" w:rsidRPr="00000000" w14:paraId="000000CD">
      <w:pPr>
        <w:spacing w:line="240" w:lineRule="auto"/>
        <w:ind w:firstLine="720"/>
        <w:jc w:val="both"/>
        <w:rPr/>
      </w:pPr>
      <w:r w:rsidDel="00000000" w:rsidR="00000000" w:rsidRPr="00000000">
        <w:rPr>
          <w:rtl w:val="0"/>
        </w:rPr>
        <w:t xml:space="preserve">Em outras palavras, em meio ao uso de recursos políticos e econômicos em projetos de redistribuição de renda bem sucedidos, o papel do Estado de ampliar a capacidade de acumulação ficou em segundo plano. O resultado foi um crescimento econômico robusto, baseado no incremento da demanda pela classes média emergente, no bônus demográfico e no período de </w:t>
      </w:r>
      <w:r w:rsidDel="00000000" w:rsidR="00000000" w:rsidRPr="00000000">
        <w:rPr>
          <w:i w:val="1"/>
          <w:iCs w:val="1"/>
          <w:rtl w:val="0"/>
        </w:rPr>
        <w:t xml:space="preserve">boom</w:t>
      </w:r>
      <w:r w:rsidDel="00000000" w:rsidR="00000000" w:rsidRPr="00000000">
        <w:rPr>
          <w:rtl w:val="0"/>
        </w:rPr>
        <w:t xml:space="preserve"> das </w:t>
      </w:r>
      <w:r w:rsidDel="00000000" w:rsidR="00000000" w:rsidRPr="00000000">
        <w:rPr>
          <w:i w:val="1"/>
          <w:iCs w:val="1"/>
          <w:rtl w:val="0"/>
        </w:rPr>
        <w:t xml:space="preserve">commodities</w:t>
      </w:r>
      <w:r w:rsidDel="00000000" w:rsidR="00000000" w:rsidRPr="00000000">
        <w:rPr>
          <w:rtl w:val="0"/>
        </w:rPr>
        <w:t xml:space="preserve">, mas de pouca melhoria na produtividade, pouco reposicionamento nas cadeias globais de valor e recorrentes pressões inflacionárias </w:t>
      </w:r>
      <w:r w:rsidDel="00000000" w:rsidR="00000000" w:rsidRPr="00000000">
        <w:rPr>
          <w:rtl w:val="0"/>
        </w:rPr>
        <w:t xml:space="preserve">(Cosenza, 2022; Fonseca, Arend e Guerrero, 2020)</w:t>
      </w:r>
      <w:r w:rsidDel="00000000" w:rsidR="00000000" w:rsidRPr="00000000">
        <w:rPr>
          <w:rtl w:val="0"/>
        </w:rPr>
        <w:t xml:space="preserve">.</w:t>
      </w:r>
    </w:p>
    <w:p w:rsidR="00000000" w:rsidDel="00000000" w:rsidP="00000000" w:rsidRDefault="00000000" w:rsidRPr="00000000" w14:paraId="000000CE">
      <w:pPr>
        <w:spacing w:line="240" w:lineRule="auto"/>
        <w:jc w:val="both"/>
        <w:rPr/>
      </w:pPr>
      <w:r w:rsidDel="00000000" w:rsidR="00000000" w:rsidRPr="00000000">
        <w:rPr>
          <w:rtl w:val="0"/>
        </w:rPr>
        <w:tab/>
        <w:t xml:space="preserve">Também argumentou-se que, historicamente, os projetos de desenvolvimento baseados em significativa industrialização dependem de crescentes volumes de capital, ação estatal e se articularam em torno de dois eixos: a aceleração da capacidade de crescimento econômico baseada em incrementos da produtividade e a oferta significativa de empregos. Esses eixos dizem respeito diretamente a interesses de frações da elite econômica, tipicamente uma fração industrialista, e das camadas populares.</w:t>
      </w:r>
    </w:p>
    <w:p w:rsidR="00000000" w:rsidDel="00000000" w:rsidP="00000000" w:rsidRDefault="00000000" w:rsidRPr="00000000" w14:paraId="000000CF">
      <w:pPr>
        <w:spacing w:line="240" w:lineRule="auto"/>
        <w:jc w:val="both"/>
        <w:rPr/>
      </w:pPr>
      <w:r w:rsidDel="00000000" w:rsidR="00000000" w:rsidRPr="00000000">
        <w:rPr>
          <w:rtl w:val="0"/>
        </w:rPr>
        <w:tab/>
        <w:t xml:space="preserve">Após hiato entre 2016 e 2022 na existência de uma política industrial articulada e aposta num modelo liberal, pautado na redução dos custos do trabalho, enxugamento do estado e exploração das “vantagens competitivas”, o país voltou a enfatizar a necessidade de um desenvolvimento econômico que incorpore significativa reindustrialização como Nova Indústria Brasil. Entretanto, a reestruturação da atividade industrial em curso desde meados do século XX, que resultou em processos de desindustrialização em diversos países, reduziu de forma significativa a capacidade de geração de empregos dos investimentos industriais. Em resposta a isso e também a pressões particulares do caso brasileiro, a nova política industrial iniciada em 2024 parte da articulação do argumento pró-indústria com outros interesses e demandas da sociedade, a saber: uma melhoria na qualidade do emprego oferecido, a possibilidade de um modelo de desenvolvimento mais ambientalmente sustentável, a melhoria da infraestrutura urbana utilizada pela população e a autonomia nacional em setores estratégicos, como saúde e defesa.</w:t>
      </w:r>
    </w:p>
    <w:p w:rsidR="00000000" w:rsidDel="00000000" w:rsidP="00000000" w:rsidRDefault="00000000" w:rsidRPr="00000000" w14:paraId="000000D0">
      <w:pPr>
        <w:spacing w:line="240" w:lineRule="auto"/>
        <w:jc w:val="both"/>
        <w:rPr/>
      </w:pPr>
      <w:r w:rsidDel="00000000" w:rsidR="00000000" w:rsidRPr="00000000">
        <w:rPr>
          <w:rtl w:val="0"/>
        </w:rPr>
        <w:tab/>
        <w:t xml:space="preserve">Entretanto, mesmo sendo significativo avanço, tal projeto de reindustrialização ainda encontra obstáculos. Alguns dos maiores têm relação com a significativa constrição fiscal – em parte decorrente da baixa produtividade – e da pouca capacidade de agregação de apoio popular diante da baixa capacidade de gerar empregos e de um ambiente institucional hostil a conversão de processos de </w:t>
      </w:r>
      <w:r w:rsidDel="00000000" w:rsidR="00000000" w:rsidRPr="00000000">
        <w:rPr>
          <w:i w:val="1"/>
          <w:iCs w:val="1"/>
          <w:rtl w:val="0"/>
        </w:rPr>
        <w:t xml:space="preserve">upgrade</w:t>
      </w:r>
      <w:r w:rsidDel="00000000" w:rsidR="00000000" w:rsidRPr="00000000">
        <w:rPr>
          <w:rtl w:val="0"/>
        </w:rPr>
        <w:t xml:space="preserve"> econômico em </w:t>
      </w:r>
      <w:r w:rsidDel="00000000" w:rsidR="00000000" w:rsidRPr="00000000">
        <w:rPr>
          <w:i w:val="1"/>
          <w:iCs w:val="1"/>
          <w:rtl w:val="0"/>
        </w:rPr>
        <w:t xml:space="preserve">upgrade</w:t>
      </w:r>
      <w:r w:rsidDel="00000000" w:rsidR="00000000" w:rsidRPr="00000000">
        <w:rPr>
          <w:rtl w:val="0"/>
        </w:rPr>
        <w:t xml:space="preserve"> social. Nesse cenário, a continuidade de esforços de incremento da capacidade de consumo da população, especialmente via valorização real do salário mínimo, parece significar uma priorização do papel redistributivo do Estado, mas encontra resistência nas pressões inflacionárias, de causas em parte internas e em parte externas. A resposta institucionalizada a essa pressão inflacionária é um aumento significativo da taxa de juros, que reprime a possibilidade de desenvolvimento industrial. Acende sinal de alerta a estagnação do setor industrial nos dados do PIB do primeiro trimestre de 2025, com especial preocupação para a retração de 1% da indústria de transformação </w:t>
      </w:r>
      <w:r w:rsidDel="00000000" w:rsidR="00000000" w:rsidRPr="00000000">
        <w:rPr>
          <w:rtl w:val="0"/>
        </w:rPr>
        <w:t xml:space="preserve">(Agência de Notícias - IBGE, 2025)</w:t>
      </w:r>
      <w:r w:rsidDel="00000000" w:rsidR="00000000" w:rsidRPr="00000000">
        <w:rPr>
          <w:rtl w:val="0"/>
        </w:rPr>
        <w:t xml:space="preserve">.</w:t>
      </w:r>
    </w:p>
    <w:p w:rsidR="00000000" w:rsidDel="00000000" w:rsidP="00000000" w:rsidRDefault="00000000" w:rsidRPr="00000000" w14:paraId="000000D1">
      <w:pPr>
        <w:spacing w:line="240" w:lineRule="auto"/>
        <w:jc w:val="both"/>
        <w:rPr/>
      </w:pPr>
      <w:r w:rsidDel="00000000" w:rsidR="00000000" w:rsidRPr="00000000">
        <w:rPr>
          <w:rtl w:val="0"/>
        </w:rPr>
        <w:tab/>
        <w:t xml:space="preserve">Daí a importância de se atentar cada vez mais ao conjunto de demandas populares que pode constituir base de apoio político a novos projetos de desenvolvimento. Esse elemento participativo é fundamental para constituir um modelo de desenvolvimento que concilie as demandas específicas da atividade industrial com as demandas de uma sociedade democrática. Dentre muitas possibilidades, destaca-se aqui o significativo impacto e popularidade de projetos relativos à redução da jornada de trabalho, em particular a forte rejeição popular da chamada “escala 6x1" </w:t>
      </w:r>
      <w:r w:rsidDel="00000000" w:rsidR="00000000" w:rsidRPr="00000000">
        <w:rPr>
          <w:rtl w:val="0"/>
        </w:rPr>
        <w:t xml:space="preserve">(Martins, 2024)</w:t>
      </w:r>
      <w:r w:rsidDel="00000000" w:rsidR="00000000" w:rsidRPr="00000000">
        <w:rPr>
          <w:rtl w:val="0"/>
        </w:rPr>
        <w:t xml:space="preserve">. Se os incrementos de produtividade do trabalho, inerentes e necessários ao desenvolvimento industrial, são contraproducentes a projetos baseados na oferta quantitativa de empregos, eles são aparentemente mais compatíveis com projetos baseados no retorno dessa produtividade não apenas na forma de salários, e consumo, mas na forma da redução do tempo de trabalho. Para isso, entretanto, é preciso constituir um ambiente institucional que permita a captação dessa produtividade pelos trabalhadores e não apenas pelo capital, o que vai na contramão de um conjunto de reformas realizadas e propostas nos últimos anos para (des)regulação do trabalho e capital.</w:t>
      </w:r>
    </w:p>
    <w:p w:rsidR="00000000" w:rsidDel="00000000" w:rsidP="00000000" w:rsidRDefault="00000000" w:rsidRPr="00000000" w14:paraId="000000D2">
      <w:pPr>
        <w:spacing w:line="240" w:lineRule="auto"/>
        <w:ind w:firstLine="720"/>
        <w:jc w:val="both"/>
        <w:rPr/>
      </w:pPr>
      <w:r w:rsidDel="00000000" w:rsidR="00000000" w:rsidRPr="00000000">
        <w:rPr>
          <w:rtl w:val="0"/>
        </w:rPr>
        <w:t xml:space="preserve">A articulação dessa e de outras demandas sociais enquanto objetivos plausíveis, para a população, de um projeto de reindustrialização é precondição da mesma. Elas atuariam potencialmente como fonte de capital político para um desenvolvimento econômico pautado em atividades mais sofisticadas e intensivas em capital e menos ancorado naquelas intensivas em trabalho. Parece, assim, constituir um dos principais desafios e oportunidades na busca da reindustrialização brasileira.</w:t>
      </w:r>
    </w:p>
    <w:p w:rsidR="00000000" w:rsidDel="00000000" w:rsidP="00000000" w:rsidRDefault="00000000" w:rsidRPr="00000000" w14:paraId="000000D3">
      <w:pPr>
        <w:spacing w:line="240" w:lineRule="auto"/>
        <w:jc w:val="both"/>
        <w:rPr/>
      </w:pPr>
      <w:r w:rsidDel="00000000" w:rsidR="00000000" w:rsidRPr="00000000">
        <w:rPr>
          <w:rtl w:val="0"/>
        </w:rPr>
      </w:r>
    </w:p>
    <w:p w:rsidR="00000000" w:rsidDel="00000000" w:rsidP="00000000" w:rsidRDefault="00000000" w:rsidRPr="00000000" w14:paraId="000000D4">
      <w:pPr>
        <w:spacing w:line="240" w:lineRule="auto"/>
        <w:jc w:val="both"/>
        <w:rPr>
          <w:b w:val="1"/>
          <w:bCs w:val="1"/>
        </w:rPr>
      </w:pPr>
      <w:r w:rsidDel="00000000" w:rsidR="00000000" w:rsidRPr="00000000">
        <w:rPr>
          <w:b w:val="1"/>
          <w:bCs w:val="1"/>
          <w:rtl w:val="0"/>
        </w:rPr>
        <w:t xml:space="preserve">Bibliografia</w:t>
      </w:r>
    </w:p>
    <w:p w:rsidR="00000000" w:rsidDel="00000000" w:rsidP="00000000" w:rsidRDefault="00000000" w:rsidRPr="00000000" w14:paraId="000000D5">
      <w:pPr>
        <w:widowControl w:val="0"/>
        <w:spacing w:line="240" w:lineRule="auto"/>
        <w:rPr/>
      </w:pPr>
      <w:r w:rsidDel="00000000" w:rsidR="00000000" w:rsidRPr="00000000">
        <w:rPr>
          <w:rtl w:val="0"/>
        </w:rPr>
        <w:t xml:space="preserve">AGÊNCIA BRASIL. </w:t>
      </w:r>
      <w:r w:rsidDel="00000000" w:rsidR="00000000" w:rsidRPr="00000000">
        <w:rPr>
          <w:b w:val="1"/>
          <w:bCs w:val="1"/>
          <w:rtl w:val="0"/>
        </w:rPr>
        <w:t xml:space="preserve">Governo Federal lança Plano Safra 24/25 com R$ 400,59 bilhões para agricultura empresarial</w:t>
      </w:r>
      <w:r w:rsidDel="00000000" w:rsidR="00000000" w:rsidRPr="00000000">
        <w:rPr>
          <w:rtl w:val="0"/>
        </w:rPr>
        <w:t xml:space="preserve">. Disponível em: &lt;https://www.gov.br/planalto/pt-br/acompanhe-o-planalto/noticias/2024/07/governo-federal-lanca-plano-safra-24-25-com-r-400-59-bilhoes-para-agricultura-empresarial&gt;. Acesso em: 13 jun. 2025. </w:t>
      </w: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t xml:space="preserve">AGÊNCIA DE NOTÍCIAS - IBGE. </w:t>
      </w:r>
      <w:r w:rsidDel="00000000" w:rsidR="00000000" w:rsidRPr="00000000">
        <w:rPr>
          <w:b w:val="1"/>
          <w:bCs w:val="1"/>
          <w:rtl w:val="0"/>
        </w:rPr>
        <w:t xml:space="preserve">PIB cresce 1,4% no primeiro trimestre de 2025 | Agência de Notícias</w:t>
      </w:r>
      <w:r w:rsidDel="00000000" w:rsidR="00000000" w:rsidRPr="00000000">
        <w:rPr>
          <w:rtl w:val="0"/>
        </w:rPr>
        <w:t xml:space="preserve">. Disponível em: &lt;https://agenciadenoticias.ibge.gov.br/agencia-sala-de-imprensa/2013-agencia-de-noticias/releases/43522-pib-cresce-1-4-no-primeiro-trimestre-de-2025&gt;. Acesso em: 13 jun. 2025. </w:t>
      </w: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AMSDEN, A. H. </w:t>
      </w:r>
      <w:r w:rsidDel="00000000" w:rsidR="00000000" w:rsidRPr="00000000">
        <w:rPr>
          <w:b w:val="1"/>
          <w:bCs w:val="1"/>
          <w:rtl w:val="0"/>
        </w:rPr>
        <w:t xml:space="preserve">The Rise of the Rest: Challenges to the West from Late-Industrializing Economies</w:t>
      </w:r>
      <w:r w:rsidDel="00000000" w:rsidR="00000000" w:rsidRPr="00000000">
        <w:rPr>
          <w:rtl w:val="0"/>
        </w:rPr>
        <w:t xml:space="preserve">. Cary: Oxford University Press, Incorporated, 2001. </w:t>
      </w: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ARBIX, G. Guerra fiscal e competição intermunicipal por novos investimentos no setor automotivo brasileiro. </w:t>
      </w:r>
      <w:r w:rsidDel="00000000" w:rsidR="00000000" w:rsidRPr="00000000">
        <w:rPr>
          <w:b w:val="1"/>
          <w:bCs w:val="1"/>
          <w:rtl w:val="0"/>
        </w:rPr>
        <w:t xml:space="preserve">Dados</w:t>
      </w:r>
      <w:r w:rsidDel="00000000" w:rsidR="00000000" w:rsidRPr="00000000">
        <w:rPr>
          <w:rtl w:val="0"/>
        </w:rPr>
        <w:t xml:space="preserve">, v. 43, n. 1, p. 5–43, 2000. </w:t>
      </w: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t xml:space="preserve">BARBOSA, A. D. F. “Developmentalist Brazil” (1945-1964) as a concept: historicizing and (re)periodizing development in Brazil. </w:t>
      </w:r>
      <w:r w:rsidDel="00000000" w:rsidR="00000000" w:rsidRPr="00000000">
        <w:rPr>
          <w:b w:val="1"/>
          <w:bCs w:val="1"/>
          <w:rtl w:val="0"/>
        </w:rPr>
        <w:t xml:space="preserve">Brazilian Journal of Political Economy</w:t>
      </w:r>
      <w:r w:rsidDel="00000000" w:rsidR="00000000" w:rsidRPr="00000000">
        <w:rPr>
          <w:rtl w:val="0"/>
        </w:rPr>
        <w:t xml:space="preserve">, v. 40, n. 2, p. 332–354, jun. 2020. </w:t>
      </w: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t xml:space="preserve">BARBOSA, W. DO N. Alguns efeitos da política econômica durante a Ditadura Militar (1964-1985). </w:t>
      </w:r>
      <w:r w:rsidDel="00000000" w:rsidR="00000000" w:rsidRPr="00000000">
        <w:rPr>
          <w:i w:val="1"/>
          <w:iCs w:val="1"/>
          <w:rtl w:val="0"/>
        </w:rPr>
        <w:t xml:space="preserve">Em</w:t>
      </w:r>
      <w:r w:rsidDel="00000000" w:rsidR="00000000" w:rsidRPr="00000000">
        <w:rPr>
          <w:rtl w:val="0"/>
        </w:rPr>
        <w:t xml:space="preserve">: SOUZA, L. E. S. DE; PREVIDELLI, M. DE F. S. DO C. (Eds.). . </w:t>
      </w:r>
      <w:r w:rsidDel="00000000" w:rsidR="00000000" w:rsidRPr="00000000">
        <w:rPr>
          <w:b w:val="1"/>
          <w:bCs w:val="1"/>
          <w:rtl w:val="0"/>
        </w:rPr>
        <w:t xml:space="preserve">História econômica do Brasil contemporâneo</w:t>
      </w:r>
      <w:r w:rsidDel="00000000" w:rsidR="00000000" w:rsidRPr="00000000">
        <w:rPr>
          <w:rtl w:val="0"/>
        </w:rPr>
        <w:t xml:space="preserve">. Coleção Novos estudos de história econômica do Brasil. Niterói, RJ : São Paulo, SP: Eduff ; HUCITEC Editora, 2022. p. 243–298. </w:t>
      </w: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BARRIENTOS, S.; GEREFFI, G.; ROSSI, A. Economic and social upgrading in global production networks: A new paradigm for a changing world. </w:t>
      </w:r>
      <w:r w:rsidDel="00000000" w:rsidR="00000000" w:rsidRPr="00000000">
        <w:rPr>
          <w:b w:val="1"/>
          <w:bCs w:val="1"/>
          <w:rtl w:val="0"/>
        </w:rPr>
        <w:t xml:space="preserve">International Labour Review</w:t>
      </w:r>
      <w:r w:rsidDel="00000000" w:rsidR="00000000" w:rsidRPr="00000000">
        <w:rPr>
          <w:rtl w:val="0"/>
        </w:rPr>
        <w:t xml:space="preserve">, v. 150, n. 3–4, p. 319–340, dez. 2011. </w:t>
      </w: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t xml:space="preserve">BLUESTONE, B.; HARRISON, B. </w:t>
      </w:r>
      <w:r w:rsidDel="00000000" w:rsidR="00000000" w:rsidRPr="00000000">
        <w:rPr>
          <w:b w:val="1"/>
          <w:bCs w:val="1"/>
          <w:rtl w:val="0"/>
        </w:rPr>
        <w:t xml:space="preserve">The deindustrialization of America: plant closings, community abandonment, and the dismantling of basic industry</w:t>
      </w:r>
      <w:r w:rsidDel="00000000" w:rsidR="00000000" w:rsidRPr="00000000">
        <w:rPr>
          <w:rtl w:val="0"/>
        </w:rPr>
        <w:t xml:space="preserve">. New York: Basic Books, 1982. </w:t>
      </w: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BRAVERMAN, H. </w:t>
      </w:r>
      <w:r w:rsidDel="00000000" w:rsidR="00000000" w:rsidRPr="00000000">
        <w:rPr>
          <w:b w:val="1"/>
          <w:bCs w:val="1"/>
          <w:rtl w:val="0"/>
        </w:rPr>
        <w:t xml:space="preserve">Labor and monopoly capital: the degradation of work in the twentieth century</w:t>
      </w:r>
      <w:r w:rsidDel="00000000" w:rsidR="00000000" w:rsidRPr="00000000">
        <w:rPr>
          <w:rtl w:val="0"/>
        </w:rPr>
        <w:t xml:space="preserve">. New York: Monthly Review Press, 1998. </w:t>
      </w: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t xml:space="preserve">BRESSER-PEREIRA, L. C. A taxa de câmbio no centro da teoria do desenvolvimento. </w:t>
      </w:r>
      <w:r w:rsidDel="00000000" w:rsidR="00000000" w:rsidRPr="00000000">
        <w:rPr>
          <w:b w:val="1"/>
          <w:bCs w:val="1"/>
          <w:rtl w:val="0"/>
        </w:rPr>
        <w:t xml:space="preserve">Estudos Avançados</w:t>
      </w:r>
      <w:r w:rsidDel="00000000" w:rsidR="00000000" w:rsidRPr="00000000">
        <w:rPr>
          <w:rtl w:val="0"/>
        </w:rPr>
        <w:t xml:space="preserve">, v. 26, n. 75, p. 7–28, 2012. </w:t>
      </w: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BRIDI, M. A. D. C.; OLIVEIRA, R. V. D.; SALAS, M. M. Plataformas de repartidores en América Latina: estado del arte. </w:t>
      </w:r>
      <w:r w:rsidDel="00000000" w:rsidR="00000000" w:rsidRPr="00000000">
        <w:rPr>
          <w:b w:val="1"/>
          <w:bCs w:val="1"/>
          <w:rtl w:val="0"/>
        </w:rPr>
        <w:t xml:space="preserve">Revista Brasileira de Sociologia - RBS</w:t>
      </w:r>
      <w:r w:rsidDel="00000000" w:rsidR="00000000" w:rsidRPr="00000000">
        <w:rPr>
          <w:rtl w:val="0"/>
        </w:rPr>
        <w:t xml:space="preserve">, v. 11, n. 29, p. 14–40, 5 fev. 2024. </w:t>
      </w: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CANO, W. Brasil - construção e desconstrução do desenvolvimento. </w:t>
      </w:r>
      <w:r w:rsidDel="00000000" w:rsidR="00000000" w:rsidRPr="00000000">
        <w:rPr>
          <w:b w:val="1"/>
          <w:bCs w:val="1"/>
          <w:rtl w:val="0"/>
        </w:rPr>
        <w:t xml:space="preserve">Economia e Sociedade</w:t>
      </w:r>
      <w:r w:rsidDel="00000000" w:rsidR="00000000" w:rsidRPr="00000000">
        <w:rPr>
          <w:rtl w:val="0"/>
        </w:rPr>
        <w:t xml:space="preserve">, v. 26, n. 2, p. 265–302, ago. 2017. </w:t>
      </w: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CHMURZYNSKI, G. </w:t>
      </w:r>
      <w:r w:rsidDel="00000000" w:rsidR="00000000" w:rsidRPr="00000000">
        <w:rPr>
          <w:b w:val="1"/>
          <w:bCs w:val="1"/>
          <w:rtl w:val="0"/>
        </w:rPr>
        <w:t xml:space="preserve">Substituição de produtos brasileiros por importados prejudica indústria nacional</w:t>
      </w:r>
      <w:r w:rsidDel="00000000" w:rsidR="00000000" w:rsidRPr="00000000">
        <w:rPr>
          <w:rtl w:val="0"/>
        </w:rPr>
        <w:t xml:space="preserve">. Disponível em: &lt;https://noticias.portaldaindustria.com.br/noticias/economia/substituicao-de-produtos-brasileiros-por-importados-prejudica-industria-nacional/&gt;. Acesso em: 13 jun. 2025. </w:t>
      </w: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CNDI, C. N. DE D. I.; MDIC, M. DO D., Indústria, Comércio e Serviços. </w:t>
      </w:r>
      <w:r w:rsidDel="00000000" w:rsidR="00000000" w:rsidRPr="00000000">
        <w:rPr>
          <w:b w:val="1"/>
          <w:bCs w:val="1"/>
          <w:rtl w:val="0"/>
        </w:rPr>
        <w:t xml:space="preserve">Nova indústria Brasil – Nova indústria Brasil – forte, transformadora e sustentável : Plano de Ação para a neoindustrialização 2024-2026</w:t>
      </w:r>
      <w:r w:rsidDel="00000000" w:rsidR="00000000" w:rsidRPr="00000000">
        <w:rPr>
          <w:rtl w:val="0"/>
        </w:rPr>
        <w:t xml:space="preserve">. Brasília: CNDI, MDIC, 2024. Disponível em: &lt;https://www.gov.br/mdic/pt-br/composicao/se/cndi/plano-de-acao/nova-industria-brasil-plano-de-acao.pdf&gt;. Acesso em: 29 mar. 2024.</w:t>
      </w:r>
      <w:r w:rsidDel="00000000" w:rsidR="00000000" w:rsidRPr="00000000">
        <w:rPr>
          <w:rtl w:val="0"/>
        </w:rPr>
      </w:r>
    </w:p>
    <w:p w:rsidR="00000000" w:rsidDel="00000000" w:rsidP="00000000" w:rsidRDefault="00000000" w:rsidRPr="00000000" w14:paraId="000000E3">
      <w:pPr>
        <w:widowControl w:val="0"/>
        <w:spacing w:line="240" w:lineRule="auto"/>
        <w:rPr/>
      </w:pPr>
      <w:r w:rsidDel="00000000" w:rsidR="00000000" w:rsidRPr="00000000">
        <w:rPr>
          <w:rtl w:val="0"/>
        </w:rPr>
        <w:t xml:space="preserve">CNI, C. N. DA I. </w:t>
      </w:r>
      <w:r w:rsidDel="00000000" w:rsidR="00000000" w:rsidRPr="00000000">
        <w:rPr>
          <w:b w:val="1"/>
          <w:bCs w:val="1"/>
          <w:rtl w:val="0"/>
        </w:rPr>
        <w:t xml:space="preserve">Nota Economica 19 - Indústria fica menos concentrada</w:t>
      </w:r>
      <w:r w:rsidDel="00000000" w:rsidR="00000000" w:rsidRPr="00000000">
        <w:rPr>
          <w:rtl w:val="0"/>
        </w:rPr>
        <w:t xml:space="preserve">: Nota Econômica. [s.l.] CNI, 2021. </w:t>
      </w: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COE, N. M. </w:t>
      </w:r>
      <w:r w:rsidDel="00000000" w:rsidR="00000000" w:rsidRPr="00000000">
        <w:rPr>
          <w:i w:val="1"/>
          <w:iCs w:val="1"/>
          <w:rtl w:val="0"/>
        </w:rPr>
        <w:t xml:space="preserve">et al.</w:t>
      </w:r>
      <w:r w:rsidDel="00000000" w:rsidR="00000000" w:rsidRPr="00000000">
        <w:rPr>
          <w:rtl w:val="0"/>
        </w:rPr>
        <w:t xml:space="preserve"> “Globalizing” regional development: a global production networks perspective. </w:t>
      </w:r>
      <w:r w:rsidDel="00000000" w:rsidR="00000000" w:rsidRPr="00000000">
        <w:rPr>
          <w:b w:val="1"/>
          <w:bCs w:val="1"/>
          <w:rtl w:val="0"/>
        </w:rPr>
        <w:t xml:space="preserve">Transactions of the Institute of British Geographers</w:t>
      </w:r>
      <w:r w:rsidDel="00000000" w:rsidR="00000000" w:rsidRPr="00000000">
        <w:rPr>
          <w:rtl w:val="0"/>
        </w:rPr>
        <w:t xml:space="preserve">, v. 29, n. 4, p. 468–484, dez. 2004. </w:t>
      </w: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COSENZA, A. C. Um brasil dos trabalhadores? Aspectos do desempenho econômico brasileiro entre 2003 e 2016. </w:t>
      </w:r>
      <w:r w:rsidDel="00000000" w:rsidR="00000000" w:rsidRPr="00000000">
        <w:rPr>
          <w:i w:val="1"/>
          <w:iCs w:val="1"/>
          <w:rtl w:val="0"/>
        </w:rPr>
        <w:t xml:space="preserve">Em</w:t>
      </w:r>
      <w:r w:rsidDel="00000000" w:rsidR="00000000" w:rsidRPr="00000000">
        <w:rPr>
          <w:rtl w:val="0"/>
        </w:rPr>
        <w:t xml:space="preserve">: SOUZA, L. E. S. DE; PREVIDELLI, M. DE F. S. DO C. (Eds.). . </w:t>
      </w:r>
      <w:r w:rsidDel="00000000" w:rsidR="00000000" w:rsidRPr="00000000">
        <w:rPr>
          <w:b w:val="1"/>
          <w:bCs w:val="1"/>
          <w:rtl w:val="0"/>
        </w:rPr>
        <w:t xml:space="preserve">História econômica do Brasil contemporâneo</w:t>
      </w:r>
      <w:r w:rsidDel="00000000" w:rsidR="00000000" w:rsidRPr="00000000">
        <w:rPr>
          <w:rtl w:val="0"/>
        </w:rPr>
        <w:t xml:space="preserve">. Coleção Novos estudos de história econômica do Brasil. Niterói, RJ : São Paulo, SP: Eduff ; HUCITEC Editora, 2022. . </w:t>
      </w: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t xml:space="preserve">DOBBIN, F. Comparative and Historical Approaches to Economic Sociology. </w:t>
      </w:r>
      <w:r w:rsidDel="00000000" w:rsidR="00000000" w:rsidRPr="00000000">
        <w:rPr>
          <w:i w:val="1"/>
          <w:iCs w:val="1"/>
          <w:rtl w:val="0"/>
        </w:rPr>
        <w:t xml:space="preserve">Em</w:t>
      </w:r>
      <w:r w:rsidDel="00000000" w:rsidR="00000000" w:rsidRPr="00000000">
        <w:rPr>
          <w:rtl w:val="0"/>
        </w:rPr>
        <w:t xml:space="preserve">: </w:t>
      </w:r>
      <w:r w:rsidDel="00000000" w:rsidR="00000000" w:rsidRPr="00000000">
        <w:rPr>
          <w:b w:val="1"/>
          <w:bCs w:val="1"/>
          <w:rtl w:val="0"/>
        </w:rPr>
        <w:t xml:space="preserve">The handbook of economic sociology</w:t>
      </w:r>
      <w:r w:rsidDel="00000000" w:rsidR="00000000" w:rsidRPr="00000000">
        <w:rPr>
          <w:rtl w:val="0"/>
        </w:rPr>
        <w:t xml:space="preserve">. 2nd ed ed. Princeton, N.J. : New York: Princeton University Press ; Russell Sage Foundation, 2005. p. 26–48. </w:t>
      </w: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t xml:space="preserve">EMERY, J. Geographies of deindustrialization and the working‐class: Industrial ruination, legacies, and affect. </w:t>
      </w:r>
      <w:r w:rsidDel="00000000" w:rsidR="00000000" w:rsidRPr="00000000">
        <w:rPr>
          <w:b w:val="1"/>
          <w:bCs w:val="1"/>
          <w:rtl w:val="0"/>
        </w:rPr>
        <w:t xml:space="preserve">Geography Compass</w:t>
      </w:r>
      <w:r w:rsidDel="00000000" w:rsidR="00000000" w:rsidRPr="00000000">
        <w:rPr>
          <w:rtl w:val="0"/>
        </w:rPr>
        <w:t xml:space="preserve">, v. 13, n. 2, p. e12417, fev. 2019. </w:t>
      </w: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EVANS, P. B. </w:t>
      </w:r>
      <w:r w:rsidDel="00000000" w:rsidR="00000000" w:rsidRPr="00000000">
        <w:rPr>
          <w:b w:val="1"/>
          <w:bCs w:val="1"/>
          <w:rtl w:val="0"/>
        </w:rPr>
        <w:t xml:space="preserve">Dependent Development: the Alliance of Multinational, State, and Local Capital in Brazil</w:t>
      </w:r>
      <w:r w:rsidDel="00000000" w:rsidR="00000000" w:rsidRPr="00000000">
        <w:rPr>
          <w:rtl w:val="0"/>
        </w:rPr>
        <w:t xml:space="preserve">. Princeton, NJ: Princeton University Press, 1979. </w:t>
      </w: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t xml:space="preserve">___. </w:t>
      </w:r>
      <w:r w:rsidDel="00000000" w:rsidR="00000000" w:rsidRPr="00000000">
        <w:rPr>
          <w:b w:val="1"/>
          <w:bCs w:val="1"/>
          <w:rtl w:val="0"/>
        </w:rPr>
        <w:t xml:space="preserve">Embedded autonomy: states and industrial transformation</w:t>
      </w:r>
      <w:r w:rsidDel="00000000" w:rsidR="00000000" w:rsidRPr="00000000">
        <w:rPr>
          <w:rtl w:val="0"/>
        </w:rPr>
        <w:t xml:space="preserve">. Princeton, N.J: Princeton University Press, 1995. </w:t>
      </w: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EVANS, P. B.; RUESCHEMEYER, D.; SKOCPOL, T. (EDS.). </w:t>
      </w:r>
      <w:r w:rsidDel="00000000" w:rsidR="00000000" w:rsidRPr="00000000">
        <w:rPr>
          <w:b w:val="1"/>
          <w:bCs w:val="1"/>
          <w:rtl w:val="0"/>
        </w:rPr>
        <w:t xml:space="preserve">Bringing the state back in</w:t>
      </w:r>
      <w:r w:rsidDel="00000000" w:rsidR="00000000" w:rsidRPr="00000000">
        <w:rPr>
          <w:rtl w:val="0"/>
        </w:rPr>
        <w:t xml:space="preserve">. Cambridge [Cambridgeshire] ; New York: Cambridge University Press, 1985. </w:t>
      </w: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FARIA, C. E. D. </w:t>
      </w:r>
      <w:r w:rsidDel="00000000" w:rsidR="00000000" w:rsidRPr="00000000">
        <w:rPr>
          <w:b w:val="1"/>
          <w:bCs w:val="1"/>
          <w:rtl w:val="0"/>
        </w:rPr>
        <w:t xml:space="preserve">O papel da Confederação Nacional da Indústria na política industrial brasileira (1938 – 2014)</w:t>
      </w:r>
      <w:r w:rsidDel="00000000" w:rsidR="00000000" w:rsidRPr="00000000">
        <w:rPr>
          <w:rtl w:val="0"/>
        </w:rPr>
        <w:t xml:space="preserve">. [s.l.] Universidade de Brasília, 5 dez. 2016.</w:t>
      </w: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t xml:space="preserve">FEIJÓ, C.; ARAUJO, E. (EDS.). </w:t>
      </w:r>
      <w:r w:rsidDel="00000000" w:rsidR="00000000" w:rsidRPr="00000000">
        <w:rPr>
          <w:b w:val="1"/>
          <w:bCs w:val="1"/>
          <w:rtl w:val="0"/>
        </w:rPr>
        <w:t xml:space="preserve">Industrialização e desindustrialização no Brasil: Teorias, evidências e implicações de política</w:t>
      </w:r>
      <w:r w:rsidDel="00000000" w:rsidR="00000000" w:rsidRPr="00000000">
        <w:rPr>
          <w:rtl w:val="0"/>
        </w:rPr>
        <w:t xml:space="preserve">. Curitiba, PR: Appris Editora e Livraria Eireli - ME, 2023. </w:t>
      </w: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FOLHA DE SÃO PAULO. </w:t>
      </w:r>
      <w:r w:rsidDel="00000000" w:rsidR="00000000" w:rsidRPr="00000000">
        <w:rPr>
          <w:b w:val="1"/>
          <w:bCs w:val="1"/>
          <w:rtl w:val="0"/>
        </w:rPr>
        <w:t xml:space="preserve">1968 - Ato Institucional 5 - Delfim Netto</w:t>
      </w:r>
      <w:r w:rsidDel="00000000" w:rsidR="00000000" w:rsidRPr="00000000">
        <w:rPr>
          <w:rtl w:val="0"/>
        </w:rPr>
        <w:t xml:space="preserve">. Disponível em: &lt;https://www1.folha.uol.com.br/folha/treinamento/hotsites/ai5/personas/delfimNetto.html&gt;. Acesso em: 13 jun. 2025. </w:t>
      </w: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FONSECA, P. C. D.; AREND, M.; GUERRERO, G. A. Política econômica, instituições e classes sociais: os governos do Partido dos Trabalhadores no Brasil. </w:t>
      </w:r>
      <w:r w:rsidDel="00000000" w:rsidR="00000000" w:rsidRPr="00000000">
        <w:rPr>
          <w:b w:val="1"/>
          <w:bCs w:val="1"/>
          <w:rtl w:val="0"/>
        </w:rPr>
        <w:t xml:space="preserve">Economia e sociedade (São Paulo, Brazil)</w:t>
      </w:r>
      <w:r w:rsidDel="00000000" w:rsidR="00000000" w:rsidRPr="00000000">
        <w:rPr>
          <w:rtl w:val="0"/>
        </w:rPr>
        <w:t xml:space="preserve">, v. 29, n. 3, p. 779–809, 2020. </w:t>
      </w: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GABRIEL, D. </w:t>
      </w:r>
      <w:r w:rsidDel="00000000" w:rsidR="00000000" w:rsidRPr="00000000">
        <w:rPr>
          <w:b w:val="1"/>
          <w:bCs w:val="1"/>
          <w:rtl w:val="0"/>
        </w:rPr>
        <w:t xml:space="preserve">BYD oferece faixa salarial única de R$ 1.950 e irrita operáriosRepórter Brasil</w:t>
      </w:r>
      <w:r w:rsidDel="00000000" w:rsidR="00000000" w:rsidRPr="00000000">
        <w:rPr>
          <w:rtl w:val="0"/>
        </w:rPr>
        <w:t xml:space="preserve">, 21 maio 2025. Disponível em: &lt;https://reporterbrasil.org.br/2025/05/byd-faixa-salarial-unica-irrita-operarios-bahia/&gt;. Acesso em: 13 jun. 2025</w:t>
      </w: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t xml:space="preserve">GALA, P.; LIBÂNIO, G. Taxa de câmbio, poupança e produtividade: impactos de curto e longo prazo. </w:t>
      </w:r>
      <w:r w:rsidDel="00000000" w:rsidR="00000000" w:rsidRPr="00000000">
        <w:rPr>
          <w:b w:val="1"/>
          <w:bCs w:val="1"/>
          <w:rtl w:val="0"/>
        </w:rPr>
        <w:t xml:space="preserve">Economia e Sociedade</w:t>
      </w:r>
      <w:r w:rsidDel="00000000" w:rsidR="00000000" w:rsidRPr="00000000">
        <w:rPr>
          <w:rtl w:val="0"/>
        </w:rPr>
        <w:t xml:space="preserve">, v. 20, n. 2, p. 229–242, ago 2011. </w:t>
      </w: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t xml:space="preserve">GERSCHENKRON, A. </w:t>
      </w:r>
      <w:r w:rsidDel="00000000" w:rsidR="00000000" w:rsidRPr="00000000">
        <w:rPr>
          <w:b w:val="1"/>
          <w:bCs w:val="1"/>
          <w:rtl w:val="0"/>
        </w:rPr>
        <w:t xml:space="preserve">Economic backwardness in historical perspective: a book of essays</w:t>
      </w:r>
      <w:r w:rsidDel="00000000" w:rsidR="00000000" w:rsidRPr="00000000">
        <w:rPr>
          <w:rtl w:val="0"/>
        </w:rPr>
        <w:t xml:space="preserve">. Cambridge, Mass.: Belknap Pr, 1962. </w:t>
      </w: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t xml:space="preserve">GIAMBIAGI, F. Estabilização, Reformas e Desequilíbrios Macroeconômicos: Os Anos FHC. </w:t>
      </w:r>
      <w:r w:rsidDel="00000000" w:rsidR="00000000" w:rsidRPr="00000000">
        <w:rPr>
          <w:i w:val="1"/>
          <w:iCs w:val="1"/>
          <w:rtl w:val="0"/>
        </w:rPr>
        <w:t xml:space="preserve">Em</w:t>
      </w:r>
      <w:r w:rsidDel="00000000" w:rsidR="00000000" w:rsidRPr="00000000">
        <w:rPr>
          <w:rtl w:val="0"/>
        </w:rPr>
        <w:t xml:space="preserve">: VIANNA, S. B.; VILLELA, A. (Eds.). . </w:t>
      </w:r>
      <w:r w:rsidDel="00000000" w:rsidR="00000000" w:rsidRPr="00000000">
        <w:rPr>
          <w:b w:val="1"/>
          <w:bCs w:val="1"/>
          <w:rtl w:val="0"/>
        </w:rPr>
        <w:t xml:space="preserve">Economia brasileira contemporânea</w:t>
      </w:r>
      <w:r w:rsidDel="00000000" w:rsidR="00000000" w:rsidRPr="00000000">
        <w:rPr>
          <w:rtl w:val="0"/>
        </w:rPr>
        <w:t xml:space="preserve">. [s.l.] Editora Atlas Ltda, 2015. p. 166–195. </w:t>
      </w: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 xml:space="preserve">HENDERSON, J. </w:t>
      </w:r>
      <w:r w:rsidDel="00000000" w:rsidR="00000000" w:rsidRPr="00000000">
        <w:rPr>
          <w:i w:val="1"/>
          <w:iCs w:val="1"/>
          <w:rtl w:val="0"/>
        </w:rPr>
        <w:t xml:space="preserve">et al.</w:t>
      </w:r>
      <w:r w:rsidDel="00000000" w:rsidR="00000000" w:rsidRPr="00000000">
        <w:rPr>
          <w:rtl w:val="0"/>
        </w:rPr>
        <w:t xml:space="preserve"> Global production networks and the analysis of economic development. </w:t>
      </w:r>
      <w:r w:rsidDel="00000000" w:rsidR="00000000" w:rsidRPr="00000000">
        <w:rPr>
          <w:b w:val="1"/>
          <w:bCs w:val="1"/>
          <w:rtl w:val="0"/>
        </w:rPr>
        <w:t xml:space="preserve">Review of International Political Economy</w:t>
      </w:r>
      <w:r w:rsidDel="00000000" w:rsidR="00000000" w:rsidRPr="00000000">
        <w:rPr>
          <w:rtl w:val="0"/>
        </w:rPr>
        <w:t xml:space="preserve">, v. 9, n. 3, p. 436–464, 2002. </w:t>
      </w: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HERMANN, J. Reformas, endividamento externo e o “milagre” econômico (1964-1973). </w:t>
      </w:r>
      <w:r w:rsidDel="00000000" w:rsidR="00000000" w:rsidRPr="00000000">
        <w:rPr>
          <w:i w:val="1"/>
          <w:iCs w:val="1"/>
          <w:rtl w:val="0"/>
        </w:rPr>
        <w:t xml:space="preserve">Em</w:t>
      </w:r>
      <w:r w:rsidDel="00000000" w:rsidR="00000000" w:rsidRPr="00000000">
        <w:rPr>
          <w:rtl w:val="0"/>
        </w:rPr>
        <w:t xml:space="preserve">: VIANNA, S. B.; VILLELA, A. (Eds.). . </w:t>
      </w:r>
      <w:r w:rsidDel="00000000" w:rsidR="00000000" w:rsidRPr="00000000">
        <w:rPr>
          <w:b w:val="1"/>
          <w:bCs w:val="1"/>
          <w:rtl w:val="0"/>
        </w:rPr>
        <w:t xml:space="preserve">Economia brasileira contemporânea</w:t>
      </w:r>
      <w:r w:rsidDel="00000000" w:rsidR="00000000" w:rsidRPr="00000000">
        <w:rPr>
          <w:rtl w:val="0"/>
        </w:rPr>
        <w:t xml:space="preserve">. [s.l.] Editora Atlas Ltda, 2015. . </w:t>
      </w: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t xml:space="preserve">HIGH, S. “The Wounds of Class”: A Historiographical Reflection on the Study of Deindustrialization, 1973–2013. </w:t>
      </w:r>
      <w:r w:rsidDel="00000000" w:rsidR="00000000" w:rsidRPr="00000000">
        <w:rPr>
          <w:b w:val="1"/>
          <w:bCs w:val="1"/>
          <w:rtl w:val="0"/>
        </w:rPr>
        <w:t xml:space="preserve">History Compass</w:t>
      </w:r>
      <w:r w:rsidDel="00000000" w:rsidR="00000000" w:rsidRPr="00000000">
        <w:rPr>
          <w:rtl w:val="0"/>
        </w:rPr>
        <w:t xml:space="preserve">, v. 11, n. 11, p. 994–1007, nov. 2013. </w:t>
      </w: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KOLLMEYER, C. Explaining Deindustrialization: How Affluence, Productivity Growth, and Globalization Diminish Manufacturing Employment. </w:t>
      </w:r>
      <w:r w:rsidDel="00000000" w:rsidR="00000000" w:rsidRPr="00000000">
        <w:rPr>
          <w:b w:val="1"/>
          <w:bCs w:val="1"/>
          <w:rtl w:val="0"/>
        </w:rPr>
        <w:t xml:space="preserve">American Journal of Sociology</w:t>
      </w:r>
      <w:r w:rsidDel="00000000" w:rsidR="00000000" w:rsidRPr="00000000">
        <w:rPr>
          <w:rtl w:val="0"/>
        </w:rPr>
        <w:t xml:space="preserve">, v. 114, n. 6, p. 1644–1674, maio 2009. </w:t>
      </w: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 xml:space="preserve">LAWSON, C. Making sense of the ruins: The historiography of deindustrialisation and its continued relevance in neoliberal times. </w:t>
      </w:r>
      <w:r w:rsidDel="00000000" w:rsidR="00000000" w:rsidRPr="00000000">
        <w:rPr>
          <w:b w:val="1"/>
          <w:bCs w:val="1"/>
          <w:rtl w:val="0"/>
        </w:rPr>
        <w:t xml:space="preserve">History Compass</w:t>
      </w:r>
      <w:r w:rsidDel="00000000" w:rsidR="00000000" w:rsidRPr="00000000">
        <w:rPr>
          <w:rtl w:val="0"/>
        </w:rPr>
        <w:t xml:space="preserve">, v. 18, n. 8, p. e12619, ago. 2020. </w:t>
      </w: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LEÓN, L. P. </w:t>
      </w:r>
      <w:r w:rsidDel="00000000" w:rsidR="00000000" w:rsidRPr="00000000">
        <w:rPr>
          <w:b w:val="1"/>
          <w:bCs w:val="1"/>
          <w:rtl w:val="0"/>
        </w:rPr>
        <w:t xml:space="preserve">Comissões do Senado aprovam flexibilização do licenciamento ambiental</w:t>
      </w:r>
      <w:r w:rsidDel="00000000" w:rsidR="00000000" w:rsidRPr="00000000">
        <w:rPr>
          <w:rtl w:val="0"/>
        </w:rPr>
        <w:t xml:space="preserve">. Disponível em: &lt;https://agenciabrasil.ebc.com.br/meio-ambiente/noticia/2025-05/comissoes-do-senado-aprovam-flexibilizacao-do-licenciamento-ambiental&gt;. Acesso em: 13 jun. 2025. </w:t>
      </w: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MAHONEY, J. Strategies of Causal Assessment in Comparative Historical Analysis. </w:t>
      </w:r>
      <w:r w:rsidDel="00000000" w:rsidR="00000000" w:rsidRPr="00000000">
        <w:rPr>
          <w:i w:val="1"/>
          <w:iCs w:val="1"/>
          <w:rtl w:val="0"/>
        </w:rPr>
        <w:t xml:space="preserve">Em</w:t>
      </w:r>
      <w:r w:rsidDel="00000000" w:rsidR="00000000" w:rsidRPr="00000000">
        <w:rPr>
          <w:rtl w:val="0"/>
        </w:rPr>
        <w:t xml:space="preserve">: MAHONEY, J.; RUESCHEMEYER, D. (Eds.). . </w:t>
      </w:r>
      <w:r w:rsidDel="00000000" w:rsidR="00000000" w:rsidRPr="00000000">
        <w:rPr>
          <w:b w:val="1"/>
          <w:bCs w:val="1"/>
          <w:rtl w:val="0"/>
        </w:rPr>
        <w:t xml:space="preserve">Comparative historical analysis in the social sciences</w:t>
      </w:r>
      <w:r w:rsidDel="00000000" w:rsidR="00000000" w:rsidRPr="00000000">
        <w:rPr>
          <w:rtl w:val="0"/>
        </w:rPr>
        <w:t xml:space="preserve">. Cambridge studies in comparative politics. Cambridge, U.K. ; New York: Cambridge University Press, 2003. p. 337–372. </w:t>
      </w: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t xml:space="preserve">MARTINS, L. </w:t>
      </w:r>
      <w:r w:rsidDel="00000000" w:rsidR="00000000" w:rsidRPr="00000000">
        <w:rPr>
          <w:b w:val="1"/>
          <w:bCs w:val="1"/>
          <w:rtl w:val="0"/>
        </w:rPr>
        <w:t xml:space="preserve">Datafolha: 64% dos brasileiros querem o fim da escala 6x1</w:t>
      </w:r>
      <w:r w:rsidDel="00000000" w:rsidR="00000000" w:rsidRPr="00000000">
        <w:rPr>
          <w:rtl w:val="0"/>
        </w:rPr>
        <w:t xml:space="preserve">. Disponível em: &lt;https://www.cnnbrasil.com.br/politica/datafolha-64-dos-brasileiros-querem-o-fim-da-escala-6x1/&gt;. Acesso em: 13 jun. 2025. </w:t>
      </w: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MORCEIRO, P. C. Influência metodológica na desindustrialização brasileira. </w:t>
      </w:r>
      <w:r w:rsidDel="00000000" w:rsidR="00000000" w:rsidRPr="00000000">
        <w:rPr>
          <w:b w:val="1"/>
          <w:bCs w:val="1"/>
          <w:rtl w:val="0"/>
        </w:rPr>
        <w:t xml:space="preserve">Brazilian Journal of Political Economy</w:t>
      </w:r>
      <w:r w:rsidDel="00000000" w:rsidR="00000000" w:rsidRPr="00000000">
        <w:rPr>
          <w:rtl w:val="0"/>
        </w:rPr>
        <w:t xml:space="preserve">, v. 41, n. 4, p. 700–722, 2021. </w:t>
      </w: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t xml:space="preserve">MOURA, B. DE F. </w:t>
      </w:r>
      <w:r w:rsidDel="00000000" w:rsidR="00000000" w:rsidRPr="00000000">
        <w:rPr>
          <w:b w:val="1"/>
          <w:bCs w:val="1"/>
          <w:rtl w:val="0"/>
        </w:rPr>
        <w:t xml:space="preserve">Clima e foco em exportação explicam alta de alimentos no longo prazo</w:t>
      </w:r>
      <w:r w:rsidDel="00000000" w:rsidR="00000000" w:rsidRPr="00000000">
        <w:rPr>
          <w:rtl w:val="0"/>
        </w:rPr>
        <w:t xml:space="preserve">. Disponível em: &lt;https://agenciabrasil.ebc.com.br/economia/noticia/2025-03/clima-e-foco-em-exportacao-explicam-alta-de-alimentos-no-longo-prazo&gt;. Acesso em: 13 jun. 2025. </w:t>
      </w: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OREIRO, J. L.; FEIJÓ, C. A. Desindustrialização: conceituação, causas, efeitos e o caso brasileiro. </w:t>
      </w:r>
      <w:r w:rsidDel="00000000" w:rsidR="00000000" w:rsidRPr="00000000">
        <w:rPr>
          <w:b w:val="1"/>
          <w:bCs w:val="1"/>
          <w:rtl w:val="0"/>
        </w:rPr>
        <w:t xml:space="preserve">Revista de Economia Política</w:t>
      </w:r>
      <w:r w:rsidDel="00000000" w:rsidR="00000000" w:rsidRPr="00000000">
        <w:rPr>
          <w:rtl w:val="0"/>
        </w:rPr>
        <w:t xml:space="preserve">, v. 30, n. 2, p. 219–232, jun. 2010. </w:t>
      </w: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PAULA, R. Z. A. DE. Economia Brasileira na Nova República: 1985-1989. </w:t>
      </w:r>
      <w:r w:rsidDel="00000000" w:rsidR="00000000" w:rsidRPr="00000000">
        <w:rPr>
          <w:i w:val="1"/>
          <w:iCs w:val="1"/>
          <w:rtl w:val="0"/>
        </w:rPr>
        <w:t xml:space="preserve">Em</w:t>
      </w:r>
      <w:r w:rsidDel="00000000" w:rsidR="00000000" w:rsidRPr="00000000">
        <w:rPr>
          <w:rtl w:val="0"/>
        </w:rPr>
        <w:t xml:space="preserve">: SOUZA, L. E. S. DE; PREVIDELLI, M. DE F. S. DO C. (Eds.). . </w:t>
      </w:r>
      <w:r w:rsidDel="00000000" w:rsidR="00000000" w:rsidRPr="00000000">
        <w:rPr>
          <w:b w:val="1"/>
          <w:bCs w:val="1"/>
          <w:rtl w:val="0"/>
        </w:rPr>
        <w:t xml:space="preserve">História econômica do Brasil contemporâneo</w:t>
      </w:r>
      <w:r w:rsidDel="00000000" w:rsidR="00000000" w:rsidRPr="00000000">
        <w:rPr>
          <w:rtl w:val="0"/>
        </w:rPr>
        <w:t xml:space="preserve">. Coleção Novos estudos de história econômica do Brasil. Niterói, RJ : São Paulo, SP: Eduff ; HUCITEC Editora, 2022. p. 299–328. </w:t>
      </w: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t xml:space="preserve">PERISSINOTTO, R. </w:t>
      </w:r>
      <w:r w:rsidDel="00000000" w:rsidR="00000000" w:rsidRPr="00000000">
        <w:rPr>
          <w:b w:val="1"/>
          <w:bCs w:val="1"/>
          <w:rtl w:val="0"/>
        </w:rPr>
        <w:t xml:space="preserve">Ideias, burocracia e industrialização no Brasil e na Argentina</w:t>
      </w:r>
      <w:r w:rsidDel="00000000" w:rsidR="00000000" w:rsidRPr="00000000">
        <w:rPr>
          <w:rtl w:val="0"/>
        </w:rPr>
        <w:t xml:space="preserve">. Rio de Janeiro, RJ: Eduerj, 2023. </w:t>
      </w: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PIRES, M. C. O modelo de mercado e a “Segunda Década Perdida”: 1991-2000. </w:t>
      </w:r>
      <w:r w:rsidDel="00000000" w:rsidR="00000000" w:rsidRPr="00000000">
        <w:rPr>
          <w:i w:val="1"/>
          <w:iCs w:val="1"/>
          <w:rtl w:val="0"/>
        </w:rPr>
        <w:t xml:space="preserve">Em</w:t>
      </w:r>
      <w:r w:rsidDel="00000000" w:rsidR="00000000" w:rsidRPr="00000000">
        <w:rPr>
          <w:rtl w:val="0"/>
        </w:rPr>
        <w:t xml:space="preserve">: SOUZA, L. E. S. DE; PREVIDELLI, M. DE F. S. DO C. (Eds.). . </w:t>
      </w:r>
      <w:r w:rsidDel="00000000" w:rsidR="00000000" w:rsidRPr="00000000">
        <w:rPr>
          <w:b w:val="1"/>
          <w:bCs w:val="1"/>
          <w:rtl w:val="0"/>
        </w:rPr>
        <w:t xml:space="preserve">História econômica do Brasil contemporâneo</w:t>
      </w:r>
      <w:r w:rsidDel="00000000" w:rsidR="00000000" w:rsidRPr="00000000">
        <w:rPr>
          <w:rtl w:val="0"/>
        </w:rPr>
        <w:t xml:space="preserve">. Coleção Novos estudos de história econômica do Brasil. Niterói, RJ : São Paulo, SP: Eduff ; HUCITEC Editora, 2022. p. 329–388. </w:t>
      </w: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RAMALHO, J. R. NOVAS FÁBRICAS, VELHAS PRÁTICAS: relações trabalhistas e sindicais na indústria automobilística brasileira. </w:t>
      </w:r>
      <w:r w:rsidDel="00000000" w:rsidR="00000000" w:rsidRPr="00000000">
        <w:rPr>
          <w:b w:val="1"/>
          <w:bCs w:val="1"/>
          <w:rtl w:val="0"/>
        </w:rPr>
        <w:t xml:space="preserve">Caderno CRH</w:t>
      </w:r>
      <w:r w:rsidDel="00000000" w:rsidR="00000000" w:rsidRPr="00000000">
        <w:rPr>
          <w:rtl w:val="0"/>
        </w:rPr>
        <w:t xml:space="preserve">, v. 17, n. 41, 30 ago. 2006. </w:t>
      </w: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___. Flexibilidade e crise do emprego industrial - sindicatos, regiões e novas ações empresariais. </w:t>
      </w:r>
      <w:r w:rsidDel="00000000" w:rsidR="00000000" w:rsidRPr="00000000">
        <w:rPr>
          <w:b w:val="1"/>
          <w:bCs w:val="1"/>
          <w:rtl w:val="0"/>
        </w:rPr>
        <w:t xml:space="preserve">Sociologias</w:t>
      </w:r>
      <w:r w:rsidDel="00000000" w:rsidR="00000000" w:rsidRPr="00000000">
        <w:rPr>
          <w:rtl w:val="0"/>
        </w:rPr>
        <w:t xml:space="preserve">, v. 12, n. 25, p. 252–284, dez. 2010. </w:t>
      </w: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RAMALHO, J. R.; CONCEIÇÃO, J. J. DA. </w:t>
      </w:r>
      <w:r w:rsidDel="00000000" w:rsidR="00000000" w:rsidRPr="00000000">
        <w:rPr>
          <w:b w:val="1"/>
          <w:bCs w:val="1"/>
          <w:rtl w:val="0"/>
        </w:rPr>
        <w:t xml:space="preserve">Caças supersônicos e o ABC Paulista: Tecnologia e reconversão industrial</w:t>
      </w:r>
      <w:r w:rsidDel="00000000" w:rsidR="00000000" w:rsidRPr="00000000">
        <w:rPr>
          <w:rtl w:val="0"/>
        </w:rPr>
        <w:t xml:space="preserve">. São Paulo, SP: Editora Papagaio, 2024. </w:t>
      </w: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RAMALHO, J. R.; RODRIGUES, I. J. SINDICATO, DESENVOLVIMENTO E TRABALHO: crise econômica e ação política no ABC. </w:t>
      </w:r>
      <w:r w:rsidDel="00000000" w:rsidR="00000000" w:rsidRPr="00000000">
        <w:rPr>
          <w:b w:val="1"/>
          <w:bCs w:val="1"/>
          <w:rtl w:val="0"/>
        </w:rPr>
        <w:t xml:space="preserve">CADERNO CRH</w:t>
      </w:r>
      <w:r w:rsidDel="00000000" w:rsidR="00000000" w:rsidRPr="00000000">
        <w:rPr>
          <w:rtl w:val="0"/>
        </w:rPr>
        <w:t xml:space="preserve">, v. 26, n. 68, 2013. </w:t>
      </w: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t xml:space="preserve">RAMALHO, J. R.; SALLES PEREIRA DOS SANTOS, R.; JÁCOME RODRIGUES, I. MUDANÇAS NA LEGISLAÇÃO TRABALHISTA, SINDICATO E EMPRESAS MULTINACIONAIS. </w:t>
      </w:r>
      <w:r w:rsidDel="00000000" w:rsidR="00000000" w:rsidRPr="00000000">
        <w:rPr>
          <w:b w:val="1"/>
          <w:bCs w:val="1"/>
          <w:rtl w:val="0"/>
        </w:rPr>
        <w:t xml:space="preserve">Caderno CRH</w:t>
      </w:r>
      <w:r w:rsidDel="00000000" w:rsidR="00000000" w:rsidRPr="00000000">
        <w:rPr>
          <w:rtl w:val="0"/>
        </w:rPr>
        <w:t xml:space="preserve">, v. 32, n. 86, p. 343, 4 nov. 2019. </w:t>
      </w: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RODRIK, D. Premature deindustrialization. </w:t>
      </w:r>
      <w:r w:rsidDel="00000000" w:rsidR="00000000" w:rsidRPr="00000000">
        <w:rPr>
          <w:b w:val="1"/>
          <w:bCs w:val="1"/>
          <w:rtl w:val="0"/>
        </w:rPr>
        <w:t xml:space="preserve">Journal of Economic Growth</w:t>
      </w:r>
      <w:r w:rsidDel="00000000" w:rsidR="00000000" w:rsidRPr="00000000">
        <w:rPr>
          <w:rtl w:val="0"/>
        </w:rPr>
        <w:t xml:space="preserve">, v. 21, n. 1, p. 1–33, mar. 2016. </w:t>
      </w: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ROWTHORN, R.; RAMASWAMY, R. Growth, Trade, and Deindustrialization. </w:t>
      </w:r>
      <w:r w:rsidDel="00000000" w:rsidR="00000000" w:rsidRPr="00000000">
        <w:rPr>
          <w:b w:val="1"/>
          <w:bCs w:val="1"/>
          <w:rtl w:val="0"/>
        </w:rPr>
        <w:t xml:space="preserve">IMF Staff Papers</w:t>
      </w:r>
      <w:r w:rsidDel="00000000" w:rsidR="00000000" w:rsidRPr="00000000">
        <w:rPr>
          <w:rtl w:val="0"/>
        </w:rPr>
        <w:t xml:space="preserve">, v. 46, n. 1, p. 18–41, 1999. </w:t>
      </w: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RUESCHEMEYER, D.; EVANS, P. B. The State and Economic Transformation: Toward an Analysis of the Conditions Underlying Effective Intervention. </w:t>
      </w:r>
      <w:r w:rsidDel="00000000" w:rsidR="00000000" w:rsidRPr="00000000">
        <w:rPr>
          <w:i w:val="1"/>
          <w:iCs w:val="1"/>
          <w:rtl w:val="0"/>
        </w:rPr>
        <w:t xml:space="preserve">Em</w:t>
      </w:r>
      <w:r w:rsidDel="00000000" w:rsidR="00000000" w:rsidRPr="00000000">
        <w:rPr>
          <w:rtl w:val="0"/>
        </w:rPr>
        <w:t xml:space="preserve">: EVANS, P. B.; RUESCHEMEYER, D.; SKOCPOL, T. (Eds.). . </w:t>
      </w:r>
      <w:r w:rsidDel="00000000" w:rsidR="00000000" w:rsidRPr="00000000">
        <w:rPr>
          <w:b w:val="1"/>
          <w:bCs w:val="1"/>
          <w:rtl w:val="0"/>
        </w:rPr>
        <w:t xml:space="preserve">Bringing the state back in</w:t>
      </w:r>
      <w:r w:rsidDel="00000000" w:rsidR="00000000" w:rsidRPr="00000000">
        <w:rPr>
          <w:rtl w:val="0"/>
        </w:rPr>
        <w:t xml:space="preserve">. Cambridge [Cambridgeshire] ; New York: Cambridge University Press, 1985. p. 44–77. </w:t>
      </w: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STRANGLEMAN, T.; RHODES, J.; LINKON, S. Introduction to Crumbling Cultures: Deindustrialization, Class, and Memory. </w:t>
      </w:r>
      <w:r w:rsidDel="00000000" w:rsidR="00000000" w:rsidRPr="00000000">
        <w:rPr>
          <w:b w:val="1"/>
          <w:bCs w:val="1"/>
          <w:rtl w:val="0"/>
        </w:rPr>
        <w:t xml:space="preserve">International Labor and Working-Class History</w:t>
      </w:r>
      <w:r w:rsidDel="00000000" w:rsidR="00000000" w:rsidRPr="00000000">
        <w:rPr>
          <w:rtl w:val="0"/>
        </w:rPr>
        <w:t xml:space="preserve">, v. 84, p. 7–22, 2013. </w:t>
      </w: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t xml:space="preserve">TAIAR, E. </w:t>
      </w:r>
      <w:r w:rsidDel="00000000" w:rsidR="00000000" w:rsidRPr="00000000">
        <w:rPr>
          <w:b w:val="1"/>
          <w:bCs w:val="1"/>
          <w:rtl w:val="0"/>
        </w:rPr>
        <w:t xml:space="preserve">Governo amplia Nova Indústria Brasil para R$ 342,7 bi e define cadeias prioritárias e metas em saúde</w:t>
      </w:r>
      <w:r w:rsidDel="00000000" w:rsidR="00000000" w:rsidRPr="00000000">
        <w:rPr>
          <w:rtl w:val="0"/>
        </w:rPr>
        <w:t xml:space="preserve">. Disponível em: &lt;https://valor.globo.com/brasil/noticia/2024/08/15/governo-amplia-nova-indstria-brasil-para-r-3427-bi-e-define-cadeias-prioritrias-e-metas-em-sade.ghtml&gt;. Acesso em: 13 jun. 2025. </w:t>
      </w: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THELEN, K. How Institutions Evolve: Insights from Comparative Historical Analysis. </w:t>
      </w:r>
      <w:r w:rsidDel="00000000" w:rsidR="00000000" w:rsidRPr="00000000">
        <w:rPr>
          <w:i w:val="1"/>
          <w:iCs w:val="1"/>
          <w:rtl w:val="0"/>
        </w:rPr>
        <w:t xml:space="preserve">Em</w:t>
      </w:r>
      <w:r w:rsidDel="00000000" w:rsidR="00000000" w:rsidRPr="00000000">
        <w:rPr>
          <w:rtl w:val="0"/>
        </w:rPr>
        <w:t xml:space="preserve">: MAHONEY, J.; RUESCHEMEYER, D. (Eds.). . </w:t>
      </w:r>
      <w:r w:rsidDel="00000000" w:rsidR="00000000" w:rsidRPr="00000000">
        <w:rPr>
          <w:b w:val="1"/>
          <w:bCs w:val="1"/>
          <w:rtl w:val="0"/>
        </w:rPr>
        <w:t xml:space="preserve">Comparative historical analysis in the social sciences</w:t>
      </w:r>
      <w:r w:rsidDel="00000000" w:rsidR="00000000" w:rsidRPr="00000000">
        <w:rPr>
          <w:rtl w:val="0"/>
        </w:rPr>
        <w:t xml:space="preserve">. Cambridge studies in comparative politics. Cambridge, U.K. ; New York: Cambridge University Press, 2003. p. 208–240. </w:t>
      </w: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TREGENNA, F. Characterising deindustrialisation: An analysis of changes in manufacturing employment and output internationally. </w:t>
      </w:r>
      <w:r w:rsidDel="00000000" w:rsidR="00000000" w:rsidRPr="00000000">
        <w:rPr>
          <w:b w:val="1"/>
          <w:bCs w:val="1"/>
          <w:rtl w:val="0"/>
        </w:rPr>
        <w:t xml:space="preserve">Cambridge Journal of Economics</w:t>
      </w:r>
      <w:r w:rsidDel="00000000" w:rsidR="00000000" w:rsidRPr="00000000">
        <w:rPr>
          <w:rtl w:val="0"/>
        </w:rPr>
        <w:t xml:space="preserve">, v. 33, n. 3, p. 433–466, 1 maio 2009. </w:t>
      </w: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WINANT, G. “Hard Times Make for Hard Arteries and Hard Livers”: Deindustrialization, Biopolitics, and the Making of a New Working Class. </w:t>
      </w:r>
      <w:r w:rsidDel="00000000" w:rsidR="00000000" w:rsidRPr="00000000">
        <w:rPr>
          <w:b w:val="1"/>
          <w:bCs w:val="1"/>
          <w:rtl w:val="0"/>
        </w:rPr>
        <w:t xml:space="preserve">Journal of Social History</w:t>
      </w:r>
      <w:r w:rsidDel="00000000" w:rsidR="00000000" w:rsidRPr="00000000">
        <w:rPr>
          <w:rtl w:val="0"/>
        </w:rPr>
        <w:t xml:space="preserve">, v. 53, n. 1, p. 107–132, 1 ago. 2019.</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Os termos de busca também são denominados comumente como </w:t>
      </w:r>
      <w:r w:rsidDel="00000000" w:rsidR="00000000" w:rsidRPr="00000000">
        <w:rPr>
          <w:rFonts w:ascii="Times New Roman" w:cs="Times New Roman" w:eastAsia="Times New Roman" w:hAnsi="Times New Roman"/>
          <w:i w:val="1"/>
          <w:iCs w:val="1"/>
          <w:sz w:val="20"/>
          <w:szCs w:val="20"/>
          <w:rtl w:val="0"/>
        </w:rPr>
        <w:t xml:space="preserve">querys </w:t>
      </w:r>
      <w:r w:rsidDel="00000000" w:rsidR="00000000" w:rsidRPr="00000000">
        <w:rPr>
          <w:rFonts w:ascii="Times New Roman" w:cs="Times New Roman" w:eastAsia="Times New Roman" w:hAnsi="Times New Roman"/>
          <w:sz w:val="20"/>
          <w:szCs w:val="20"/>
          <w:rtl w:val="0"/>
        </w:rPr>
        <w:t xml:space="preserve">e tipicamente permitem o encadeamento booleano de combinações de termos que devem estar presentes ou serem excluídos dos resultados.</w:t>
      </w:r>
    </w:p>
  </w:footnote>
  <w:footnote w:id="1">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i w:val="1"/>
          <w:iCs w:val="1"/>
          <w:sz w:val="20"/>
          <w:szCs w:val="20"/>
          <w:rtl w:val="0"/>
        </w:rPr>
        <w:t xml:space="preserve">query </w:t>
      </w:r>
      <w:r w:rsidDel="00000000" w:rsidR="00000000" w:rsidRPr="00000000">
        <w:rPr>
          <w:rFonts w:ascii="Times New Roman" w:cs="Times New Roman" w:eastAsia="Times New Roman" w:hAnsi="Times New Roman"/>
          <w:sz w:val="20"/>
          <w:szCs w:val="20"/>
          <w:rtl w:val="0"/>
        </w:rPr>
        <w:t xml:space="preserve">utilizada teve o seguinte formato: </w:t>
      </w:r>
      <w:r w:rsidDel="00000000" w:rsidR="00000000" w:rsidRPr="00000000">
        <w:rPr>
          <w:rFonts w:ascii="Times New Roman" w:cs="Times New Roman" w:eastAsia="Times New Roman" w:hAnsi="Times New Roman"/>
          <w:i w:val="1"/>
          <w:iCs w:val="1"/>
          <w:sz w:val="20"/>
          <w:szCs w:val="20"/>
          <w:rtl w:val="0"/>
        </w:rPr>
        <w:t xml:space="preserve">(deindustrialization OR deindustrialisation OR de-industrialization OR de-industrialisation OR reindustrialization OR reindustrialisation OR re-industrialization OR re-industrialisation OR “manufacturing decline” OR “decline in manufacturing” OR “industrial closings” OR “shift to service economy” OR “transition to service economy”)</w:t>
      </w:r>
      <w:r w:rsidDel="00000000" w:rsidR="00000000" w:rsidRPr="00000000">
        <w:rPr>
          <w:rFonts w:ascii="Times New Roman" w:cs="Times New Roman" w:eastAsia="Times New Roman" w:hAnsi="Times New Roman"/>
          <w:sz w:val="20"/>
          <w:szCs w:val="20"/>
          <w:rtl w:val="0"/>
        </w:rPr>
        <w:t xml:space="preserve">, sendo os termos procurados no título, resumo ou palavras chave dos artigos (critério “topics” pela nomenclatura da </w:t>
      </w:r>
      <w:r w:rsidDel="00000000" w:rsidR="00000000" w:rsidRPr="00000000">
        <w:rPr>
          <w:rFonts w:ascii="Times New Roman" w:cs="Times New Roman" w:eastAsia="Times New Roman" w:hAnsi="Times New Roman"/>
          <w:i w:val="1"/>
          <w:iCs w:val="1"/>
          <w:sz w:val="20"/>
          <w:szCs w:val="20"/>
          <w:rtl w:val="0"/>
        </w:rPr>
        <w:t xml:space="preserve">Web of Science</w:t>
      </w:r>
      <w:r w:rsidDel="00000000" w:rsidR="00000000" w:rsidRPr="00000000">
        <w:rPr>
          <w:rFonts w:ascii="Times New Roman" w:cs="Times New Roman" w:eastAsia="Times New Roman" w:hAnsi="Times New Roman"/>
          <w:sz w:val="20"/>
          <w:szCs w:val="20"/>
          <w:rtl w:val="0"/>
        </w:rPr>
        <w:t xml:space="preserve">).</w:t>
      </w:r>
    </w:p>
  </w:footnote>
  <w:footnote w:id="2">
    <w:p w:rsidR="00000000" w:rsidDel="00000000" w:rsidP="00000000" w:rsidRDefault="00000000" w:rsidRPr="00000000" w14:paraId="00000111">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Tradução própria</w:t>
      </w:r>
    </w:p>
  </w:footnote>
  <w:footnote w:id="3">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Desindustrialização mais tardia aqui refere-se aos países onde seu processo de industrialização ocorreu durante o século XX, em contraposição a processos de desindustrialização nos séculos XVIII e XIX </w:t>
      </w:r>
      <w:hyperlink r:id="rId1">
        <w:r w:rsidDel="00000000" w:rsidR="00000000" w:rsidRPr="00000000">
          <w:rPr>
            <w:rFonts w:ascii="Times New Roman" w:cs="Times New Roman" w:eastAsia="Times New Roman" w:hAnsi="Times New Roman"/>
            <w:sz w:val="20"/>
            <w:szCs w:val="20"/>
            <w:rtl w:val="0"/>
          </w:rPr>
          <w:t xml:space="preserve">(Mello, 1982)</w:t>
        </w:r>
      </w:hyperlink>
      <w:r w:rsidDel="00000000" w:rsidR="00000000" w:rsidRPr="00000000">
        <w:rPr>
          <w:rtl w:val="0"/>
        </w:rPr>
      </w:r>
    </w:p>
  </w:footnote>
  <w:footnote w:id="4">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Vale pontuar a relação entre a formação da União Europeia e a gestão dos recursos de carvão e aço no continente, sendo a primeira resultado direto da formação da Comunidade Europeia do Carvão e do Aço (CECA) em 1951 </w:t>
      </w:r>
      <w:hyperlink r:id="rId2">
        <w:r w:rsidDel="00000000" w:rsidR="00000000" w:rsidRPr="00000000">
          <w:rPr>
            <w:rFonts w:ascii="Times New Roman" w:cs="Times New Roman" w:eastAsia="Times New Roman" w:hAnsi="Times New Roman"/>
            <w:sz w:val="20"/>
            <w:szCs w:val="20"/>
            <w:rtl w:val="0"/>
          </w:rPr>
          <w:t xml:space="preserve">(Valls, 2016)</w:t>
        </w:r>
      </w:hyperlink>
      <w:r w:rsidDel="00000000" w:rsidR="00000000" w:rsidRPr="00000000">
        <w:rPr>
          <w:rtl w:val="0"/>
        </w:rPr>
      </w:r>
    </w:p>
  </w:footnote>
  <w:footnote w:id="5">
    <w:p w:rsidR="00000000" w:rsidDel="00000000" w:rsidP="00000000" w:rsidRDefault="00000000" w:rsidRPr="00000000" w14:paraId="00000114">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Para discussão sobre e caracterização das </w:t>
      </w:r>
      <w:r w:rsidDel="00000000" w:rsidR="00000000" w:rsidRPr="00000000">
        <w:rPr>
          <w:rFonts w:ascii="Times New Roman" w:cs="Times New Roman" w:eastAsia="Times New Roman" w:hAnsi="Times New Roman"/>
          <w:i w:val="1"/>
          <w:iCs w:val="1"/>
          <w:sz w:val="20"/>
          <w:szCs w:val="20"/>
          <w:rtl w:val="0"/>
        </w:rPr>
        <w:t xml:space="preserve">soft skills</w:t>
      </w:r>
      <w:r w:rsidDel="00000000" w:rsidR="00000000" w:rsidRPr="00000000">
        <w:rPr>
          <w:rFonts w:ascii="Times New Roman" w:cs="Times New Roman" w:eastAsia="Times New Roman" w:hAnsi="Times New Roman"/>
          <w:sz w:val="20"/>
          <w:szCs w:val="20"/>
          <w:rtl w:val="0"/>
        </w:rPr>
        <w:t xml:space="preserve">, ver Thompson e Smith </w:t>
      </w:r>
      <w:hyperlink r:id="rId3">
        <w:r w:rsidDel="00000000" w:rsidR="00000000" w:rsidRPr="00000000">
          <w:rPr>
            <w:rFonts w:ascii="Times New Roman" w:cs="Times New Roman" w:eastAsia="Times New Roman" w:hAnsi="Times New Roman"/>
            <w:sz w:val="20"/>
            <w:szCs w:val="20"/>
            <w:rtl w:val="0"/>
          </w:rPr>
          <w:t xml:space="preserve">(2010, p. 99–103)</w:t>
        </w:r>
      </w:hyperlink>
      <w:r w:rsidDel="00000000" w:rsidR="00000000" w:rsidRPr="00000000">
        <w:rPr>
          <w:rtl w:val="0"/>
        </w:rPr>
      </w:r>
    </w:p>
  </w:footnote>
  <w:footnote w:id="6">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Para discussões sobre estratégia de captura de valor ver Henderson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r:id="rId4">
        <w:r w:rsidDel="00000000" w:rsidR="00000000" w:rsidRPr="00000000">
          <w:rPr>
            <w:rFonts w:ascii="Times New Roman" w:cs="Times New Roman" w:eastAsia="Times New Roman" w:hAnsi="Times New Roman"/>
            <w:sz w:val="20"/>
            <w:szCs w:val="20"/>
            <w:rtl w:val="0"/>
          </w:rPr>
          <w:t xml:space="preserve">(2011)</w:t>
        </w:r>
      </w:hyperlink>
      <w:r w:rsidDel="00000000" w:rsidR="00000000" w:rsidRPr="00000000">
        <w:rPr>
          <w:rtl w:val="0"/>
        </w:rPr>
      </w:r>
    </w:p>
  </w:footnote>
  <w:footnote w:id="7">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Para discussão sobre transformação nas estratégias de acumulação e o conflito entre capital e trabalhadores ver Harvey </w:t>
      </w:r>
      <w:hyperlink r:id="rId5">
        <w:r w:rsidDel="00000000" w:rsidR="00000000" w:rsidRPr="00000000">
          <w:rPr>
            <w:rFonts w:ascii="Times New Roman" w:cs="Times New Roman" w:eastAsia="Times New Roman" w:hAnsi="Times New Roman"/>
            <w:sz w:val="20"/>
            <w:szCs w:val="20"/>
            <w:rtl w:val="0"/>
          </w:rPr>
          <w:t xml:space="preserve">(1992)</w:t>
        </w:r>
      </w:hyperlink>
      <w:r w:rsidDel="00000000" w:rsidR="00000000" w:rsidRPr="00000000">
        <w:rPr>
          <w:rtl w:val="0"/>
        </w:rPr>
      </w:r>
    </w:p>
  </w:footnote>
  <w:footnote w:id="8">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Tradução própria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kgYUU2" TargetMode="External"/><Relationship Id="rId42" Type="http://schemas.openxmlformats.org/officeDocument/2006/relationships/hyperlink" Target="https://www.zotero.org/google-docs/?rZVpjC" TargetMode="External"/><Relationship Id="rId41" Type="http://schemas.openxmlformats.org/officeDocument/2006/relationships/hyperlink" Target="https://www.zotero.org/google-docs/?yB9B2v" TargetMode="External"/><Relationship Id="rId44" Type="http://schemas.openxmlformats.org/officeDocument/2006/relationships/hyperlink" Target="https://www.zotero.org/google-docs/?hVR5XO" TargetMode="External"/><Relationship Id="rId43" Type="http://schemas.openxmlformats.org/officeDocument/2006/relationships/hyperlink" Target="https://www.zotero.org/google-docs/?CYu4MG" TargetMode="External"/><Relationship Id="rId46" Type="http://schemas.openxmlformats.org/officeDocument/2006/relationships/hyperlink" Target="https://www.zotero.org/google-docs/?aGjtPq" TargetMode="External"/><Relationship Id="rId45" Type="http://schemas.openxmlformats.org/officeDocument/2006/relationships/hyperlink" Target="https://www.zotero.org/google-docs/?odDWC6" TargetMode="External"/><Relationship Id="rId107" Type="http://schemas.openxmlformats.org/officeDocument/2006/relationships/hyperlink" Target="https://www.zotero.org/google-docs/?nAwPpr" TargetMode="External"/><Relationship Id="rId106" Type="http://schemas.openxmlformats.org/officeDocument/2006/relationships/hyperlink" Target="https://www.zotero.org/google-docs/?bh9WW6" TargetMode="External"/><Relationship Id="rId105" Type="http://schemas.openxmlformats.org/officeDocument/2006/relationships/hyperlink" Target="https://www.zotero.org/google-docs/?hUQSGX" TargetMode="External"/><Relationship Id="rId104" Type="http://schemas.openxmlformats.org/officeDocument/2006/relationships/hyperlink" Target="https://www.zotero.org/google-docs/?WBJ1XC" TargetMode="External"/><Relationship Id="rId109" Type="http://schemas.openxmlformats.org/officeDocument/2006/relationships/hyperlink" Target="https://www.zotero.org/google-docs/?Wbf6Ja" TargetMode="External"/><Relationship Id="rId108" Type="http://schemas.openxmlformats.org/officeDocument/2006/relationships/hyperlink" Target="https://www.zotero.org/google-docs/?fH32OW" TargetMode="External"/><Relationship Id="rId48" Type="http://schemas.openxmlformats.org/officeDocument/2006/relationships/hyperlink" Target="https://www.zotero.org/google-docs/?dfS8v8" TargetMode="External"/><Relationship Id="rId187" Type="http://schemas.openxmlformats.org/officeDocument/2006/relationships/hyperlink" Target="https://www.zotero.org/google-docs/?D50Tmf" TargetMode="External"/><Relationship Id="rId47" Type="http://schemas.openxmlformats.org/officeDocument/2006/relationships/hyperlink" Target="https://www.zotero.org/google-docs/?lTQk3H" TargetMode="External"/><Relationship Id="rId186" Type="http://schemas.openxmlformats.org/officeDocument/2006/relationships/hyperlink" Target="https://www.zotero.org/google-docs/?chPHjZ" TargetMode="External"/><Relationship Id="rId185" Type="http://schemas.openxmlformats.org/officeDocument/2006/relationships/hyperlink" Target="https://www.zotero.org/google-docs/?RNRlkC" TargetMode="External"/><Relationship Id="rId49" Type="http://schemas.openxmlformats.org/officeDocument/2006/relationships/hyperlink" Target="https://www.zotero.org/google-docs/?PH688f" TargetMode="External"/><Relationship Id="rId184" Type="http://schemas.openxmlformats.org/officeDocument/2006/relationships/hyperlink" Target="https://www.zotero.org/google-docs/?9i2v0M" TargetMode="External"/><Relationship Id="rId103" Type="http://schemas.openxmlformats.org/officeDocument/2006/relationships/hyperlink" Target="https://www.zotero.org/google-docs/?GOOAao" TargetMode="External"/><Relationship Id="rId102" Type="http://schemas.openxmlformats.org/officeDocument/2006/relationships/hyperlink" Target="https://www.zotero.org/google-docs/?2GMa3o" TargetMode="External"/><Relationship Id="rId101" Type="http://schemas.openxmlformats.org/officeDocument/2006/relationships/hyperlink" Target="https://www.zotero.org/google-docs/?7BvhKX" TargetMode="External"/><Relationship Id="rId100" Type="http://schemas.openxmlformats.org/officeDocument/2006/relationships/hyperlink" Target="https://www.zotero.org/google-docs/?qWOBi4" TargetMode="External"/><Relationship Id="rId31" Type="http://schemas.openxmlformats.org/officeDocument/2006/relationships/hyperlink" Target="https://www.zotero.org/google-docs/?2AtMYd" TargetMode="External"/><Relationship Id="rId30" Type="http://schemas.openxmlformats.org/officeDocument/2006/relationships/hyperlink" Target="https://www.zotero.org/google-docs/?PCangB" TargetMode="External"/><Relationship Id="rId33" Type="http://schemas.openxmlformats.org/officeDocument/2006/relationships/hyperlink" Target="https://www.zotero.org/google-docs/?kkP1z2" TargetMode="External"/><Relationship Id="rId183" Type="http://schemas.openxmlformats.org/officeDocument/2006/relationships/hyperlink" Target="https://www.zotero.org/google-docs/?pGTrMe" TargetMode="External"/><Relationship Id="rId32" Type="http://schemas.openxmlformats.org/officeDocument/2006/relationships/hyperlink" Target="https://www.zotero.org/google-docs/?WshOkn" TargetMode="External"/><Relationship Id="rId182" Type="http://schemas.openxmlformats.org/officeDocument/2006/relationships/hyperlink" Target="https://www.zotero.org/google-docs/?UHzgwr" TargetMode="External"/><Relationship Id="rId35" Type="http://schemas.openxmlformats.org/officeDocument/2006/relationships/hyperlink" Target="https://www.zotero.org/google-docs/?VlDdus" TargetMode="External"/><Relationship Id="rId181" Type="http://schemas.openxmlformats.org/officeDocument/2006/relationships/hyperlink" Target="https://www.zotero.org/google-docs/?bL2vpv" TargetMode="External"/><Relationship Id="rId34" Type="http://schemas.openxmlformats.org/officeDocument/2006/relationships/hyperlink" Target="https://www.zotero.org/google-docs/?t9NhX6" TargetMode="External"/><Relationship Id="rId180" Type="http://schemas.openxmlformats.org/officeDocument/2006/relationships/hyperlink" Target="https://www.zotero.org/google-docs/?O7AVby" TargetMode="External"/><Relationship Id="rId37" Type="http://schemas.openxmlformats.org/officeDocument/2006/relationships/hyperlink" Target="https://www.zotero.org/google-docs/?MEPAJj" TargetMode="External"/><Relationship Id="rId176" Type="http://schemas.openxmlformats.org/officeDocument/2006/relationships/hyperlink" Target="https://www.zotero.org/google-docs/?nGvPUZ" TargetMode="External"/><Relationship Id="rId36" Type="http://schemas.openxmlformats.org/officeDocument/2006/relationships/hyperlink" Target="https://www.zotero.org/google-docs/?TRqrV5" TargetMode="External"/><Relationship Id="rId175" Type="http://schemas.openxmlformats.org/officeDocument/2006/relationships/hyperlink" Target="https://www.zotero.org/google-docs/?14S3Qj" TargetMode="External"/><Relationship Id="rId39" Type="http://schemas.openxmlformats.org/officeDocument/2006/relationships/hyperlink" Target="https://www.zotero.org/google-docs/?u1rytv" TargetMode="External"/><Relationship Id="rId174" Type="http://schemas.openxmlformats.org/officeDocument/2006/relationships/hyperlink" Target="https://www.zotero.org/google-docs/?OZsxYI" TargetMode="External"/><Relationship Id="rId38" Type="http://schemas.openxmlformats.org/officeDocument/2006/relationships/hyperlink" Target="https://www.zotero.org/google-docs/?cIWlm8" TargetMode="External"/><Relationship Id="rId173" Type="http://schemas.openxmlformats.org/officeDocument/2006/relationships/hyperlink" Target="https://www.zotero.org/google-docs/?8dvTLj" TargetMode="External"/><Relationship Id="rId179" Type="http://schemas.openxmlformats.org/officeDocument/2006/relationships/hyperlink" Target="https://www.zotero.org/google-docs/?9Cf4QP" TargetMode="External"/><Relationship Id="rId178" Type="http://schemas.openxmlformats.org/officeDocument/2006/relationships/hyperlink" Target="https://www.zotero.org/google-docs/?XYaD25" TargetMode="External"/><Relationship Id="rId177" Type="http://schemas.openxmlformats.org/officeDocument/2006/relationships/hyperlink" Target="https://www.zotero.org/google-docs/?qfHjCP" TargetMode="External"/><Relationship Id="rId20" Type="http://schemas.openxmlformats.org/officeDocument/2006/relationships/hyperlink" Target="https://www.zotero.org/google-docs/?MxvIWj" TargetMode="External"/><Relationship Id="rId22" Type="http://schemas.openxmlformats.org/officeDocument/2006/relationships/hyperlink" Target="https://www.zotero.org/google-docs/?FAXcZI" TargetMode="External"/><Relationship Id="rId21" Type="http://schemas.openxmlformats.org/officeDocument/2006/relationships/hyperlink" Target="https://www.zotero.org/google-docs/?OizqO5" TargetMode="External"/><Relationship Id="rId24" Type="http://schemas.openxmlformats.org/officeDocument/2006/relationships/hyperlink" Target="https://www.zotero.org/google-docs/?0FGLrz" TargetMode="External"/><Relationship Id="rId23" Type="http://schemas.openxmlformats.org/officeDocument/2006/relationships/hyperlink" Target="https://www.zotero.org/google-docs/?AiTsAR" TargetMode="External"/><Relationship Id="rId129" Type="http://schemas.openxmlformats.org/officeDocument/2006/relationships/hyperlink" Target="https://www.zotero.org/google-docs/?7lhlhr" TargetMode="External"/><Relationship Id="rId128" Type="http://schemas.openxmlformats.org/officeDocument/2006/relationships/hyperlink" Target="https://www.zotero.org/google-docs/?cCMYRz" TargetMode="External"/><Relationship Id="rId127" Type="http://schemas.openxmlformats.org/officeDocument/2006/relationships/hyperlink" Target="https://www.zotero.org/google-docs/?YSyJ0m" TargetMode="External"/><Relationship Id="rId126" Type="http://schemas.openxmlformats.org/officeDocument/2006/relationships/hyperlink" Target="https://www.zotero.org/google-docs/?fMnUVP" TargetMode="External"/><Relationship Id="rId26" Type="http://schemas.openxmlformats.org/officeDocument/2006/relationships/hyperlink" Target="https://www.zotero.org/google-docs/?YVvSKG" TargetMode="External"/><Relationship Id="rId121" Type="http://schemas.openxmlformats.org/officeDocument/2006/relationships/hyperlink" Target="https://www.zotero.org/google-docs/?h9qam5" TargetMode="External"/><Relationship Id="rId25" Type="http://schemas.openxmlformats.org/officeDocument/2006/relationships/hyperlink" Target="https://www.zotero.org/google-docs/?NLLOOu" TargetMode="External"/><Relationship Id="rId120" Type="http://schemas.openxmlformats.org/officeDocument/2006/relationships/hyperlink" Target="https://www.zotero.org/google-docs/?mfJsD7" TargetMode="External"/><Relationship Id="rId28" Type="http://schemas.openxmlformats.org/officeDocument/2006/relationships/hyperlink" Target="https://www.zotero.org/google-docs/?lvTNTQ" TargetMode="External"/><Relationship Id="rId27" Type="http://schemas.openxmlformats.org/officeDocument/2006/relationships/hyperlink" Target="https://www.zotero.org/google-docs/?lvTNTQ" TargetMode="External"/><Relationship Id="rId125" Type="http://schemas.openxmlformats.org/officeDocument/2006/relationships/hyperlink" Target="https://www.zotero.org/google-docs/?8gOF1N" TargetMode="External"/><Relationship Id="rId29" Type="http://schemas.openxmlformats.org/officeDocument/2006/relationships/hyperlink" Target="https://www.zotero.org/google-docs/?lvTNTQ" TargetMode="External"/><Relationship Id="rId124" Type="http://schemas.openxmlformats.org/officeDocument/2006/relationships/hyperlink" Target="https://www.zotero.org/google-docs/?O6VLTx" TargetMode="External"/><Relationship Id="rId123" Type="http://schemas.openxmlformats.org/officeDocument/2006/relationships/hyperlink" Target="https://www.zotero.org/google-docs/?CGshOg" TargetMode="External"/><Relationship Id="rId122" Type="http://schemas.openxmlformats.org/officeDocument/2006/relationships/hyperlink" Target="https://www.zotero.org/google-docs/?MVk663" TargetMode="External"/><Relationship Id="rId95" Type="http://schemas.openxmlformats.org/officeDocument/2006/relationships/hyperlink" Target="https://www.zotero.org/google-docs/?ZmBFJG" TargetMode="External"/><Relationship Id="rId94" Type="http://schemas.openxmlformats.org/officeDocument/2006/relationships/hyperlink" Target="https://www.zotero.org/google-docs/?JJF36r" TargetMode="External"/><Relationship Id="rId97" Type="http://schemas.openxmlformats.org/officeDocument/2006/relationships/hyperlink" Target="https://www.zotero.org/google-docs/?SRxFGq" TargetMode="External"/><Relationship Id="rId96" Type="http://schemas.openxmlformats.org/officeDocument/2006/relationships/hyperlink" Target="https://www.zotero.org/google-docs/?t9HVJz" TargetMode="External"/><Relationship Id="rId11" Type="http://schemas.openxmlformats.org/officeDocument/2006/relationships/hyperlink" Target="https://www.zotero.org/google-docs/?8ZlqZh" TargetMode="External"/><Relationship Id="rId99" Type="http://schemas.openxmlformats.org/officeDocument/2006/relationships/hyperlink" Target="https://www.zotero.org/google-docs/?h6soGG" TargetMode="External"/><Relationship Id="rId10" Type="http://schemas.openxmlformats.org/officeDocument/2006/relationships/hyperlink" Target="https://www.zotero.org/google-docs/?L8IQDX" TargetMode="External"/><Relationship Id="rId98" Type="http://schemas.openxmlformats.org/officeDocument/2006/relationships/hyperlink" Target="https://www.zotero.org/google-docs/?9HXi1x" TargetMode="External"/><Relationship Id="rId13" Type="http://schemas.openxmlformats.org/officeDocument/2006/relationships/hyperlink" Target="https://www.zotero.org/google-docs/?XtB5a1" TargetMode="External"/><Relationship Id="rId12" Type="http://schemas.openxmlformats.org/officeDocument/2006/relationships/hyperlink" Target="https://www.zotero.org/google-docs/?hcZ5qK" TargetMode="External"/><Relationship Id="rId91" Type="http://schemas.openxmlformats.org/officeDocument/2006/relationships/hyperlink" Target="https://www.zotero.org/google-docs/?XOxNcJ" TargetMode="External"/><Relationship Id="rId90" Type="http://schemas.openxmlformats.org/officeDocument/2006/relationships/hyperlink" Target="https://www.zotero.org/google-docs/?7OesxW" TargetMode="External"/><Relationship Id="rId93" Type="http://schemas.openxmlformats.org/officeDocument/2006/relationships/hyperlink" Target="https://www.zotero.org/google-docs/?i9n36z" TargetMode="External"/><Relationship Id="rId92" Type="http://schemas.openxmlformats.org/officeDocument/2006/relationships/hyperlink" Target="https://www.zotero.org/google-docs/?SSjZ1w" TargetMode="External"/><Relationship Id="rId118" Type="http://schemas.openxmlformats.org/officeDocument/2006/relationships/hyperlink" Target="https://www.zotero.org/google-docs/?DcU6gD" TargetMode="External"/><Relationship Id="rId117" Type="http://schemas.openxmlformats.org/officeDocument/2006/relationships/hyperlink" Target="https://www.zotero.org/google-docs/?QXPNE6" TargetMode="External"/><Relationship Id="rId116" Type="http://schemas.openxmlformats.org/officeDocument/2006/relationships/hyperlink" Target="https://www.zotero.org/google-docs/?J7dR83" TargetMode="External"/><Relationship Id="rId115" Type="http://schemas.openxmlformats.org/officeDocument/2006/relationships/hyperlink" Target="https://www.zotero.org/google-docs/?NhrNAK" TargetMode="External"/><Relationship Id="rId119" Type="http://schemas.openxmlformats.org/officeDocument/2006/relationships/hyperlink" Target="https://www.zotero.org/google-docs/?fFlzMu" TargetMode="External"/><Relationship Id="rId15" Type="http://schemas.openxmlformats.org/officeDocument/2006/relationships/hyperlink" Target="https://www.zotero.org/google-docs/?xdjSXH" TargetMode="External"/><Relationship Id="rId110" Type="http://schemas.openxmlformats.org/officeDocument/2006/relationships/hyperlink" Target="https://www.zotero.org/google-docs/?epVUGe" TargetMode="External"/><Relationship Id="rId14" Type="http://schemas.openxmlformats.org/officeDocument/2006/relationships/hyperlink" Target="https://www.zotero.org/google-docs/?eZL9b3" TargetMode="External"/><Relationship Id="rId17" Type="http://schemas.openxmlformats.org/officeDocument/2006/relationships/hyperlink" Target="https://www.zotero.org/google-docs/?LTSpDH" TargetMode="External"/><Relationship Id="rId16" Type="http://schemas.openxmlformats.org/officeDocument/2006/relationships/hyperlink" Target="https://www.zotero.org/google-docs/?whFleA" TargetMode="External"/><Relationship Id="rId19" Type="http://schemas.openxmlformats.org/officeDocument/2006/relationships/hyperlink" Target="https://www.zotero.org/google-docs/?Ah5yEx" TargetMode="External"/><Relationship Id="rId114" Type="http://schemas.openxmlformats.org/officeDocument/2006/relationships/hyperlink" Target="https://www.zotero.org/google-docs/?a0K08l" TargetMode="External"/><Relationship Id="rId18" Type="http://schemas.openxmlformats.org/officeDocument/2006/relationships/hyperlink" Target="https://www.zotero.org/google-docs/?n0gdvx" TargetMode="External"/><Relationship Id="rId113" Type="http://schemas.openxmlformats.org/officeDocument/2006/relationships/hyperlink" Target="https://www.zotero.org/google-docs/?840iJG" TargetMode="External"/><Relationship Id="rId112" Type="http://schemas.openxmlformats.org/officeDocument/2006/relationships/hyperlink" Target="https://www.zotero.org/google-docs/?BapSZJ" TargetMode="External"/><Relationship Id="rId111" Type="http://schemas.openxmlformats.org/officeDocument/2006/relationships/hyperlink" Target="https://www.zotero.org/google-docs/?00gScK" TargetMode="External"/><Relationship Id="rId84" Type="http://schemas.openxmlformats.org/officeDocument/2006/relationships/hyperlink" Target="https://www.zotero.org/google-docs/?cOHBIG" TargetMode="External"/><Relationship Id="rId83" Type="http://schemas.openxmlformats.org/officeDocument/2006/relationships/hyperlink" Target="https://www.zotero.org/google-docs/?ULOwso" TargetMode="External"/><Relationship Id="rId86" Type="http://schemas.openxmlformats.org/officeDocument/2006/relationships/hyperlink" Target="https://www.zotero.org/google-docs/?DzKgjo" TargetMode="External"/><Relationship Id="rId85" Type="http://schemas.openxmlformats.org/officeDocument/2006/relationships/hyperlink" Target="https://www.zotero.org/google-docs/?PSiiOG" TargetMode="External"/><Relationship Id="rId88" Type="http://schemas.openxmlformats.org/officeDocument/2006/relationships/hyperlink" Target="https://www.zotero.org/google-docs/?cZ7T4H" TargetMode="External"/><Relationship Id="rId150" Type="http://schemas.openxmlformats.org/officeDocument/2006/relationships/hyperlink" Target="https://www.zotero.org/google-docs/?G2DsO2" TargetMode="External"/><Relationship Id="rId87" Type="http://schemas.openxmlformats.org/officeDocument/2006/relationships/hyperlink" Target="https://www.zotero.org/google-docs/?iHJANV" TargetMode="External"/><Relationship Id="rId89" Type="http://schemas.openxmlformats.org/officeDocument/2006/relationships/hyperlink" Target="https://www.zotero.org/google-docs/?adDhwJ" TargetMode="External"/><Relationship Id="rId80" Type="http://schemas.openxmlformats.org/officeDocument/2006/relationships/hyperlink" Target="https://www.zotero.org/google-docs/?dYyfpM" TargetMode="External"/><Relationship Id="rId82" Type="http://schemas.openxmlformats.org/officeDocument/2006/relationships/hyperlink" Target="https://www.zotero.org/google-docs/?7BP6gP" TargetMode="External"/><Relationship Id="rId81" Type="http://schemas.openxmlformats.org/officeDocument/2006/relationships/hyperlink" Target="https://www.zotero.org/google-docs/?izvyT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fyB4VM" TargetMode="External"/><Relationship Id="rId4" Type="http://schemas.openxmlformats.org/officeDocument/2006/relationships/footnotes" Target="footnotes.xml"/><Relationship Id="rId148" Type="http://schemas.openxmlformats.org/officeDocument/2006/relationships/hyperlink" Target="https://www.zotero.org/google-docs/?jPNmiv" TargetMode="External"/><Relationship Id="rId9" Type="http://schemas.openxmlformats.org/officeDocument/2006/relationships/hyperlink" Target="https://www.zotero.org/google-docs/?UzkEfu" TargetMode="External"/><Relationship Id="rId143" Type="http://schemas.openxmlformats.org/officeDocument/2006/relationships/hyperlink" Target="https://www.zotero.org/google-docs/?W9IXhk" TargetMode="External"/><Relationship Id="rId142" Type="http://schemas.openxmlformats.org/officeDocument/2006/relationships/hyperlink" Target="https://www.zotero.org/google-docs/?YT2Gwk" TargetMode="External"/><Relationship Id="rId141" Type="http://schemas.openxmlformats.org/officeDocument/2006/relationships/hyperlink" Target="https://www.zotero.org/google-docs/?Q1XrCC" TargetMode="External"/><Relationship Id="rId140" Type="http://schemas.openxmlformats.org/officeDocument/2006/relationships/hyperlink" Target="https://www.zotero.org/google-docs/?Wnb2hL" TargetMode="External"/><Relationship Id="rId5" Type="http://schemas.openxmlformats.org/officeDocument/2006/relationships/numbering" Target="numbering.xml"/><Relationship Id="rId147" Type="http://schemas.openxmlformats.org/officeDocument/2006/relationships/hyperlink" Target="https://www.zotero.org/google-docs/?26mgUJ" TargetMode="External"/><Relationship Id="rId6" Type="http://schemas.openxmlformats.org/officeDocument/2006/relationships/styles" Target="styles.xml"/><Relationship Id="rId146" Type="http://schemas.openxmlformats.org/officeDocument/2006/relationships/hyperlink" Target="https://www.zotero.org/google-docs/?MdzJNx" TargetMode="External"/><Relationship Id="rId7" Type="http://schemas.openxmlformats.org/officeDocument/2006/relationships/hyperlink" Target="https://www.zotero.org/google-docs/?SncwXs" TargetMode="External"/><Relationship Id="rId145" Type="http://schemas.openxmlformats.org/officeDocument/2006/relationships/hyperlink" Target="https://www.zotero.org/google-docs/?YGzUlj" TargetMode="External"/><Relationship Id="rId8" Type="http://schemas.openxmlformats.org/officeDocument/2006/relationships/hyperlink" Target="https://www.zotero.org/google-docs/?2eElZ8" TargetMode="External"/><Relationship Id="rId144" Type="http://schemas.openxmlformats.org/officeDocument/2006/relationships/hyperlink" Target="https://www.zotero.org/google-docs/?gj4heC" TargetMode="External"/><Relationship Id="rId73" Type="http://schemas.openxmlformats.org/officeDocument/2006/relationships/hyperlink" Target="https://www.zotero.org/google-docs/?clyMVg" TargetMode="External"/><Relationship Id="rId72" Type="http://schemas.openxmlformats.org/officeDocument/2006/relationships/hyperlink" Target="https://www.zotero.org/google-docs/?Dc2GGA" TargetMode="External"/><Relationship Id="rId75" Type="http://schemas.openxmlformats.org/officeDocument/2006/relationships/hyperlink" Target="https://www.zotero.org/google-docs/?T6n73h" TargetMode="External"/><Relationship Id="rId74" Type="http://schemas.openxmlformats.org/officeDocument/2006/relationships/hyperlink" Target="https://www.zotero.org/google-docs/?7iYBD0" TargetMode="External"/><Relationship Id="rId77" Type="http://schemas.openxmlformats.org/officeDocument/2006/relationships/hyperlink" Target="https://www.zotero.org/google-docs/?QpVkIs" TargetMode="External"/><Relationship Id="rId76" Type="http://schemas.openxmlformats.org/officeDocument/2006/relationships/hyperlink" Target="https://www.zotero.org/google-docs/?YgWzzI" TargetMode="External"/><Relationship Id="rId79" Type="http://schemas.openxmlformats.org/officeDocument/2006/relationships/hyperlink" Target="https://www.zotero.org/google-docs/?80xC3Z" TargetMode="External"/><Relationship Id="rId78" Type="http://schemas.openxmlformats.org/officeDocument/2006/relationships/hyperlink" Target="https://www.zotero.org/google-docs/?FkA0zT" TargetMode="External"/><Relationship Id="rId71" Type="http://schemas.openxmlformats.org/officeDocument/2006/relationships/hyperlink" Target="https://www.zotero.org/google-docs/?9kbgx1" TargetMode="External"/><Relationship Id="rId70" Type="http://schemas.openxmlformats.org/officeDocument/2006/relationships/hyperlink" Target="https://www.zotero.org/google-docs/?KIdYBO" TargetMode="External"/><Relationship Id="rId139" Type="http://schemas.openxmlformats.org/officeDocument/2006/relationships/hyperlink" Target="https://www.zotero.org/google-docs/?6Of68o" TargetMode="External"/><Relationship Id="rId138" Type="http://schemas.openxmlformats.org/officeDocument/2006/relationships/hyperlink" Target="https://www.zotero.org/google-docs/?F7H7gv" TargetMode="External"/><Relationship Id="rId137" Type="http://schemas.openxmlformats.org/officeDocument/2006/relationships/hyperlink" Target="https://www.zotero.org/google-docs/?npTwIO" TargetMode="External"/><Relationship Id="rId132" Type="http://schemas.openxmlformats.org/officeDocument/2006/relationships/hyperlink" Target="https://www.zotero.org/google-docs/?73nnBO" TargetMode="External"/><Relationship Id="rId131" Type="http://schemas.openxmlformats.org/officeDocument/2006/relationships/hyperlink" Target="https://www.zotero.org/google-docs/?ZgRt6K" TargetMode="External"/><Relationship Id="rId130" Type="http://schemas.openxmlformats.org/officeDocument/2006/relationships/hyperlink" Target="https://www.zotero.org/google-docs/?Nb0AyK" TargetMode="External"/><Relationship Id="rId136" Type="http://schemas.openxmlformats.org/officeDocument/2006/relationships/hyperlink" Target="https://www.zotero.org/google-docs/?iCkdQR" TargetMode="External"/><Relationship Id="rId135" Type="http://schemas.openxmlformats.org/officeDocument/2006/relationships/hyperlink" Target="https://www.zotero.org/google-docs/?JhbIrM" TargetMode="External"/><Relationship Id="rId134" Type="http://schemas.openxmlformats.org/officeDocument/2006/relationships/hyperlink" Target="https://www.zotero.org/google-docs/?XohD0P" TargetMode="External"/><Relationship Id="rId133" Type="http://schemas.openxmlformats.org/officeDocument/2006/relationships/hyperlink" Target="https://www.zotero.org/google-docs/?vlrv6U" TargetMode="External"/><Relationship Id="rId62" Type="http://schemas.openxmlformats.org/officeDocument/2006/relationships/hyperlink" Target="https://www.zotero.org/google-docs/?OCJTFh" TargetMode="External"/><Relationship Id="rId61" Type="http://schemas.openxmlformats.org/officeDocument/2006/relationships/hyperlink" Target="https://www.zotero.org/google-docs/?Z0WlY5" TargetMode="External"/><Relationship Id="rId64" Type="http://schemas.openxmlformats.org/officeDocument/2006/relationships/hyperlink" Target="https://www.zotero.org/google-docs/?tI9fox" TargetMode="External"/><Relationship Id="rId63" Type="http://schemas.openxmlformats.org/officeDocument/2006/relationships/hyperlink" Target="https://www.zotero.org/google-docs/?NzkGTV" TargetMode="External"/><Relationship Id="rId66" Type="http://schemas.openxmlformats.org/officeDocument/2006/relationships/hyperlink" Target="https://www.zotero.org/google-docs/?iE7wh2" TargetMode="External"/><Relationship Id="rId172" Type="http://schemas.openxmlformats.org/officeDocument/2006/relationships/hyperlink" Target="https://www.zotero.org/google-docs/?FEwbWu" TargetMode="External"/><Relationship Id="rId65" Type="http://schemas.openxmlformats.org/officeDocument/2006/relationships/hyperlink" Target="https://www.zotero.org/google-docs/?AYbZdZ" TargetMode="External"/><Relationship Id="rId171" Type="http://schemas.openxmlformats.org/officeDocument/2006/relationships/hyperlink" Target="https://www.zotero.org/google-docs/?7TG9zQ" TargetMode="External"/><Relationship Id="rId68" Type="http://schemas.openxmlformats.org/officeDocument/2006/relationships/hyperlink" Target="https://www.zotero.org/google-docs/?iE7wh2" TargetMode="External"/><Relationship Id="rId170" Type="http://schemas.openxmlformats.org/officeDocument/2006/relationships/hyperlink" Target="https://www.zotero.org/google-docs/?UOGMrF" TargetMode="External"/><Relationship Id="rId67" Type="http://schemas.openxmlformats.org/officeDocument/2006/relationships/hyperlink" Target="https://www.zotero.org/google-docs/?iE7wh2" TargetMode="External"/><Relationship Id="rId60" Type="http://schemas.openxmlformats.org/officeDocument/2006/relationships/hyperlink" Target="https://www.zotero.org/google-docs/?TV45XC" TargetMode="External"/><Relationship Id="rId165" Type="http://schemas.openxmlformats.org/officeDocument/2006/relationships/hyperlink" Target="https://www.zotero.org/google-docs/?UQbXO1" TargetMode="External"/><Relationship Id="rId69" Type="http://schemas.openxmlformats.org/officeDocument/2006/relationships/hyperlink" Target="https://www.zotero.org/google-docs/?IjVSYR" TargetMode="External"/><Relationship Id="rId164" Type="http://schemas.openxmlformats.org/officeDocument/2006/relationships/hyperlink" Target="https://www.zotero.org/google-docs/?Dx7U8x" TargetMode="External"/><Relationship Id="rId163" Type="http://schemas.openxmlformats.org/officeDocument/2006/relationships/hyperlink" Target="https://www.zotero.org/google-docs/?VRyXI9" TargetMode="External"/><Relationship Id="rId162" Type="http://schemas.openxmlformats.org/officeDocument/2006/relationships/hyperlink" Target="https://www.zotero.org/google-docs/?pQ8ete" TargetMode="External"/><Relationship Id="rId169" Type="http://schemas.openxmlformats.org/officeDocument/2006/relationships/hyperlink" Target="https://www.zotero.org/google-docs/?Efn8gu" TargetMode="External"/><Relationship Id="rId168" Type="http://schemas.openxmlformats.org/officeDocument/2006/relationships/hyperlink" Target="https://www.zotero.org/google-docs/?QosUuZ" TargetMode="External"/><Relationship Id="rId167" Type="http://schemas.openxmlformats.org/officeDocument/2006/relationships/hyperlink" Target="https://www.zotero.org/google-docs/?g4rsPO" TargetMode="External"/><Relationship Id="rId166" Type="http://schemas.openxmlformats.org/officeDocument/2006/relationships/hyperlink" Target="https://www.zotero.org/google-docs/?Hd7A5i" TargetMode="External"/><Relationship Id="rId51" Type="http://schemas.openxmlformats.org/officeDocument/2006/relationships/hyperlink" Target="https://www.zotero.org/google-docs/?AU5O44" TargetMode="External"/><Relationship Id="rId50" Type="http://schemas.openxmlformats.org/officeDocument/2006/relationships/hyperlink" Target="https://www.zotero.org/google-docs/?aXSL6s" TargetMode="External"/><Relationship Id="rId53" Type="http://schemas.openxmlformats.org/officeDocument/2006/relationships/hyperlink" Target="https://www.zotero.org/google-docs/?kdGwX7" TargetMode="External"/><Relationship Id="rId52" Type="http://schemas.openxmlformats.org/officeDocument/2006/relationships/hyperlink" Target="https://www.zotero.org/google-docs/?AHGVw8" TargetMode="External"/><Relationship Id="rId55" Type="http://schemas.openxmlformats.org/officeDocument/2006/relationships/hyperlink" Target="https://www.zotero.org/google-docs/?CdGPle" TargetMode="External"/><Relationship Id="rId161" Type="http://schemas.openxmlformats.org/officeDocument/2006/relationships/hyperlink" Target="https://www.zotero.org/google-docs/?3ItOId" TargetMode="External"/><Relationship Id="rId54" Type="http://schemas.openxmlformats.org/officeDocument/2006/relationships/hyperlink" Target="https://www.zotero.org/google-docs/?l64MF9" TargetMode="External"/><Relationship Id="rId160" Type="http://schemas.openxmlformats.org/officeDocument/2006/relationships/hyperlink" Target="https://www.zotero.org/google-docs/?NKeJWc" TargetMode="External"/><Relationship Id="rId57" Type="http://schemas.openxmlformats.org/officeDocument/2006/relationships/hyperlink" Target="https://www.zotero.org/google-docs/?jifGFI" TargetMode="External"/><Relationship Id="rId56" Type="http://schemas.openxmlformats.org/officeDocument/2006/relationships/hyperlink" Target="https://www.zotero.org/google-docs/?goGCB5" TargetMode="External"/><Relationship Id="rId159" Type="http://schemas.openxmlformats.org/officeDocument/2006/relationships/hyperlink" Target="https://www.zotero.org/google-docs/?hD6Aqa" TargetMode="External"/><Relationship Id="rId59" Type="http://schemas.openxmlformats.org/officeDocument/2006/relationships/hyperlink" Target="https://www.zotero.org/google-docs/?M0nGdv" TargetMode="External"/><Relationship Id="rId154" Type="http://schemas.openxmlformats.org/officeDocument/2006/relationships/hyperlink" Target="https://www.zotero.org/google-docs/?8tCeXm" TargetMode="External"/><Relationship Id="rId58" Type="http://schemas.openxmlformats.org/officeDocument/2006/relationships/hyperlink" Target="https://www.zotero.org/google-docs/?mcJpA6" TargetMode="External"/><Relationship Id="rId153" Type="http://schemas.openxmlformats.org/officeDocument/2006/relationships/hyperlink" Target="https://www.zotero.org/google-docs/?h6IPTX" TargetMode="External"/><Relationship Id="rId152" Type="http://schemas.openxmlformats.org/officeDocument/2006/relationships/hyperlink" Target="https://www.zotero.org/google-docs/?gypx9o" TargetMode="External"/><Relationship Id="rId151" Type="http://schemas.openxmlformats.org/officeDocument/2006/relationships/hyperlink" Target="https://www.zotero.org/google-docs/?u62AOc" TargetMode="External"/><Relationship Id="rId158" Type="http://schemas.openxmlformats.org/officeDocument/2006/relationships/hyperlink" Target="https://www.zotero.org/google-docs/?VjAxkf" TargetMode="External"/><Relationship Id="rId157" Type="http://schemas.openxmlformats.org/officeDocument/2006/relationships/hyperlink" Target="https://www.zotero.org/google-docs/?zmiS6A" TargetMode="External"/><Relationship Id="rId156" Type="http://schemas.openxmlformats.org/officeDocument/2006/relationships/hyperlink" Target="https://www.zotero.org/google-docs/?cyxUuH" TargetMode="External"/><Relationship Id="rId155" Type="http://schemas.openxmlformats.org/officeDocument/2006/relationships/hyperlink" Target="https://www.zotero.org/google-docs/?pcGMy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MTwFmM" TargetMode="External"/><Relationship Id="rId2" Type="http://schemas.openxmlformats.org/officeDocument/2006/relationships/hyperlink" Target="https://www.zotero.org/google-docs/?L9vJ4c" TargetMode="External"/><Relationship Id="rId3" Type="http://schemas.openxmlformats.org/officeDocument/2006/relationships/hyperlink" Target="https://www.zotero.org/google-docs/?BfUnet" TargetMode="External"/><Relationship Id="rId4" Type="http://schemas.openxmlformats.org/officeDocument/2006/relationships/hyperlink" Target="https://www.zotero.org/google-docs/?FvfDr5" TargetMode="External"/><Relationship Id="rId5" Type="http://schemas.openxmlformats.org/officeDocument/2006/relationships/hyperlink" Target="https://www.zotero.org/google-docs/?eJL7Z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