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761CC" w14:textId="6B8170DF" w:rsidR="00E35322" w:rsidRPr="00E35322" w:rsidRDefault="00E35322" w:rsidP="001942D1">
      <w:pPr>
        <w:jc w:val="left"/>
        <w:rPr>
          <w:rStyle w:val="fontstyle01"/>
          <w:rFonts w:ascii="微软雅黑" w:eastAsia="微软雅黑" w:hAnsi="微软雅黑" w:hint="eastAsia"/>
          <w:b w:val="0"/>
          <w:bCs w:val="0"/>
          <w:sz w:val="22"/>
          <w:szCs w:val="22"/>
        </w:rPr>
      </w:pPr>
      <w:r w:rsidRPr="00345563">
        <w:rPr>
          <w:rStyle w:val="fontstyle01"/>
          <w:rFonts w:ascii="微软雅黑" w:eastAsia="微软雅黑" w:hAnsi="微软雅黑"/>
          <w:b w:val="0"/>
          <w:bCs w:val="0"/>
          <w:sz w:val="22"/>
          <w:szCs w:val="22"/>
          <w:highlight w:val="yellow"/>
        </w:rPr>
        <w:t>Name</w:t>
      </w:r>
      <w:r w:rsidRPr="00345563">
        <w:rPr>
          <w:rStyle w:val="fontstyle01"/>
          <w:rFonts w:ascii="微软雅黑" w:eastAsia="微软雅黑" w:hAnsi="微软雅黑" w:hint="eastAsia"/>
          <w:b w:val="0"/>
          <w:bCs w:val="0"/>
          <w:sz w:val="22"/>
          <w:szCs w:val="22"/>
          <w:highlight w:val="yellow"/>
        </w:rPr>
        <w:t>：</w:t>
      </w:r>
      <w:r>
        <w:rPr>
          <w:rStyle w:val="fontstyle01"/>
          <w:rFonts w:ascii="微软雅黑" w:eastAsia="微软雅黑" w:hAnsi="微软雅黑" w:hint="eastAsia"/>
          <w:b w:val="0"/>
          <w:bCs w:val="0"/>
          <w:sz w:val="22"/>
          <w:szCs w:val="22"/>
          <w:highlight w:val="yellow"/>
        </w:rPr>
        <w:t>Liu</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C</w:t>
      </w:r>
      <w:r w:rsidRPr="00345563">
        <w:rPr>
          <w:rStyle w:val="fontstyle01"/>
          <w:rFonts w:ascii="微软雅黑" w:eastAsia="微软雅黑" w:hAnsi="微软雅黑"/>
          <w:b w:val="0"/>
          <w:bCs w:val="0"/>
          <w:sz w:val="22"/>
          <w:szCs w:val="22"/>
          <w:highlight w:val="yellow"/>
        </w:rPr>
        <w:t>ompany</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Alibaba</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D</w:t>
      </w:r>
      <w:r w:rsidRPr="00345563">
        <w:rPr>
          <w:rStyle w:val="fontstyle01"/>
          <w:rFonts w:ascii="微软雅黑" w:eastAsia="微软雅黑" w:hAnsi="微软雅黑"/>
          <w:b w:val="0"/>
          <w:bCs w:val="0"/>
          <w:sz w:val="22"/>
          <w:szCs w:val="22"/>
          <w:highlight w:val="yellow"/>
        </w:rPr>
        <w:t>epartment</w:t>
      </w:r>
      <w:r w:rsidRPr="00345563">
        <w:rPr>
          <w:rStyle w:val="fontstyle01"/>
          <w:rFonts w:ascii="微软雅黑" w:eastAsia="微软雅黑" w:hAnsi="微软雅黑" w:hint="eastAsia"/>
          <w:b w:val="0"/>
          <w:bCs w:val="0"/>
          <w:sz w:val="22"/>
          <w:szCs w:val="22"/>
          <w:highlight w:val="yellow"/>
        </w:rPr>
        <w:t>:</w:t>
      </w:r>
      <w:r w:rsidRPr="00345563">
        <w:rPr>
          <w:sz w:val="18"/>
          <w:szCs w:val="20"/>
          <w:highlight w:val="yellow"/>
        </w:rPr>
        <w:t xml:space="preserve"> </w:t>
      </w:r>
      <w:r>
        <w:rPr>
          <w:rFonts w:hint="eastAsia"/>
          <w:sz w:val="18"/>
          <w:szCs w:val="20"/>
          <w:highlight w:val="yellow"/>
        </w:rPr>
        <w:t xml:space="preserve"> </w:t>
      </w:r>
      <w:r>
        <w:rPr>
          <w:rStyle w:val="fontstyle01"/>
          <w:rFonts w:ascii="微软雅黑" w:eastAsia="微软雅黑" w:hAnsi="微软雅黑" w:hint="eastAsia"/>
          <w:b w:val="0"/>
          <w:bCs w:val="0"/>
          <w:sz w:val="22"/>
          <w:szCs w:val="22"/>
          <w:highlight w:val="yellow"/>
        </w:rPr>
        <w:t>Cloud</w:t>
      </w:r>
      <w:r w:rsidRPr="00345563">
        <w:rPr>
          <w:rStyle w:val="fontstyle01"/>
          <w:rFonts w:ascii="微软雅黑" w:eastAsia="微软雅黑" w:hAnsi="微软雅黑"/>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OP</w:t>
      </w:r>
    </w:p>
    <w:p w14:paraId="0D2E4C59" w14:textId="3695EBE4"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4FD9B556"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In an e-commerce platform environment, the RCA process starts with incident recovery as the immediate priority. Common recovery actions include rolling back to a previous version or restarting machines. If standard recovery methods fail, root cause identification is necessary to enable full recovery.</w:t>
      </w:r>
    </w:p>
    <w:p w14:paraId="3EC26963"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After stabilizing the incident, a data collection phase follows, where logs, metrics, and traces related to the affected services are gathered. This helps to create a comprehensive view of the incident and identify patterns or anomalies across components.</w:t>
      </w:r>
    </w:p>
    <w:p w14:paraId="322D593D"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The next step is boundary analysis, where we determine if the issue originates within our own service or from an external (third-party) service. This process involves drilling down from the main service to sub-services until the problematic component is located.</w:t>
      </w:r>
    </w:p>
    <w:p w14:paraId="7A285A09"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Following this, root cause analysis is conducted to uncover the underlying issue, such as a hidden bug triggered by a specific, unusual call.</w:t>
      </w:r>
    </w:p>
    <w:p w14:paraId="6AFB7E37" w14:textId="68F7065C" w:rsidR="001942D1"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 xml:space="preserve">Finally, we conduct an incident review, compiling a detailed report to prevent recurrence by learning from the event and implementing </w:t>
      </w:r>
      <w:r w:rsidRPr="00E35322">
        <w:rPr>
          <w:rFonts w:ascii="微软雅黑" w:eastAsia="微软雅黑" w:hAnsi="微软雅黑"/>
          <w:sz w:val="24"/>
          <w:szCs w:val="24"/>
        </w:rPr>
        <w:lastRenderedPageBreak/>
        <w:t>preventative measures.</w:t>
      </w: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1028"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766DD0F" w14:textId="7AFBEAD2" w:rsidR="003E4001" w:rsidRDefault="00E35322" w:rsidP="001942D1">
      <w:pPr>
        <w:jc w:val="left"/>
        <w:rPr>
          <w:rFonts w:ascii="微软雅黑" w:eastAsia="微软雅黑" w:hAnsi="微软雅黑"/>
          <w:sz w:val="24"/>
          <w:szCs w:val="24"/>
        </w:rPr>
      </w:pPr>
      <w:r w:rsidRPr="00E35322">
        <w:rPr>
          <w:rFonts w:ascii="微软雅黑" w:eastAsia="微软雅黑" w:hAnsi="微软雅黑"/>
          <w:sz w:val="24"/>
          <w:szCs w:val="24"/>
        </w:rPr>
        <w:t>Service Architect</w:t>
      </w:r>
    </w:p>
    <w:p w14:paraId="371F7473" w14:textId="28285E7A" w:rsidR="00E35322" w:rsidRDefault="00E35322" w:rsidP="001942D1">
      <w:pPr>
        <w:jc w:val="left"/>
        <w:rPr>
          <w:rFonts w:ascii="微软雅黑" w:eastAsia="微软雅黑" w:hAnsi="微软雅黑"/>
          <w:sz w:val="24"/>
          <w:szCs w:val="24"/>
        </w:rPr>
      </w:pPr>
      <w:r w:rsidRPr="00E35322">
        <w:rPr>
          <w:rFonts w:ascii="微软雅黑" w:eastAsia="微软雅黑" w:hAnsi="微软雅黑"/>
          <w:sz w:val="24"/>
          <w:szCs w:val="24"/>
        </w:rPr>
        <w:t>Service Leader</w:t>
      </w:r>
    </w:p>
    <w:p w14:paraId="0980B5D9" w14:textId="035A2320" w:rsidR="00E35322" w:rsidRDefault="00E35322" w:rsidP="001942D1">
      <w:pPr>
        <w:jc w:val="left"/>
        <w:rPr>
          <w:rFonts w:ascii="微软雅黑" w:eastAsia="微软雅黑" w:hAnsi="微软雅黑"/>
          <w:sz w:val="24"/>
          <w:szCs w:val="24"/>
        </w:rPr>
      </w:pPr>
      <w:r w:rsidRPr="00E35322">
        <w:rPr>
          <w:rFonts w:ascii="微软雅黑" w:eastAsia="微软雅黑" w:hAnsi="微软雅黑"/>
          <w:sz w:val="24"/>
          <w:szCs w:val="24"/>
        </w:rPr>
        <w:t>Module Developer</w:t>
      </w:r>
    </w:p>
    <w:p w14:paraId="54668F2B" w14:textId="6B0DA30C" w:rsidR="00E35322" w:rsidRPr="001942D1" w:rsidRDefault="00E35322" w:rsidP="001942D1">
      <w:pPr>
        <w:jc w:val="left"/>
        <w:rPr>
          <w:rFonts w:ascii="微软雅黑" w:eastAsia="微软雅黑" w:hAnsi="微软雅黑"/>
          <w:sz w:val="24"/>
          <w:szCs w:val="24"/>
        </w:rPr>
      </w:pPr>
      <w:r w:rsidRPr="00E35322">
        <w:rPr>
          <w:rFonts w:ascii="微软雅黑" w:eastAsia="微软雅黑" w:hAnsi="微软雅黑"/>
          <w:sz w:val="24"/>
          <w:szCs w:val="24"/>
        </w:rPr>
        <w:t>Other Stakeholders</w:t>
      </w:r>
    </w:p>
    <w:p w14:paraId="303B630A" w14:textId="77777777" w:rsidR="003E4001" w:rsidRDefault="003E4001" w:rsidP="001942D1">
      <w:pPr>
        <w:jc w:val="left"/>
      </w:pP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61CC52F2"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Service Architect: Analyzes system design and dependencies to identify structural issues, providing insight into complex or multi-service problems.</w:t>
      </w:r>
    </w:p>
    <w:p w14:paraId="7696EB0C"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Service Leader: Oversees response and ensures that resources and teams are aligned, particularly when the incident escalates.</w:t>
      </w:r>
    </w:p>
    <w:p w14:paraId="16C42319" w14:textId="77777777" w:rsidR="00E35322" w:rsidRPr="00E35322" w:rsidRDefault="00E35322" w:rsidP="00E35322">
      <w:pPr>
        <w:jc w:val="left"/>
        <w:rPr>
          <w:rFonts w:ascii="微软雅黑" w:eastAsia="微软雅黑" w:hAnsi="微软雅黑"/>
          <w:sz w:val="24"/>
          <w:szCs w:val="24"/>
        </w:rPr>
      </w:pPr>
      <w:r w:rsidRPr="00E35322">
        <w:rPr>
          <w:rFonts w:ascii="微软雅黑" w:eastAsia="微软雅黑" w:hAnsi="微软雅黑"/>
          <w:sz w:val="24"/>
          <w:szCs w:val="24"/>
        </w:rPr>
        <w:t>Module Developer: Investigates and resolves specific code or module issues, working directly on pinpointed bugs or anomalies within their domain.</w:t>
      </w:r>
    </w:p>
    <w:p w14:paraId="05E69CAD" w14:textId="7D8333BF" w:rsidR="003E4001" w:rsidRDefault="00E35322" w:rsidP="00E35322">
      <w:pPr>
        <w:jc w:val="left"/>
      </w:pPr>
      <w:r w:rsidRPr="00E35322">
        <w:rPr>
          <w:rFonts w:ascii="微软雅黑" w:eastAsia="微软雅黑" w:hAnsi="微软雅黑"/>
          <w:sz w:val="24"/>
          <w:szCs w:val="24"/>
        </w:rPr>
        <w:t xml:space="preserve">Other Stakeholders: May provide guidance on business impact and </w:t>
      </w:r>
      <w:r w:rsidRPr="00E35322">
        <w:rPr>
          <w:rFonts w:ascii="微软雅黑" w:eastAsia="微软雅黑" w:hAnsi="微软雅黑"/>
          <w:sz w:val="24"/>
          <w:szCs w:val="24"/>
        </w:rPr>
        <w:lastRenderedPageBreak/>
        <w:t>strategic decisions, especially in high-profile or user-impacting incidents.</w:t>
      </w:r>
    </w:p>
    <w:p w14:paraId="3EFFB1EB" w14:textId="77777777" w:rsidR="001942D1" w:rsidRDefault="001942D1" w:rsidP="001942D1">
      <w:pPr>
        <w:jc w:val="left"/>
        <w:rPr>
          <w:rFonts w:ascii="微软雅黑" w:eastAsia="微软雅黑" w:hAnsi="微软雅黑" w:hint="eastAsia"/>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1030"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13B1A919" w14:textId="77777777" w:rsidR="00E35322" w:rsidRPr="00E35322" w:rsidRDefault="00E35322" w:rsidP="00E35322">
      <w:pPr>
        <w:ind w:firstLine="420"/>
        <w:jc w:val="left"/>
        <w:rPr>
          <w:rFonts w:ascii="微软雅黑" w:eastAsia="微软雅黑" w:hAnsi="微软雅黑"/>
          <w:sz w:val="24"/>
          <w:szCs w:val="24"/>
        </w:rPr>
      </w:pPr>
      <w:r w:rsidRPr="00E35322">
        <w:rPr>
          <w:rFonts w:ascii="微软雅黑" w:eastAsia="微软雅黑" w:hAnsi="微软雅黑"/>
          <w:sz w:val="24"/>
          <w:szCs w:val="24"/>
        </w:rPr>
        <w:t xml:space="preserve">In our company, we leverage AIOps to assist with root cause analysis, where human feedback is crucial for refining AI-driven insights. Although AIOps helps quickly pinpoint potential causes based on historical patterns and metrics, it may overlook recent changes or context-specific factors. Involving </w:t>
      </w:r>
      <w:proofErr w:type="spellStart"/>
      <w:r w:rsidRPr="00E35322">
        <w:rPr>
          <w:rFonts w:ascii="微软雅黑" w:eastAsia="微软雅黑" w:hAnsi="微软雅黑"/>
          <w:sz w:val="24"/>
          <w:szCs w:val="24"/>
        </w:rPr>
        <w:t>Oncall</w:t>
      </w:r>
      <w:proofErr w:type="spellEnd"/>
      <w:r w:rsidRPr="00E35322">
        <w:rPr>
          <w:rFonts w:ascii="微软雅黑" w:eastAsia="微软雅黑" w:hAnsi="微软雅黑"/>
          <w:sz w:val="24"/>
          <w:szCs w:val="24"/>
        </w:rPr>
        <w:t xml:space="preserve"> staff and engineers in the review process allows them to validate and adjust AI-suggested root causes, adding essential real-time knowledge that AIOps might not detect, such as recent deployments or unusual user behaviors.</w:t>
      </w:r>
    </w:p>
    <w:p w14:paraId="21B0D011" w14:textId="77777777" w:rsidR="00E35322" w:rsidRPr="00E35322" w:rsidRDefault="00E35322" w:rsidP="00E35322">
      <w:pPr>
        <w:ind w:firstLine="420"/>
        <w:jc w:val="left"/>
        <w:rPr>
          <w:rFonts w:ascii="微软雅黑" w:eastAsia="微软雅黑" w:hAnsi="微软雅黑"/>
          <w:sz w:val="24"/>
          <w:szCs w:val="24"/>
        </w:rPr>
      </w:pPr>
    </w:p>
    <w:p w14:paraId="7EB0CF73" w14:textId="172AE78E" w:rsidR="00B67256" w:rsidRPr="00A375AE" w:rsidRDefault="00E35322" w:rsidP="00E35322">
      <w:pPr>
        <w:ind w:firstLine="420"/>
        <w:jc w:val="left"/>
        <w:rPr>
          <w:rFonts w:ascii="微软雅黑" w:eastAsia="微软雅黑" w:hAnsi="微软雅黑"/>
          <w:sz w:val="24"/>
          <w:szCs w:val="24"/>
        </w:rPr>
      </w:pPr>
      <w:r w:rsidRPr="00E35322">
        <w:rPr>
          <w:rFonts w:ascii="微软雅黑" w:eastAsia="微软雅黑" w:hAnsi="微软雅黑"/>
          <w:sz w:val="24"/>
          <w:szCs w:val="24"/>
        </w:rPr>
        <w:t xml:space="preserve">This collaborative approach creates a feedback loop where human insights are continuously fed back into the AIOps system, allowing the model to adapt and become more accurate over time. As a result, AIOps becomes better equipped to recognize recurring patterns and avoid misdiagnoses, improving both speed and reliability in future incident responses. This synergy between AIOps and human expertise ensures that our RCA process not only becomes more efficient but also learns </w:t>
      </w:r>
      <w:r w:rsidRPr="00E35322">
        <w:rPr>
          <w:rFonts w:ascii="微软雅黑" w:eastAsia="微软雅黑" w:hAnsi="微软雅黑"/>
          <w:sz w:val="24"/>
          <w:szCs w:val="24"/>
        </w:rPr>
        <w:lastRenderedPageBreak/>
        <w:t>from every incident, reducing the likelihood of similar issues reoccurring.</w:t>
      </w:r>
    </w:p>
    <w:sectPr w:rsidR="00B67256" w:rsidRPr="00A375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3E4001"/>
    <w:rsid w:val="00A375AE"/>
    <w:rsid w:val="00B67256"/>
    <w:rsid w:val="00E35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8"/>
        <o:r id="V:Rule2" type="connector" idref="#_x0000_s1030"/>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852760925">
      <w:bodyDiv w:val="1"/>
      <w:marLeft w:val="0"/>
      <w:marRight w:val="0"/>
      <w:marTop w:val="0"/>
      <w:marBottom w:val="0"/>
      <w:divBdr>
        <w:top w:val="none" w:sz="0" w:space="0" w:color="auto"/>
        <w:left w:val="none" w:sz="0" w:space="0" w:color="auto"/>
        <w:bottom w:val="none" w:sz="0" w:space="0" w:color="auto"/>
        <w:right w:val="none" w:sz="0" w:space="0" w:color="auto"/>
      </w:divBdr>
    </w:div>
    <w:div w:id="934165637">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1436753961">
      <w:bodyDiv w:val="1"/>
      <w:marLeft w:val="0"/>
      <w:marRight w:val="0"/>
      <w:marTop w:val="0"/>
      <w:marBottom w:val="0"/>
      <w:divBdr>
        <w:top w:val="none" w:sz="0" w:space="0" w:color="auto"/>
        <w:left w:val="none" w:sz="0" w:space="0" w:color="auto"/>
        <w:bottom w:val="none" w:sz="0" w:space="0" w:color="auto"/>
        <w:right w:val="none" w:sz="0" w:space="0" w:color="auto"/>
      </w:divBdr>
    </w:div>
    <w:div w:id="196615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4</cp:revision>
  <dcterms:created xsi:type="dcterms:W3CDTF">2024-11-01T06:11:00Z</dcterms:created>
  <dcterms:modified xsi:type="dcterms:W3CDTF">2024-11-01T07:59:00Z</dcterms:modified>
</cp:coreProperties>
</file>