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B5" w:rsidRDefault="001524B5"/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1524B5" w:rsidRPr="00A65BB4" w:rsidTr="00CF12B3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1524B5" w:rsidRPr="006C270D" w:rsidRDefault="001524B5" w:rsidP="006641F6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6C270D">
              <w:rPr>
                <w:b/>
              </w:rPr>
              <w:t>OBJETIVO</w:t>
            </w:r>
          </w:p>
          <w:p w:rsidR="001524B5" w:rsidRPr="006C270D" w:rsidRDefault="001524B5" w:rsidP="006641F6">
            <w:pPr>
              <w:ind w:left="205"/>
              <w:jc w:val="both"/>
            </w:pPr>
          </w:p>
          <w:p w:rsidR="001524B5" w:rsidRPr="006732D6" w:rsidRDefault="001524B5" w:rsidP="006641F6">
            <w:pPr>
              <w:jc w:val="both"/>
              <w:rPr>
                <w:color w:val="FF0000"/>
              </w:rPr>
            </w:pPr>
            <w:r w:rsidRPr="006C270D">
              <w:t>El objetivo de este procedimiento es establecer los modos, parámetros, condiciones y acciones a aplicar dentro de la empresa para</w:t>
            </w:r>
            <w:r w:rsidR="00C84D05">
              <w:t xml:space="preserve"> </w:t>
            </w:r>
            <w:r w:rsidRPr="00EC69E4">
              <w:t xml:space="preserve">aquellos </w:t>
            </w:r>
            <w:r w:rsidR="007328C1" w:rsidRPr="00EC69E4">
              <w:t>conductores</w:t>
            </w:r>
            <w:r w:rsidRPr="00EC69E4">
              <w:t xml:space="preserve"> que cometan violaciones a las buenas prácti</w:t>
            </w:r>
            <w:r w:rsidR="00C84D05" w:rsidRPr="00EC69E4">
              <w:t>cas del transporte de pasajeros</w:t>
            </w:r>
            <w:r w:rsidR="00EC69E4">
              <w:t xml:space="preserve"> e incumplimiento de tareas y procedimientos para todo el personal de la Empresa.</w:t>
            </w:r>
            <w:r w:rsidR="00C84D05" w:rsidRPr="00EC69E4">
              <w:t xml:space="preserve"> </w:t>
            </w:r>
          </w:p>
          <w:p w:rsidR="001524B5" w:rsidRPr="006732D6" w:rsidRDefault="001524B5" w:rsidP="006641F6">
            <w:pPr>
              <w:jc w:val="both"/>
              <w:rPr>
                <w:color w:val="FF0000"/>
              </w:rPr>
            </w:pPr>
          </w:p>
          <w:p w:rsidR="001524B5" w:rsidRPr="006C270D" w:rsidRDefault="001524B5" w:rsidP="006641F6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6C270D">
              <w:rPr>
                <w:b/>
              </w:rPr>
              <w:t>ALCANCE</w:t>
            </w:r>
          </w:p>
          <w:p w:rsidR="001524B5" w:rsidRPr="006C270D" w:rsidRDefault="007F7B25" w:rsidP="007F7B25">
            <w:pPr>
              <w:tabs>
                <w:tab w:val="left" w:pos="7075"/>
              </w:tabs>
              <w:ind w:left="205"/>
              <w:jc w:val="both"/>
              <w:rPr>
                <w:b/>
              </w:rPr>
            </w:pPr>
            <w:r>
              <w:rPr>
                <w:b/>
              </w:rPr>
              <w:tab/>
            </w:r>
          </w:p>
          <w:p w:rsidR="001524B5" w:rsidRPr="006C270D" w:rsidRDefault="001524B5" w:rsidP="003D00C8">
            <w:pPr>
              <w:ind w:firstLine="5"/>
              <w:jc w:val="both"/>
            </w:pPr>
            <w:r w:rsidRPr="006C270D">
              <w:t>Este pro</w:t>
            </w:r>
            <w:r w:rsidR="007328C1">
              <w:t xml:space="preserve">cedimiento es aplicable a </w:t>
            </w:r>
            <w:r w:rsidR="004D11CC">
              <w:t>todo el personal de la empresa</w:t>
            </w:r>
            <w:r w:rsidRPr="006C270D">
              <w:t>.</w:t>
            </w:r>
          </w:p>
          <w:p w:rsidR="001524B5" w:rsidRPr="006C270D" w:rsidRDefault="001524B5" w:rsidP="006641F6">
            <w:pPr>
              <w:ind w:left="205"/>
              <w:jc w:val="both"/>
              <w:rPr>
                <w:b/>
              </w:rPr>
            </w:pPr>
          </w:p>
          <w:p w:rsidR="001524B5" w:rsidRPr="006C270D" w:rsidRDefault="001524B5" w:rsidP="006641F6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6C270D">
              <w:rPr>
                <w:b/>
              </w:rPr>
              <w:t>REFERENCIAS</w:t>
            </w:r>
          </w:p>
          <w:p w:rsidR="001524B5" w:rsidRPr="006C270D" w:rsidRDefault="001524B5" w:rsidP="006641F6">
            <w:pPr>
              <w:ind w:left="205"/>
              <w:jc w:val="both"/>
              <w:rPr>
                <w:b/>
              </w:rPr>
            </w:pPr>
          </w:p>
          <w:p w:rsidR="001524B5" w:rsidRDefault="001524B5" w:rsidP="006641F6">
            <w:pPr>
              <w:jc w:val="both"/>
            </w:pPr>
            <w:r w:rsidRPr="006C270D">
              <w:t>Convenio UTA-CCT 460/73</w:t>
            </w:r>
          </w:p>
          <w:p w:rsidR="00C021F9" w:rsidRPr="00B5287D" w:rsidRDefault="00C021F9" w:rsidP="00C021F9">
            <w:pPr>
              <w:jc w:val="both"/>
            </w:pPr>
            <w:r>
              <w:t xml:space="preserve">INST.002 </w:t>
            </w:r>
            <w:r w:rsidRPr="00B5287D">
              <w:t>ANEXO I INSTRUCTIVO PARA CONDUCORES PROFESIONALES</w:t>
            </w:r>
          </w:p>
          <w:p w:rsidR="001524B5" w:rsidRPr="006732D6" w:rsidRDefault="001524B5" w:rsidP="006641F6">
            <w:pPr>
              <w:jc w:val="both"/>
              <w:rPr>
                <w:color w:val="FF0000"/>
              </w:rPr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4. DEFINICIONES</w:t>
            </w:r>
          </w:p>
          <w:p w:rsidR="001524B5" w:rsidRPr="006C270D" w:rsidRDefault="001524B5" w:rsidP="006641F6">
            <w:pPr>
              <w:jc w:val="both"/>
            </w:pPr>
          </w:p>
          <w:p w:rsidR="001524B5" w:rsidRPr="006C270D" w:rsidRDefault="001524B5" w:rsidP="006641F6">
            <w:pPr>
              <w:jc w:val="both"/>
            </w:pPr>
            <w:r w:rsidRPr="006C270D">
              <w:t>No aplica.</w:t>
            </w:r>
          </w:p>
          <w:p w:rsidR="001524B5" w:rsidRPr="006C270D" w:rsidRDefault="001524B5" w:rsidP="006641F6">
            <w:pPr>
              <w:jc w:val="both"/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5. ABREVIATURAS</w:t>
            </w:r>
          </w:p>
          <w:p w:rsidR="00EC69E4" w:rsidRDefault="00EC69E4" w:rsidP="00EC69E4">
            <w:pPr>
              <w:jc w:val="both"/>
            </w:pPr>
          </w:p>
          <w:p w:rsidR="00EC69E4" w:rsidRPr="006C270D" w:rsidRDefault="00EC69E4" w:rsidP="00EC69E4">
            <w:pPr>
              <w:jc w:val="both"/>
            </w:pPr>
            <w:r w:rsidRPr="006C270D">
              <w:t>No aplica.</w:t>
            </w:r>
          </w:p>
          <w:p w:rsidR="001524B5" w:rsidRPr="006C270D" w:rsidRDefault="001524B5" w:rsidP="006641F6">
            <w:pPr>
              <w:jc w:val="both"/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6. RESPONSABILIDADES</w:t>
            </w:r>
          </w:p>
          <w:p w:rsidR="001524B5" w:rsidRPr="006C270D" w:rsidRDefault="001524B5" w:rsidP="006641F6">
            <w:pPr>
              <w:jc w:val="both"/>
            </w:pPr>
          </w:p>
          <w:p w:rsidR="001524B5" w:rsidRDefault="001524B5" w:rsidP="006641F6">
            <w:pPr>
              <w:jc w:val="both"/>
            </w:pPr>
            <w:r w:rsidRPr="006C270D">
              <w:t>El responsable de la implementación de este procedimiento</w:t>
            </w:r>
            <w:r w:rsidR="00EC69E4">
              <w:t xml:space="preserve"> es el A</w:t>
            </w:r>
            <w:r w:rsidR="001014C2">
              <w:t xml:space="preserve">sistente </w:t>
            </w:r>
            <w:proofErr w:type="spellStart"/>
            <w:r w:rsidR="00EC69E4">
              <w:t>Adm</w:t>
            </w:r>
            <w:proofErr w:type="spellEnd"/>
            <w:r w:rsidR="00EC69E4">
              <w:t xml:space="preserve">. </w:t>
            </w:r>
            <w:proofErr w:type="gramStart"/>
            <w:r w:rsidR="001014C2">
              <w:t>de</w:t>
            </w:r>
            <w:proofErr w:type="gramEnd"/>
            <w:r w:rsidR="001014C2">
              <w:t xml:space="preserve"> Recursos Humanos</w:t>
            </w:r>
            <w:r w:rsidR="00EC69E4">
              <w:t xml:space="preserve"> (P-31)</w:t>
            </w:r>
            <w:r w:rsidR="001014C2">
              <w:t xml:space="preserve"> </w:t>
            </w:r>
            <w:r w:rsidRPr="006C270D">
              <w:t xml:space="preserve">quien debe recolectar los datos </w:t>
            </w:r>
            <w:r w:rsidR="00007F3A" w:rsidRPr="006C270D">
              <w:t>necesarios,</w:t>
            </w:r>
            <w:r w:rsidR="00007F3A">
              <w:t xml:space="preserve"> y</w:t>
            </w:r>
            <w:r w:rsidR="001014C2">
              <w:t xml:space="preserve"> el </w:t>
            </w:r>
            <w:r w:rsidR="00007F3A">
              <w:t>Responsable</w:t>
            </w:r>
            <w:r w:rsidR="001014C2">
              <w:t xml:space="preserve"> de Recursos Humanos</w:t>
            </w:r>
            <w:r w:rsidR="00EC69E4">
              <w:t xml:space="preserve"> (P-09)</w:t>
            </w:r>
            <w:r w:rsidR="001014C2">
              <w:t xml:space="preserve"> que determinara la sanción a aplicar </w:t>
            </w:r>
            <w:r w:rsidRPr="006C270D">
              <w:t xml:space="preserve">según su grado de </w:t>
            </w:r>
            <w:r w:rsidR="00007F3A" w:rsidRPr="006C270D">
              <w:t>gravedad,</w:t>
            </w:r>
            <w:r w:rsidR="00007F3A">
              <w:t xml:space="preserve"> y</w:t>
            </w:r>
            <w:r w:rsidR="001014C2">
              <w:t>/o</w:t>
            </w:r>
            <w:r w:rsidR="00007F3A">
              <w:t xml:space="preserve"> emitir de la acción correctiva.</w:t>
            </w:r>
          </w:p>
          <w:p w:rsidR="00007F3A" w:rsidRPr="006C270D" w:rsidRDefault="00007F3A" w:rsidP="006641F6">
            <w:pPr>
              <w:jc w:val="both"/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7. DESARROLLO</w:t>
            </w:r>
          </w:p>
          <w:p w:rsidR="001524B5" w:rsidRPr="006C270D" w:rsidRDefault="001524B5" w:rsidP="006641F6">
            <w:pPr>
              <w:jc w:val="both"/>
            </w:pPr>
          </w:p>
          <w:p w:rsidR="001524B5" w:rsidRPr="006C270D" w:rsidRDefault="001524B5" w:rsidP="006641F6">
            <w:pPr>
              <w:ind w:firstLine="385"/>
              <w:jc w:val="both"/>
              <w:rPr>
                <w:b/>
              </w:rPr>
            </w:pPr>
            <w:r w:rsidRPr="006C270D">
              <w:rPr>
                <w:b/>
              </w:rPr>
              <w:t>7.1. Procedimiento Operativo</w:t>
            </w:r>
          </w:p>
          <w:p w:rsidR="001524B5" w:rsidRPr="006C270D" w:rsidRDefault="001524B5" w:rsidP="006641F6">
            <w:pPr>
              <w:ind w:firstLine="385"/>
              <w:jc w:val="both"/>
              <w:rPr>
                <w:b/>
              </w:rPr>
            </w:pPr>
          </w:p>
          <w:p w:rsidR="001524B5" w:rsidRPr="006C270D" w:rsidRDefault="007328C1" w:rsidP="00A65BB4">
            <w:pPr>
              <w:jc w:val="both"/>
            </w:pPr>
            <w:r>
              <w:t xml:space="preserve">Ante el incumplimiento de las </w:t>
            </w:r>
            <w:r w:rsidRPr="007328C1">
              <w:t xml:space="preserve">normas y criterios de conducta </w:t>
            </w:r>
            <w:r w:rsidRPr="00EC69E4">
              <w:t xml:space="preserve">para los conductores, </w:t>
            </w:r>
            <w:r>
              <w:t xml:space="preserve">detallados en el </w:t>
            </w:r>
            <w:r w:rsidR="00B5287D">
              <w:t xml:space="preserve">INST.002 </w:t>
            </w:r>
            <w:r w:rsidR="00B5287D" w:rsidRPr="00B5287D">
              <w:t>ANEXO I INSTRUCTIVO PARA CONDUC</w:t>
            </w:r>
            <w:r w:rsidR="00850DF3">
              <w:t>T</w:t>
            </w:r>
            <w:r w:rsidR="00B5287D" w:rsidRPr="00B5287D">
              <w:t>ORES PROFESIONALES</w:t>
            </w:r>
            <w:r w:rsidR="00B5287D">
              <w:t xml:space="preserve">, </w:t>
            </w:r>
            <w:r>
              <w:t>se analizará la posibilidad de aplicar una sanción.</w:t>
            </w:r>
            <w:r w:rsidRPr="007328C1">
              <w:t xml:space="preserve"> </w:t>
            </w:r>
            <w:r w:rsidR="001524B5" w:rsidRPr="006C270D">
              <w:t>El inicio de</w:t>
            </w:r>
            <w:r w:rsidR="00D5589C">
              <w:t xml:space="preserve"> este análisis s</w:t>
            </w:r>
            <w:r w:rsidR="001524B5" w:rsidRPr="006C270D">
              <w:t>e realizará mediante el FORM</w:t>
            </w:r>
            <w:r w:rsidR="001524B5" w:rsidRPr="00D5589C">
              <w:t>.</w:t>
            </w:r>
            <w:r w:rsidR="00B5287D">
              <w:t>172 SOLICITUD DE EXPLICACIÓ</w:t>
            </w:r>
            <w:r w:rsidR="00E92DD6">
              <w:t>N</w:t>
            </w:r>
            <w:r w:rsidR="00D5589C">
              <w:t xml:space="preserve">, </w:t>
            </w:r>
            <w:r w:rsidR="001524B5" w:rsidRPr="00D5589C">
              <w:t xml:space="preserve">donde se describe el tipo de incumplimiento, se explican las causas y se deja asentado la resolución del problema. </w:t>
            </w:r>
            <w:r w:rsidRPr="00D5589C">
              <w:t>Esta</w:t>
            </w:r>
            <w:r>
              <w:t xml:space="preserve"> información es luego cargada en el </w:t>
            </w:r>
            <w:r w:rsidR="00B5287D" w:rsidRPr="00B5287D">
              <w:t>PEDIDOS DE EXPLICACIÓN GENERADOS</w:t>
            </w:r>
            <w:r w:rsidR="007F7B25">
              <w:t>.</w:t>
            </w:r>
          </w:p>
          <w:p w:rsidR="001524B5" w:rsidRPr="006C270D" w:rsidRDefault="001524B5" w:rsidP="00B1674F">
            <w:pPr>
              <w:tabs>
                <w:tab w:val="left" w:pos="5715"/>
              </w:tabs>
              <w:jc w:val="both"/>
            </w:pPr>
            <w:r>
              <w:tab/>
            </w:r>
          </w:p>
          <w:p w:rsidR="001524B5" w:rsidRPr="00EC69E4" w:rsidRDefault="001524B5" w:rsidP="00A65BB4">
            <w:pPr>
              <w:jc w:val="both"/>
            </w:pPr>
            <w:r w:rsidRPr="00EC69E4">
              <w:t>Para el caso de siniestros, sin excepc</w:t>
            </w:r>
            <w:r w:rsidR="003E12D9" w:rsidRPr="00EC69E4">
              <w:t>ión, deben ser evaluados por Se</w:t>
            </w:r>
            <w:r w:rsidRPr="00EC69E4">
              <w:t>guridad Vial</w:t>
            </w:r>
            <w:r w:rsidR="003E12D9" w:rsidRPr="00EC69E4">
              <w:t xml:space="preserve"> y Capacitaciones</w:t>
            </w:r>
            <w:r w:rsidR="00EC69E4">
              <w:t xml:space="preserve"> </w:t>
            </w:r>
            <w:r w:rsidR="00EC69E4" w:rsidRPr="00EC69E4">
              <w:t>(P-</w:t>
            </w:r>
            <w:r w:rsidR="00EC69E4" w:rsidRPr="00EC69E4">
              <w:lastRenderedPageBreak/>
              <w:t>33),</w:t>
            </w:r>
            <w:r w:rsidRPr="00EC69E4">
              <w:t xml:space="preserve"> dejando claramente expresada su apreciación de res</w:t>
            </w:r>
            <w:r w:rsidR="003E12D9" w:rsidRPr="00EC69E4">
              <w:t xml:space="preserve">ponsabilidad o no </w:t>
            </w:r>
            <w:r w:rsidR="007F7B25" w:rsidRPr="00EC69E4">
              <w:t xml:space="preserve">del conductor utilizando el </w:t>
            </w:r>
            <w:r w:rsidR="00B5287D" w:rsidRPr="00EC69E4">
              <w:t>FORM.172 SOLICITUD DE EXPLICACIÓN</w:t>
            </w:r>
            <w:r w:rsidR="003E12D9" w:rsidRPr="00EC69E4">
              <w:t>.</w:t>
            </w:r>
          </w:p>
          <w:p w:rsidR="00EC69E4" w:rsidRDefault="00EC69E4" w:rsidP="00A65BB4">
            <w:pPr>
              <w:jc w:val="both"/>
              <w:rPr>
                <w:color w:val="FF0000"/>
              </w:rPr>
            </w:pPr>
            <w:bookmarkStart w:id="0" w:name="_GoBack"/>
            <w:bookmarkEnd w:id="0"/>
          </w:p>
          <w:p w:rsidR="003E12D9" w:rsidRPr="00EC69E4" w:rsidRDefault="00641CC5" w:rsidP="00A65BB4">
            <w:pPr>
              <w:jc w:val="both"/>
            </w:pPr>
            <w:r w:rsidRPr="00EC69E4">
              <w:t xml:space="preserve">En caso de incumplimiento de las normas y conductas por el personal de otros sectores se </w:t>
            </w:r>
            <w:r w:rsidR="007C71EA" w:rsidRPr="00EC69E4">
              <w:t>utilizará</w:t>
            </w:r>
            <w:r w:rsidRPr="00EC69E4">
              <w:t xml:space="preserve"> la misma metodología aplicada hacia</w:t>
            </w:r>
            <w:r w:rsidR="007C71EA" w:rsidRPr="00EC69E4">
              <w:t xml:space="preserve"> los </w:t>
            </w:r>
            <w:r w:rsidRPr="00EC69E4">
              <w:t xml:space="preserve">conductores </w:t>
            </w:r>
            <w:r w:rsidR="007C71EA" w:rsidRPr="00EC69E4">
              <w:t>adecuando la misma según la gravedad del caso.</w:t>
            </w:r>
          </w:p>
          <w:p w:rsidR="001524B5" w:rsidRPr="0024108B" w:rsidRDefault="001524B5" w:rsidP="00A65BB4">
            <w:pPr>
              <w:jc w:val="both"/>
              <w:rPr>
                <w:color w:val="0000FF"/>
              </w:rPr>
            </w:pPr>
          </w:p>
          <w:p w:rsidR="001524B5" w:rsidRPr="00787E43" w:rsidRDefault="001524B5" w:rsidP="007C539B">
            <w:pPr>
              <w:ind w:firstLine="385"/>
              <w:jc w:val="both"/>
              <w:rPr>
                <w:sz w:val="10"/>
                <w:szCs w:val="10"/>
              </w:rPr>
            </w:pPr>
          </w:p>
          <w:p w:rsidR="001524B5" w:rsidRDefault="001524B5" w:rsidP="00787E43">
            <w:pPr>
              <w:ind w:firstLine="365"/>
              <w:jc w:val="both"/>
              <w:rPr>
                <w:b/>
              </w:rPr>
            </w:pPr>
            <w:r w:rsidRPr="006C270D">
              <w:rPr>
                <w:b/>
              </w:rPr>
              <w:t xml:space="preserve">7.2. Graduación de la </w:t>
            </w:r>
            <w:r w:rsidR="007328C1">
              <w:rPr>
                <w:b/>
              </w:rPr>
              <w:t>medida disciplinaria</w:t>
            </w:r>
          </w:p>
          <w:p w:rsidR="001524B5" w:rsidRPr="00787E43" w:rsidRDefault="001524B5" w:rsidP="00787E43">
            <w:pPr>
              <w:ind w:firstLine="385"/>
              <w:jc w:val="both"/>
              <w:rPr>
                <w:sz w:val="10"/>
                <w:szCs w:val="10"/>
              </w:rPr>
            </w:pPr>
          </w:p>
          <w:p w:rsidR="001524B5" w:rsidRPr="006C270D" w:rsidRDefault="001524B5" w:rsidP="00787E43">
            <w:pPr>
              <w:jc w:val="both"/>
            </w:pPr>
            <w:r w:rsidRPr="006C270D">
              <w:t xml:space="preserve">La graduación de la </w:t>
            </w:r>
            <w:r w:rsidR="007328C1">
              <w:t>medida disciplinaria</w:t>
            </w:r>
            <w:r w:rsidRPr="006C270D">
              <w:t xml:space="preserve"> se realizará mediante un comité para tal fin, donde el responsable de RRHH presentará cada caso en cuestión y se determinará la sanción que le cabe a cada causante, para ello se analizará cada parte y antecedentes personales,</w:t>
            </w:r>
            <w:r>
              <w:t xml:space="preserve"> Reincidencia y Gravedad de los hechos </w:t>
            </w:r>
            <w:r w:rsidRPr="006C270D">
              <w:t>teniendo en cuenta que la idea directriz es la disciplina progresiva con las siguientes fases:</w:t>
            </w:r>
          </w:p>
          <w:p w:rsidR="001524B5" w:rsidRPr="006C270D" w:rsidRDefault="001524B5" w:rsidP="00A65BB4">
            <w:pPr>
              <w:jc w:val="both"/>
            </w:pPr>
            <w:r w:rsidRPr="006C270D">
              <w:t>Se procederá de acuerdo a lo establecido en el art. 27mo “Medidas disciplinari</w:t>
            </w:r>
            <w:r w:rsidR="00EC69E4">
              <w:t>as” del Convenio UTA-CCT 460/73:</w:t>
            </w:r>
          </w:p>
          <w:p w:rsidR="001524B5" w:rsidRPr="006C270D" w:rsidRDefault="001524B5" w:rsidP="00787E43">
            <w:pPr>
              <w:numPr>
                <w:ilvl w:val="0"/>
                <w:numId w:val="8"/>
              </w:numPr>
              <w:tabs>
                <w:tab w:val="clear" w:pos="720"/>
                <w:tab w:val="num" w:pos="365"/>
              </w:tabs>
              <w:ind w:left="5" w:firstLine="360"/>
              <w:jc w:val="both"/>
            </w:pPr>
            <w:r w:rsidRPr="006C270D">
              <w:t>Aviso verbal</w:t>
            </w:r>
          </w:p>
          <w:p w:rsidR="001524B5" w:rsidRPr="006C270D" w:rsidRDefault="001524B5" w:rsidP="00787E43">
            <w:pPr>
              <w:numPr>
                <w:ilvl w:val="0"/>
                <w:numId w:val="8"/>
              </w:numPr>
              <w:tabs>
                <w:tab w:val="clear" w:pos="720"/>
                <w:tab w:val="num" w:pos="365"/>
              </w:tabs>
              <w:ind w:left="5" w:firstLine="360"/>
              <w:jc w:val="both"/>
            </w:pPr>
            <w:r w:rsidRPr="006C270D">
              <w:t>Apercibimiento</w:t>
            </w:r>
          </w:p>
          <w:p w:rsidR="001524B5" w:rsidRPr="006C270D" w:rsidRDefault="001524B5" w:rsidP="00787E43">
            <w:pPr>
              <w:numPr>
                <w:ilvl w:val="0"/>
                <w:numId w:val="8"/>
              </w:numPr>
              <w:tabs>
                <w:tab w:val="clear" w:pos="720"/>
                <w:tab w:val="num" w:pos="365"/>
              </w:tabs>
              <w:ind w:left="5" w:firstLine="360"/>
              <w:jc w:val="both"/>
            </w:pPr>
            <w:r w:rsidRPr="006C270D">
              <w:t>Amonestación</w:t>
            </w:r>
          </w:p>
          <w:p w:rsidR="001524B5" w:rsidRPr="006C270D" w:rsidRDefault="001524B5" w:rsidP="00787E43">
            <w:pPr>
              <w:numPr>
                <w:ilvl w:val="0"/>
                <w:numId w:val="8"/>
              </w:numPr>
              <w:tabs>
                <w:tab w:val="clear" w:pos="720"/>
                <w:tab w:val="num" w:pos="365"/>
              </w:tabs>
              <w:ind w:left="5" w:firstLine="360"/>
              <w:jc w:val="both"/>
            </w:pPr>
            <w:r w:rsidRPr="006C270D">
              <w:t>Suspensión</w:t>
            </w:r>
          </w:p>
          <w:p w:rsidR="001524B5" w:rsidRPr="006C270D" w:rsidRDefault="001524B5" w:rsidP="00787E43">
            <w:pPr>
              <w:numPr>
                <w:ilvl w:val="0"/>
                <w:numId w:val="8"/>
              </w:numPr>
              <w:tabs>
                <w:tab w:val="clear" w:pos="720"/>
                <w:tab w:val="num" w:pos="365"/>
              </w:tabs>
              <w:ind w:left="5" w:firstLine="360"/>
              <w:jc w:val="both"/>
            </w:pPr>
            <w:r w:rsidRPr="006C270D">
              <w:t>Despido</w:t>
            </w:r>
          </w:p>
          <w:p w:rsidR="001524B5" w:rsidRDefault="001524B5" w:rsidP="007C539B">
            <w:pPr>
              <w:ind w:firstLine="385"/>
              <w:jc w:val="both"/>
            </w:pPr>
          </w:p>
          <w:p w:rsidR="001524B5" w:rsidRPr="006C270D" w:rsidRDefault="001524B5" w:rsidP="007C539B">
            <w:pPr>
              <w:ind w:firstLine="385"/>
              <w:jc w:val="both"/>
            </w:pPr>
          </w:p>
          <w:p w:rsidR="001524B5" w:rsidRDefault="001524B5" w:rsidP="00850123">
            <w:pPr>
              <w:jc w:val="both"/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8. REGISTROS ASOCIADOS</w:t>
            </w:r>
          </w:p>
          <w:p w:rsidR="001524B5" w:rsidRPr="006C270D" w:rsidRDefault="001524B5" w:rsidP="006641F6">
            <w:pPr>
              <w:jc w:val="both"/>
            </w:pPr>
          </w:p>
          <w:p w:rsidR="007F7B25" w:rsidRDefault="007F7B25" w:rsidP="006641F6">
            <w:pPr>
              <w:jc w:val="both"/>
            </w:pPr>
            <w:r w:rsidRPr="006C270D">
              <w:t>FORM</w:t>
            </w:r>
            <w:r w:rsidR="00EC69E4">
              <w:t>.</w:t>
            </w:r>
            <w:r w:rsidRPr="00D5589C">
              <w:t xml:space="preserve">172 </w:t>
            </w:r>
            <w:r w:rsidR="00E92DD6">
              <w:t xml:space="preserve">SOLICITUD DE EXPLICACION </w:t>
            </w:r>
            <w:r>
              <w:t xml:space="preserve"> </w:t>
            </w:r>
          </w:p>
          <w:p w:rsidR="001524B5" w:rsidRDefault="00EC69E4" w:rsidP="006641F6">
            <w:pPr>
              <w:jc w:val="both"/>
            </w:pPr>
            <w:hyperlink r:id="rId8" w:history="1">
              <w:r w:rsidR="00B5287D" w:rsidRPr="00EC69E4">
                <w:rPr>
                  <w:rStyle w:val="Hipervnculo"/>
                </w:rPr>
                <w:t>PEDIDOS DE EXPLICACIÓN GENERADOS</w:t>
              </w:r>
            </w:hyperlink>
            <w:r w:rsidR="00B5287D" w:rsidRPr="00B5287D">
              <w:t xml:space="preserve"> </w:t>
            </w:r>
          </w:p>
          <w:p w:rsidR="00B5287D" w:rsidRDefault="00EC69E4" w:rsidP="006641F6">
            <w:pPr>
              <w:jc w:val="both"/>
            </w:pPr>
            <w:hyperlink r:id="rId9" w:history="1">
              <w:r w:rsidR="00B5287D" w:rsidRPr="00EC69E4">
                <w:rPr>
                  <w:rStyle w:val="Hipervnculo"/>
                </w:rPr>
                <w:t>INST.002 ANEXO I INSTRUCTIVO PARA CONDUCORES PROFESIONALES</w:t>
              </w:r>
            </w:hyperlink>
          </w:p>
          <w:p w:rsidR="00B5287D" w:rsidRPr="00B5287D" w:rsidRDefault="00B5287D" w:rsidP="006641F6">
            <w:pPr>
              <w:jc w:val="both"/>
            </w:pPr>
          </w:p>
          <w:p w:rsidR="001524B5" w:rsidRPr="006C270D" w:rsidRDefault="001524B5" w:rsidP="006641F6">
            <w:pPr>
              <w:ind w:firstLine="205"/>
              <w:jc w:val="both"/>
              <w:rPr>
                <w:b/>
              </w:rPr>
            </w:pPr>
            <w:r w:rsidRPr="006C270D">
              <w:rPr>
                <w:b/>
              </w:rPr>
              <w:t>9</w:t>
            </w:r>
            <w:r>
              <w:rPr>
                <w:b/>
              </w:rPr>
              <w:t xml:space="preserve">. </w:t>
            </w:r>
            <w:r w:rsidRPr="006C270D">
              <w:rPr>
                <w:b/>
              </w:rPr>
              <w:t>ANEXOS</w:t>
            </w:r>
          </w:p>
          <w:p w:rsidR="001524B5" w:rsidRPr="006C270D" w:rsidRDefault="001524B5" w:rsidP="006641F6">
            <w:pPr>
              <w:jc w:val="both"/>
            </w:pPr>
          </w:p>
          <w:p w:rsidR="001524B5" w:rsidRPr="006C270D" w:rsidRDefault="001524B5" w:rsidP="006641F6">
            <w:pPr>
              <w:jc w:val="both"/>
            </w:pPr>
            <w:r w:rsidRPr="006C270D">
              <w:t>No aplica</w:t>
            </w:r>
          </w:p>
          <w:p w:rsidR="001524B5" w:rsidRPr="00A65BB4" w:rsidRDefault="001524B5" w:rsidP="006641F6">
            <w:pPr>
              <w:jc w:val="both"/>
              <w:rPr>
                <w:rFonts w:ascii="Arial" w:hAnsi="Arial" w:cs="Arial"/>
              </w:rPr>
            </w:pPr>
          </w:p>
        </w:tc>
      </w:tr>
      <w:tr w:rsidR="001524B5" w:rsidRPr="00A65BB4" w:rsidTr="00CF12B3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1524B5" w:rsidRPr="00044819" w:rsidRDefault="001524B5" w:rsidP="006641F6">
            <w:pPr>
              <w:ind w:firstLine="205"/>
              <w:jc w:val="both"/>
              <w:rPr>
                <w:b/>
              </w:rPr>
            </w:pPr>
          </w:p>
        </w:tc>
      </w:tr>
    </w:tbl>
    <w:p w:rsidR="001524B5" w:rsidRPr="00B67CC2" w:rsidRDefault="001524B5" w:rsidP="00DC7ECF">
      <w:pPr>
        <w:jc w:val="both"/>
      </w:pPr>
    </w:p>
    <w:sectPr w:rsidR="001524B5" w:rsidRPr="00B67CC2" w:rsidSect="00EC0592">
      <w:headerReference w:type="default" r:id="rId10"/>
      <w:headerReference w:type="first" r:id="rId11"/>
      <w:footerReference w:type="first" r:id="rId12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B75" w:rsidRDefault="00DC7B75">
      <w:r>
        <w:separator/>
      </w:r>
    </w:p>
  </w:endnote>
  <w:endnote w:type="continuationSeparator" w:id="0">
    <w:p w:rsidR="00DC7B75" w:rsidRDefault="00DC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420"/>
      <w:gridCol w:w="3420"/>
    </w:tblGrid>
    <w:tr w:rsidR="001524B5" w:rsidRPr="006C270D" w:rsidTr="00EC0592">
      <w:trPr>
        <w:trHeight w:val="709"/>
        <w:jc w:val="center"/>
      </w:trPr>
      <w:tc>
        <w:tcPr>
          <w:tcW w:w="3283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 xml:space="preserve">Realizó: </w:t>
          </w:r>
          <w:r>
            <w:t>Resp. Recursos Humanos</w:t>
          </w:r>
        </w:p>
        <w:p w:rsidR="001524B5" w:rsidRPr="006C270D" w:rsidRDefault="001524B5" w:rsidP="00D94D11">
          <w:pPr>
            <w:pStyle w:val="Piedepgina"/>
          </w:pPr>
          <w:r w:rsidRPr="006C270D">
            <w:t xml:space="preserve">Fecha: </w:t>
          </w:r>
          <w:r w:rsidR="00EC69E4">
            <w:t>09/09/2016</w:t>
          </w:r>
        </w:p>
      </w:tc>
      <w:tc>
        <w:tcPr>
          <w:tcW w:w="3420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 xml:space="preserve">Revisó: </w:t>
          </w:r>
          <w:r>
            <w:t>REDI</w:t>
          </w:r>
        </w:p>
        <w:p w:rsidR="001524B5" w:rsidRPr="006C270D" w:rsidRDefault="001524B5" w:rsidP="00D94D11">
          <w:pPr>
            <w:pStyle w:val="Piedepgina"/>
          </w:pPr>
          <w:r w:rsidRPr="006C270D">
            <w:t xml:space="preserve">Fecha: </w:t>
          </w:r>
          <w:r w:rsidR="00EC69E4">
            <w:t>10</w:t>
          </w:r>
          <w:r w:rsidR="00EC69E4">
            <w:t>/09/2016</w:t>
          </w:r>
        </w:p>
      </w:tc>
      <w:tc>
        <w:tcPr>
          <w:tcW w:w="3420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>Aprobó</w:t>
          </w:r>
          <w:r>
            <w:t>: Gerente</w:t>
          </w:r>
        </w:p>
        <w:p w:rsidR="001524B5" w:rsidRPr="006C270D" w:rsidRDefault="001524B5" w:rsidP="00EC69E4">
          <w:pPr>
            <w:pStyle w:val="Piedepgina"/>
          </w:pPr>
          <w:r w:rsidRPr="006C270D">
            <w:t xml:space="preserve">Fecha: </w:t>
          </w:r>
          <w:r w:rsidR="00EC69E4">
            <w:t>12</w:t>
          </w:r>
          <w:r w:rsidR="00EC69E4">
            <w:t>/09/2016</w:t>
          </w:r>
        </w:p>
      </w:tc>
    </w:tr>
    <w:tr w:rsidR="001524B5" w:rsidRPr="006C270D" w:rsidTr="00EC0592">
      <w:trPr>
        <w:trHeight w:val="594"/>
        <w:jc w:val="center"/>
      </w:trPr>
      <w:tc>
        <w:tcPr>
          <w:tcW w:w="3283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>Firma:</w:t>
          </w:r>
        </w:p>
      </w:tc>
      <w:tc>
        <w:tcPr>
          <w:tcW w:w="3420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>Firma:</w:t>
          </w:r>
        </w:p>
      </w:tc>
      <w:tc>
        <w:tcPr>
          <w:tcW w:w="3420" w:type="dxa"/>
          <w:vAlign w:val="center"/>
        </w:tcPr>
        <w:p w:rsidR="001524B5" w:rsidRPr="006C270D" w:rsidRDefault="001524B5" w:rsidP="00EC0592">
          <w:pPr>
            <w:pStyle w:val="Piedepgina"/>
          </w:pPr>
          <w:r w:rsidRPr="006C270D">
            <w:t>Firma:</w:t>
          </w:r>
        </w:p>
      </w:tc>
    </w:tr>
  </w:tbl>
  <w:p w:rsidR="001524B5" w:rsidRDefault="001524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B75" w:rsidRDefault="00DC7B75">
      <w:r>
        <w:separator/>
      </w:r>
    </w:p>
  </w:footnote>
  <w:footnote w:type="continuationSeparator" w:id="0">
    <w:p w:rsidR="00DC7B75" w:rsidRDefault="00DC7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B5" w:rsidRDefault="001524B5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1524B5" w:rsidTr="00850123">
      <w:trPr>
        <w:jc w:val="center"/>
      </w:trPr>
      <w:tc>
        <w:tcPr>
          <w:tcW w:w="3419" w:type="dxa"/>
        </w:tcPr>
        <w:p w:rsidR="001524B5" w:rsidRPr="001F10A1" w:rsidRDefault="00DC7B75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21pt;margin-top:17pt;width:123.7pt;height:27.85pt;z-index:251658240">
                <v:imagedata r:id="rId1" o:title=""/>
              </v:shape>
              <o:OLEObject Type="Embed" ProgID="CorelPHOTOPAINT.Image.16" ShapeID="_x0000_s2049" DrawAspect="Content" ObjectID="_1556456550" r:id="rId2"/>
            </w:pict>
          </w:r>
        </w:p>
        <w:p w:rsidR="001524B5" w:rsidRDefault="001524B5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1524B5" w:rsidRDefault="001524B5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SANCIONES</w:t>
          </w:r>
        </w:p>
      </w:tc>
      <w:tc>
        <w:tcPr>
          <w:tcW w:w="3419" w:type="dxa"/>
        </w:tcPr>
        <w:p w:rsidR="001524B5" w:rsidRDefault="001524B5">
          <w:pPr>
            <w:pStyle w:val="Encabezado"/>
            <w:spacing w:before="120" w:after="120"/>
          </w:pPr>
          <w:r>
            <w:t>PRO.020.</w:t>
          </w:r>
          <w:r w:rsidRPr="00875DC9">
            <w:t>0</w:t>
          </w:r>
          <w:r w:rsidR="00EC69E4">
            <w:t>7</w:t>
          </w:r>
          <w:r>
            <w:t xml:space="preserve">  </w:t>
          </w:r>
        </w:p>
        <w:p w:rsidR="001524B5" w:rsidRDefault="001524B5">
          <w:pPr>
            <w:pStyle w:val="Encabezado"/>
            <w:spacing w:before="120" w:after="120"/>
          </w:pPr>
          <w:r>
            <w:t xml:space="preserve">Fecha de Vigencia: </w:t>
          </w:r>
          <w:r w:rsidR="00EC69E4">
            <w:t>12</w:t>
          </w:r>
          <w:r w:rsidR="00EC69E4">
            <w:t>/09/2016</w:t>
          </w:r>
        </w:p>
        <w:p w:rsidR="001524B5" w:rsidRDefault="001524B5">
          <w:pPr>
            <w:pStyle w:val="Encabezado"/>
            <w:spacing w:before="120" w:after="120"/>
          </w:pPr>
          <w:r>
            <w:t xml:space="preserve">Página: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69E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 w:rsidR="003B56AF">
            <w:rPr>
              <w:rStyle w:val="Nmerodepgina"/>
            </w:rPr>
            <w:t xml:space="preserve"> de 2</w:t>
          </w:r>
        </w:p>
      </w:tc>
    </w:tr>
  </w:tbl>
  <w:p w:rsidR="001524B5" w:rsidRPr="00471906" w:rsidRDefault="001524B5" w:rsidP="003274BF">
    <w:pPr>
      <w:pStyle w:val="Encabezado"/>
      <w:rPr>
        <w:b/>
        <w:color w:val="C0C0C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1524B5" w:rsidTr="00E4773E">
      <w:trPr>
        <w:jc w:val="center"/>
      </w:trPr>
      <w:tc>
        <w:tcPr>
          <w:tcW w:w="3419" w:type="dxa"/>
        </w:tcPr>
        <w:p w:rsidR="001524B5" w:rsidRPr="001F10A1" w:rsidRDefault="00DC7B75" w:rsidP="00EC0592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75pt;margin-top:18.8pt;width:123.7pt;height:27.85pt;z-index:251657216">
                <v:imagedata r:id="rId1" o:title=""/>
              </v:shape>
              <o:OLEObject Type="Embed" ProgID="CorelPHOTOPAINT.Image.16" ShapeID="_x0000_s2050" DrawAspect="Content" ObjectID="_1556456551" r:id="rId2"/>
            </w:pict>
          </w:r>
        </w:p>
        <w:p w:rsidR="001524B5" w:rsidRDefault="001524B5" w:rsidP="00EC0592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1524B5" w:rsidRDefault="001524B5" w:rsidP="00EC0592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SANCIONES</w:t>
          </w:r>
        </w:p>
      </w:tc>
      <w:tc>
        <w:tcPr>
          <w:tcW w:w="3419" w:type="dxa"/>
        </w:tcPr>
        <w:p w:rsidR="001524B5" w:rsidRDefault="001524B5" w:rsidP="00EC0592">
          <w:pPr>
            <w:pStyle w:val="Encabezado"/>
            <w:spacing w:before="120" w:after="120"/>
          </w:pPr>
          <w:r>
            <w:t>PRO.020.</w:t>
          </w:r>
          <w:r w:rsidRPr="00875DC9">
            <w:t>0</w:t>
          </w:r>
          <w:r w:rsidR="007F7B25">
            <w:t>7</w:t>
          </w:r>
        </w:p>
        <w:p w:rsidR="001524B5" w:rsidRDefault="001524B5" w:rsidP="00EC0592">
          <w:pPr>
            <w:pStyle w:val="Encabezado"/>
            <w:spacing w:before="120" w:after="120"/>
          </w:pPr>
          <w:r>
            <w:t xml:space="preserve">Fecha de Vigencia: </w:t>
          </w:r>
          <w:r w:rsidR="00EC69E4">
            <w:t>12</w:t>
          </w:r>
          <w:r w:rsidR="00850DF3">
            <w:t>/</w:t>
          </w:r>
          <w:r w:rsidR="004D11CC">
            <w:t>09</w:t>
          </w:r>
          <w:r>
            <w:t>/201</w:t>
          </w:r>
          <w:r w:rsidR="00D94D11">
            <w:t>6</w:t>
          </w:r>
        </w:p>
        <w:p w:rsidR="00850DF3" w:rsidRDefault="001524B5" w:rsidP="00850DF3">
          <w:pPr>
            <w:pStyle w:val="Encabezado"/>
            <w:spacing w:before="120" w:after="120"/>
          </w:pPr>
          <w:r>
            <w:t xml:space="preserve">Página: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C69E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B56AF">
            <w:rPr>
              <w:rStyle w:val="Nmerodepgina"/>
            </w:rPr>
            <w:t>2</w:t>
          </w:r>
        </w:p>
      </w:tc>
    </w:tr>
  </w:tbl>
  <w:p w:rsidR="001524B5" w:rsidRPr="00EC69E4" w:rsidRDefault="00EC69E4">
    <w:pPr>
      <w:pStyle w:val="Encabezado"/>
      <w:rPr>
        <w:color w:val="C0C0C0"/>
        <w:sz w:val="20"/>
        <w:szCs w:val="20"/>
      </w:rPr>
    </w:pPr>
    <w:r w:rsidRPr="00EC69E4">
      <w:rPr>
        <w:color w:val="C0C0C0"/>
        <w:sz w:val="20"/>
        <w:szCs w:val="20"/>
      </w:rPr>
      <w:t>Se modifica el procedimiento en su totalidad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61B"/>
    <w:multiLevelType w:val="hybridMultilevel"/>
    <w:tmpl w:val="1F56A8D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14E76"/>
    <w:multiLevelType w:val="hybridMultilevel"/>
    <w:tmpl w:val="2A0A25A8"/>
    <w:lvl w:ilvl="0" w:tplc="6A441D32">
      <w:start w:val="1"/>
      <w:numFmt w:val="decimal"/>
      <w:lvlText w:val="7.5.%1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AB90C98"/>
    <w:multiLevelType w:val="multilevel"/>
    <w:tmpl w:val="BEA65A22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0EC559BD"/>
    <w:multiLevelType w:val="multilevel"/>
    <w:tmpl w:val="3E64D3E4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11B3423A"/>
    <w:multiLevelType w:val="multilevel"/>
    <w:tmpl w:val="1C7AB44A"/>
    <w:lvl w:ilvl="0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  <w:rPr>
        <w:rFonts w:cs="Times New Roman"/>
      </w:rPr>
    </w:lvl>
  </w:abstractNum>
  <w:abstractNum w:abstractNumId="5">
    <w:nsid w:val="11FD5968"/>
    <w:multiLevelType w:val="multilevel"/>
    <w:tmpl w:val="4BE4F1CE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1E653176"/>
    <w:multiLevelType w:val="hybridMultilevel"/>
    <w:tmpl w:val="376EF286"/>
    <w:lvl w:ilvl="0" w:tplc="2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18A5F3F"/>
    <w:multiLevelType w:val="hybridMultilevel"/>
    <w:tmpl w:val="FE5C9B7E"/>
    <w:lvl w:ilvl="0" w:tplc="7CB80CD8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  <w:rPr>
        <w:rFonts w:cs="Times New Roman"/>
      </w:rPr>
    </w:lvl>
  </w:abstractNum>
  <w:abstractNum w:abstractNumId="8">
    <w:nsid w:val="219C1655"/>
    <w:multiLevelType w:val="multilevel"/>
    <w:tmpl w:val="C2DC1822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61A67BF"/>
    <w:multiLevelType w:val="hybridMultilevel"/>
    <w:tmpl w:val="9BC2E1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3C764F"/>
    <w:multiLevelType w:val="hybridMultilevel"/>
    <w:tmpl w:val="130AA704"/>
    <w:lvl w:ilvl="0" w:tplc="0C0A0001">
      <w:start w:val="1"/>
      <w:numFmt w:val="bullet"/>
      <w:lvlText w:val=""/>
      <w:lvlJc w:val="left"/>
      <w:pPr>
        <w:tabs>
          <w:tab w:val="num" w:pos="1105"/>
        </w:tabs>
        <w:ind w:left="11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25"/>
        </w:tabs>
        <w:ind w:left="18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5"/>
        </w:tabs>
        <w:ind w:left="25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5"/>
        </w:tabs>
        <w:ind w:left="32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5"/>
        </w:tabs>
        <w:ind w:left="39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5"/>
        </w:tabs>
        <w:ind w:left="47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5"/>
        </w:tabs>
        <w:ind w:left="54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5"/>
        </w:tabs>
        <w:ind w:left="61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5"/>
        </w:tabs>
        <w:ind w:left="6865" w:hanging="360"/>
      </w:pPr>
      <w:rPr>
        <w:rFonts w:ascii="Wingdings" w:hAnsi="Wingdings" w:hint="default"/>
      </w:rPr>
    </w:lvl>
  </w:abstractNum>
  <w:abstractNum w:abstractNumId="11">
    <w:nsid w:val="38B77AA6"/>
    <w:multiLevelType w:val="hybridMultilevel"/>
    <w:tmpl w:val="2A02DA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8D7B38"/>
    <w:multiLevelType w:val="multilevel"/>
    <w:tmpl w:val="9A4A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6252F62"/>
    <w:multiLevelType w:val="hybridMultilevel"/>
    <w:tmpl w:val="E646AC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>
    <w:nsid w:val="71506108"/>
    <w:multiLevelType w:val="hybridMultilevel"/>
    <w:tmpl w:val="3BA24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40372B"/>
    <w:multiLevelType w:val="multilevel"/>
    <w:tmpl w:val="3E64D3E4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1"/>
  </w:num>
  <w:num w:numId="5">
    <w:abstractNumId w:val="15"/>
  </w:num>
  <w:num w:numId="6">
    <w:abstractNumId w:val="9"/>
  </w:num>
  <w:num w:numId="7">
    <w:abstractNumId w:val="13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FD"/>
    <w:rsid w:val="00003689"/>
    <w:rsid w:val="000049CA"/>
    <w:rsid w:val="00006551"/>
    <w:rsid w:val="00007F3A"/>
    <w:rsid w:val="00011997"/>
    <w:rsid w:val="00013C2F"/>
    <w:rsid w:val="00014DEA"/>
    <w:rsid w:val="00036968"/>
    <w:rsid w:val="00036B0E"/>
    <w:rsid w:val="00043786"/>
    <w:rsid w:val="00044819"/>
    <w:rsid w:val="000454AE"/>
    <w:rsid w:val="0005128B"/>
    <w:rsid w:val="00061A21"/>
    <w:rsid w:val="00071A18"/>
    <w:rsid w:val="00074F0F"/>
    <w:rsid w:val="000770C5"/>
    <w:rsid w:val="00085623"/>
    <w:rsid w:val="00090832"/>
    <w:rsid w:val="0009241F"/>
    <w:rsid w:val="000954C4"/>
    <w:rsid w:val="00097EB6"/>
    <w:rsid w:val="000A0597"/>
    <w:rsid w:val="000A713B"/>
    <w:rsid w:val="000C7DBA"/>
    <w:rsid w:val="000E3A76"/>
    <w:rsid w:val="000E3E40"/>
    <w:rsid w:val="001014C2"/>
    <w:rsid w:val="001106FE"/>
    <w:rsid w:val="00121806"/>
    <w:rsid w:val="00127C68"/>
    <w:rsid w:val="001407C7"/>
    <w:rsid w:val="001510DD"/>
    <w:rsid w:val="001524B5"/>
    <w:rsid w:val="001774A2"/>
    <w:rsid w:val="00177F15"/>
    <w:rsid w:val="001816DD"/>
    <w:rsid w:val="00182DAC"/>
    <w:rsid w:val="001839A1"/>
    <w:rsid w:val="00191733"/>
    <w:rsid w:val="001A6189"/>
    <w:rsid w:val="001A7BEA"/>
    <w:rsid w:val="001B25DA"/>
    <w:rsid w:val="001C0E6F"/>
    <w:rsid w:val="001D753F"/>
    <w:rsid w:val="001F10A1"/>
    <w:rsid w:val="001F68C3"/>
    <w:rsid w:val="002051BB"/>
    <w:rsid w:val="0021186C"/>
    <w:rsid w:val="00220193"/>
    <w:rsid w:val="00220D96"/>
    <w:rsid w:val="00224418"/>
    <w:rsid w:val="00235CD2"/>
    <w:rsid w:val="00240536"/>
    <w:rsid w:val="0024108B"/>
    <w:rsid w:val="00242882"/>
    <w:rsid w:val="002453D2"/>
    <w:rsid w:val="00250071"/>
    <w:rsid w:val="00263C86"/>
    <w:rsid w:val="002641AB"/>
    <w:rsid w:val="00264661"/>
    <w:rsid w:val="00280F9A"/>
    <w:rsid w:val="002877AF"/>
    <w:rsid w:val="00287C09"/>
    <w:rsid w:val="002A59B3"/>
    <w:rsid w:val="002B169C"/>
    <w:rsid w:val="002D5128"/>
    <w:rsid w:val="002E64DC"/>
    <w:rsid w:val="002E6E32"/>
    <w:rsid w:val="002F44EB"/>
    <w:rsid w:val="003071CE"/>
    <w:rsid w:val="003113BB"/>
    <w:rsid w:val="003129C2"/>
    <w:rsid w:val="003274BF"/>
    <w:rsid w:val="0033376D"/>
    <w:rsid w:val="0034036D"/>
    <w:rsid w:val="003432FA"/>
    <w:rsid w:val="0034512B"/>
    <w:rsid w:val="00351DF1"/>
    <w:rsid w:val="00351ED9"/>
    <w:rsid w:val="0035376F"/>
    <w:rsid w:val="0035713F"/>
    <w:rsid w:val="003574B3"/>
    <w:rsid w:val="00357953"/>
    <w:rsid w:val="00366762"/>
    <w:rsid w:val="00370303"/>
    <w:rsid w:val="00377A22"/>
    <w:rsid w:val="00391ABD"/>
    <w:rsid w:val="00395199"/>
    <w:rsid w:val="003A4D97"/>
    <w:rsid w:val="003A530C"/>
    <w:rsid w:val="003A752B"/>
    <w:rsid w:val="003B56AF"/>
    <w:rsid w:val="003C318C"/>
    <w:rsid w:val="003D00C8"/>
    <w:rsid w:val="003E12D9"/>
    <w:rsid w:val="00407BB6"/>
    <w:rsid w:val="0043199E"/>
    <w:rsid w:val="00452D49"/>
    <w:rsid w:val="00453F32"/>
    <w:rsid w:val="004573F5"/>
    <w:rsid w:val="00471906"/>
    <w:rsid w:val="00475BA5"/>
    <w:rsid w:val="00491C78"/>
    <w:rsid w:val="00491EEE"/>
    <w:rsid w:val="00497618"/>
    <w:rsid w:val="004A0EC5"/>
    <w:rsid w:val="004D11CC"/>
    <w:rsid w:val="004D1501"/>
    <w:rsid w:val="004D2E72"/>
    <w:rsid w:val="004D7BF9"/>
    <w:rsid w:val="004E04EA"/>
    <w:rsid w:val="004E6DF4"/>
    <w:rsid w:val="004F7A5E"/>
    <w:rsid w:val="00503094"/>
    <w:rsid w:val="00507A92"/>
    <w:rsid w:val="005122F3"/>
    <w:rsid w:val="005157D2"/>
    <w:rsid w:val="005366AA"/>
    <w:rsid w:val="0054545E"/>
    <w:rsid w:val="005500D0"/>
    <w:rsid w:val="00560311"/>
    <w:rsid w:val="005639AC"/>
    <w:rsid w:val="00586942"/>
    <w:rsid w:val="00594628"/>
    <w:rsid w:val="005B1FD3"/>
    <w:rsid w:val="005E43DD"/>
    <w:rsid w:val="005E5DF8"/>
    <w:rsid w:val="005E6547"/>
    <w:rsid w:val="005E6B4F"/>
    <w:rsid w:val="005F01EC"/>
    <w:rsid w:val="005F2004"/>
    <w:rsid w:val="005F5AFF"/>
    <w:rsid w:val="0060639F"/>
    <w:rsid w:val="00616D75"/>
    <w:rsid w:val="006174AD"/>
    <w:rsid w:val="00617AC2"/>
    <w:rsid w:val="00622D32"/>
    <w:rsid w:val="0063198A"/>
    <w:rsid w:val="006354E5"/>
    <w:rsid w:val="0064052E"/>
    <w:rsid w:val="00641CC5"/>
    <w:rsid w:val="0064573F"/>
    <w:rsid w:val="006461FA"/>
    <w:rsid w:val="00647C18"/>
    <w:rsid w:val="006615B1"/>
    <w:rsid w:val="006641F6"/>
    <w:rsid w:val="0066758A"/>
    <w:rsid w:val="006714C2"/>
    <w:rsid w:val="006720F0"/>
    <w:rsid w:val="006732D6"/>
    <w:rsid w:val="00676DA5"/>
    <w:rsid w:val="00676FB5"/>
    <w:rsid w:val="006777B5"/>
    <w:rsid w:val="00687099"/>
    <w:rsid w:val="00690B49"/>
    <w:rsid w:val="006C19D0"/>
    <w:rsid w:val="006C1C55"/>
    <w:rsid w:val="006C270D"/>
    <w:rsid w:val="006C5727"/>
    <w:rsid w:val="006D6AEF"/>
    <w:rsid w:val="006E7564"/>
    <w:rsid w:val="006F22FC"/>
    <w:rsid w:val="006F280E"/>
    <w:rsid w:val="007008D3"/>
    <w:rsid w:val="0071166F"/>
    <w:rsid w:val="00720FFE"/>
    <w:rsid w:val="00730CAF"/>
    <w:rsid w:val="007328C1"/>
    <w:rsid w:val="00732B5A"/>
    <w:rsid w:val="00734059"/>
    <w:rsid w:val="00734A54"/>
    <w:rsid w:val="007373E2"/>
    <w:rsid w:val="00746674"/>
    <w:rsid w:val="007477FC"/>
    <w:rsid w:val="007540DC"/>
    <w:rsid w:val="00755210"/>
    <w:rsid w:val="007572E5"/>
    <w:rsid w:val="00760996"/>
    <w:rsid w:val="00763BB1"/>
    <w:rsid w:val="00772D83"/>
    <w:rsid w:val="00781F70"/>
    <w:rsid w:val="00787E43"/>
    <w:rsid w:val="00793FBC"/>
    <w:rsid w:val="00795DCF"/>
    <w:rsid w:val="007A0A15"/>
    <w:rsid w:val="007A4526"/>
    <w:rsid w:val="007B0B42"/>
    <w:rsid w:val="007B5F58"/>
    <w:rsid w:val="007B68CE"/>
    <w:rsid w:val="007C539B"/>
    <w:rsid w:val="007C71EA"/>
    <w:rsid w:val="007C7A03"/>
    <w:rsid w:val="007E113E"/>
    <w:rsid w:val="007E326A"/>
    <w:rsid w:val="007F4DBF"/>
    <w:rsid w:val="007F7B25"/>
    <w:rsid w:val="00810B92"/>
    <w:rsid w:val="00812F24"/>
    <w:rsid w:val="0081443C"/>
    <w:rsid w:val="008214AD"/>
    <w:rsid w:val="00823217"/>
    <w:rsid w:val="00827EE6"/>
    <w:rsid w:val="008370E0"/>
    <w:rsid w:val="00841B47"/>
    <w:rsid w:val="00842204"/>
    <w:rsid w:val="00850123"/>
    <w:rsid w:val="00850DF3"/>
    <w:rsid w:val="008530EB"/>
    <w:rsid w:val="0085535A"/>
    <w:rsid w:val="00855E6A"/>
    <w:rsid w:val="00860B4F"/>
    <w:rsid w:val="00875DC9"/>
    <w:rsid w:val="00880D69"/>
    <w:rsid w:val="0088727B"/>
    <w:rsid w:val="0089103E"/>
    <w:rsid w:val="008911F2"/>
    <w:rsid w:val="00893D4F"/>
    <w:rsid w:val="00897820"/>
    <w:rsid w:val="008A3032"/>
    <w:rsid w:val="008B0A9A"/>
    <w:rsid w:val="008B30A1"/>
    <w:rsid w:val="008B5DDF"/>
    <w:rsid w:val="008D00E5"/>
    <w:rsid w:val="008D616A"/>
    <w:rsid w:val="008E4345"/>
    <w:rsid w:val="008E7F7E"/>
    <w:rsid w:val="008F2286"/>
    <w:rsid w:val="008F3A45"/>
    <w:rsid w:val="008F7D17"/>
    <w:rsid w:val="00907311"/>
    <w:rsid w:val="0091633C"/>
    <w:rsid w:val="0092346B"/>
    <w:rsid w:val="0092705C"/>
    <w:rsid w:val="00930B8C"/>
    <w:rsid w:val="009441E6"/>
    <w:rsid w:val="00946282"/>
    <w:rsid w:val="00953035"/>
    <w:rsid w:val="00954E6D"/>
    <w:rsid w:val="00961621"/>
    <w:rsid w:val="00963CB1"/>
    <w:rsid w:val="00965E73"/>
    <w:rsid w:val="00973E1E"/>
    <w:rsid w:val="009774C8"/>
    <w:rsid w:val="00980153"/>
    <w:rsid w:val="00981120"/>
    <w:rsid w:val="00982CC2"/>
    <w:rsid w:val="00984EEA"/>
    <w:rsid w:val="00996008"/>
    <w:rsid w:val="0099630F"/>
    <w:rsid w:val="009C2F57"/>
    <w:rsid w:val="009D39A8"/>
    <w:rsid w:val="009D40C2"/>
    <w:rsid w:val="009F297D"/>
    <w:rsid w:val="009F62CB"/>
    <w:rsid w:val="009F7B52"/>
    <w:rsid w:val="00A0501E"/>
    <w:rsid w:val="00A05749"/>
    <w:rsid w:val="00A148AD"/>
    <w:rsid w:val="00A17580"/>
    <w:rsid w:val="00A42114"/>
    <w:rsid w:val="00A535BC"/>
    <w:rsid w:val="00A54847"/>
    <w:rsid w:val="00A65BB4"/>
    <w:rsid w:val="00A76DED"/>
    <w:rsid w:val="00A81ABA"/>
    <w:rsid w:val="00A94539"/>
    <w:rsid w:val="00AA08DE"/>
    <w:rsid w:val="00AA4487"/>
    <w:rsid w:val="00AA44A3"/>
    <w:rsid w:val="00AA74E6"/>
    <w:rsid w:val="00AB1EE6"/>
    <w:rsid w:val="00AD4AEF"/>
    <w:rsid w:val="00AE0DE2"/>
    <w:rsid w:val="00AE172E"/>
    <w:rsid w:val="00AF2FA5"/>
    <w:rsid w:val="00AF5A61"/>
    <w:rsid w:val="00B069CC"/>
    <w:rsid w:val="00B1674F"/>
    <w:rsid w:val="00B24951"/>
    <w:rsid w:val="00B27751"/>
    <w:rsid w:val="00B47C8E"/>
    <w:rsid w:val="00B50F5B"/>
    <w:rsid w:val="00B5133D"/>
    <w:rsid w:val="00B5287D"/>
    <w:rsid w:val="00B67CC2"/>
    <w:rsid w:val="00B92648"/>
    <w:rsid w:val="00BA0F21"/>
    <w:rsid w:val="00BA3D61"/>
    <w:rsid w:val="00BB5C32"/>
    <w:rsid w:val="00BC5782"/>
    <w:rsid w:val="00BC6E59"/>
    <w:rsid w:val="00BD2B9A"/>
    <w:rsid w:val="00BE30A0"/>
    <w:rsid w:val="00BF03EA"/>
    <w:rsid w:val="00BF48AE"/>
    <w:rsid w:val="00BF5CC3"/>
    <w:rsid w:val="00C021F9"/>
    <w:rsid w:val="00C127F3"/>
    <w:rsid w:val="00C208E3"/>
    <w:rsid w:val="00C214C1"/>
    <w:rsid w:val="00C21DC8"/>
    <w:rsid w:val="00C23DF0"/>
    <w:rsid w:val="00C242B5"/>
    <w:rsid w:val="00C27ADA"/>
    <w:rsid w:val="00C307DD"/>
    <w:rsid w:val="00C32B8B"/>
    <w:rsid w:val="00C33AE9"/>
    <w:rsid w:val="00C40FEC"/>
    <w:rsid w:val="00C43BD6"/>
    <w:rsid w:val="00C47B9F"/>
    <w:rsid w:val="00C52566"/>
    <w:rsid w:val="00C6504B"/>
    <w:rsid w:val="00C654EB"/>
    <w:rsid w:val="00C76FA2"/>
    <w:rsid w:val="00C77AD0"/>
    <w:rsid w:val="00C84D05"/>
    <w:rsid w:val="00C84E2B"/>
    <w:rsid w:val="00C911F7"/>
    <w:rsid w:val="00C954EC"/>
    <w:rsid w:val="00CA49B2"/>
    <w:rsid w:val="00CA6594"/>
    <w:rsid w:val="00CB089E"/>
    <w:rsid w:val="00CB3637"/>
    <w:rsid w:val="00CB4D7F"/>
    <w:rsid w:val="00CC1956"/>
    <w:rsid w:val="00CC40A0"/>
    <w:rsid w:val="00CC4F01"/>
    <w:rsid w:val="00CF12B3"/>
    <w:rsid w:val="00CF738B"/>
    <w:rsid w:val="00D30007"/>
    <w:rsid w:val="00D3608C"/>
    <w:rsid w:val="00D41DE7"/>
    <w:rsid w:val="00D52E7D"/>
    <w:rsid w:val="00D546AC"/>
    <w:rsid w:val="00D54A05"/>
    <w:rsid w:val="00D5589C"/>
    <w:rsid w:val="00D619EA"/>
    <w:rsid w:val="00D74E61"/>
    <w:rsid w:val="00D75E20"/>
    <w:rsid w:val="00D94D11"/>
    <w:rsid w:val="00DB0805"/>
    <w:rsid w:val="00DC7B75"/>
    <w:rsid w:val="00DC7ECF"/>
    <w:rsid w:val="00DE13B3"/>
    <w:rsid w:val="00DF2F87"/>
    <w:rsid w:val="00DF4DCD"/>
    <w:rsid w:val="00E3059E"/>
    <w:rsid w:val="00E36A25"/>
    <w:rsid w:val="00E458A3"/>
    <w:rsid w:val="00E4773E"/>
    <w:rsid w:val="00E646F1"/>
    <w:rsid w:val="00E73CB9"/>
    <w:rsid w:val="00E74084"/>
    <w:rsid w:val="00E74DFC"/>
    <w:rsid w:val="00E867AA"/>
    <w:rsid w:val="00E90B46"/>
    <w:rsid w:val="00E92DD6"/>
    <w:rsid w:val="00E92F52"/>
    <w:rsid w:val="00E94FE3"/>
    <w:rsid w:val="00EA05E5"/>
    <w:rsid w:val="00EA57AB"/>
    <w:rsid w:val="00EB0440"/>
    <w:rsid w:val="00EC0592"/>
    <w:rsid w:val="00EC69E4"/>
    <w:rsid w:val="00EC7828"/>
    <w:rsid w:val="00EE438C"/>
    <w:rsid w:val="00EE6C8B"/>
    <w:rsid w:val="00F01455"/>
    <w:rsid w:val="00F0417D"/>
    <w:rsid w:val="00F11C11"/>
    <w:rsid w:val="00F15EFD"/>
    <w:rsid w:val="00F27FD3"/>
    <w:rsid w:val="00F32AB2"/>
    <w:rsid w:val="00F373CA"/>
    <w:rsid w:val="00F42B51"/>
    <w:rsid w:val="00F438D6"/>
    <w:rsid w:val="00F45221"/>
    <w:rsid w:val="00F67791"/>
    <w:rsid w:val="00F71523"/>
    <w:rsid w:val="00F717F9"/>
    <w:rsid w:val="00F71BA8"/>
    <w:rsid w:val="00F731F5"/>
    <w:rsid w:val="00F7324A"/>
    <w:rsid w:val="00F825D0"/>
    <w:rsid w:val="00F8262C"/>
    <w:rsid w:val="00F834AD"/>
    <w:rsid w:val="00F91ABD"/>
    <w:rsid w:val="00F9735B"/>
    <w:rsid w:val="00FA0810"/>
    <w:rsid w:val="00FB4425"/>
    <w:rsid w:val="00FD7F70"/>
    <w:rsid w:val="00FE424D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95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4AB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95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4AB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395199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39519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95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4AB2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395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4AB2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1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B2"/>
    <w:rPr>
      <w:sz w:val="0"/>
      <w:szCs w:val="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69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95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4AB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95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4AB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395199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39519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95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4AB2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395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4AB2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1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B2"/>
    <w:rPr>
      <w:sz w:val="0"/>
      <w:szCs w:val="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69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readcgo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7.%20Instructivos/INST.002.00%20Anexo%201%20Instructivo%20para%20Conductores%20Profesional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subject/>
  <dc:creator>Masterbus</dc:creator>
  <cp:keywords/>
  <dc:description/>
  <cp:lastModifiedBy>Tomás Alcantara</cp:lastModifiedBy>
  <cp:revision>14</cp:revision>
  <cp:lastPrinted>2016-05-27T11:54:00Z</cp:lastPrinted>
  <dcterms:created xsi:type="dcterms:W3CDTF">2016-09-09T13:43:00Z</dcterms:created>
  <dcterms:modified xsi:type="dcterms:W3CDTF">2017-05-16T19:16:00Z</dcterms:modified>
</cp:coreProperties>
</file>